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4E6A2"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b/>
          <w:bCs/>
          <w:color w:val="000080"/>
          <w:kern w:val="0"/>
          <w:sz w:val="19"/>
          <w:szCs w:val="19"/>
          <w:lang w:eastAsia="pt-BR"/>
          <w14:ligatures w14:val="none"/>
        </w:rPr>
        <w:fldChar w:fldCharType="begin"/>
      </w:r>
      <w:r w:rsidRPr="00FE0AE7">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"http://legislacao.planalto.gov.br/legisla/legislacao.nsf/Viw_Identificacao/emc%20133-2024?OpenDocument"</w:instrText>
      </w:r>
      <w:r w:rsidRPr="00FE0AE7">
        <w:rPr>
          <w:rFonts w:ascii="Book Antiqua" w:eastAsia="Times New Roman" w:hAnsi="Book Antiqua" w:cs="Arial"/>
          <w:b/>
          <w:bCs/>
          <w:color w:val="000080"/>
          <w:kern w:val="0"/>
          <w:sz w:val="19"/>
          <w:szCs w:val="19"/>
          <w:lang w:eastAsia="pt-BR"/>
          <w14:ligatures w14:val="none"/>
        </w:rPr>
      </w:r>
      <w:r w:rsidRPr="00FE0AE7">
        <w:rPr>
          <w:rFonts w:ascii="Book Antiqua" w:eastAsia="Times New Roman" w:hAnsi="Book Antiqua" w:cs="Arial"/>
          <w:b/>
          <w:bCs/>
          <w:color w:val="000080"/>
          <w:kern w:val="0"/>
          <w:sz w:val="19"/>
          <w:szCs w:val="19"/>
          <w:lang w:eastAsia="pt-BR"/>
          <w14:ligatures w14:val="none"/>
        </w:rPr>
        <w:fldChar w:fldCharType="separate"/>
      </w:r>
      <w:r w:rsidRPr="00FE0AE7">
        <w:rPr>
          <w:rFonts w:ascii="Book Antiqua" w:eastAsia="Times New Roman" w:hAnsi="Book Antiqua" w:cs="Arial"/>
          <w:b/>
          <w:bCs/>
          <w:color w:val="000080"/>
          <w:kern w:val="0"/>
          <w:sz w:val="19"/>
          <w:szCs w:val="19"/>
          <w:u w:val="single"/>
          <w:lang w:eastAsia="pt-BR"/>
          <w14:ligatures w14:val="none"/>
        </w:rPr>
        <w:t>EMENDA CONSTITUCIONAL Nº 133, DE 22 DE AGOSTO DE 2024</w:t>
      </w:r>
      <w:r w:rsidRPr="00FE0AE7">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276"/>
        <w:gridCol w:w="7228"/>
      </w:tblGrid>
      <w:tr w:rsidR="00FE0AE7" w:rsidRPr="00FE0AE7" w14:paraId="7FDC13D3" w14:textId="77777777" w:rsidTr="00FE0AE7">
        <w:trPr>
          <w:tblCellSpacing w:w="0" w:type="dxa"/>
        </w:trPr>
        <w:tc>
          <w:tcPr>
            <w:tcW w:w="750" w:type="pct"/>
            <w:vAlign w:val="center"/>
            <w:hideMark/>
          </w:tcPr>
          <w:p w14:paraId="2B308D20" w14:textId="77777777" w:rsidR="00FE0AE7" w:rsidRPr="00FE0AE7" w:rsidRDefault="00FE0AE7" w:rsidP="00FE0AE7">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FE0AE7">
              <w:rPr>
                <w:rFonts w:ascii="Book Antiqua" w:eastAsia="Times New Roman" w:hAnsi="Book Antiqua" w:cs="Times New Roman"/>
                <w:kern w:val="0"/>
                <w:sz w:val="18"/>
                <w:szCs w:val="18"/>
                <w:lang w:eastAsia="pt-BR"/>
                <w14:ligatures w14:val="none"/>
              </w:rPr>
              <w:t> </w:t>
            </w:r>
          </w:p>
        </w:tc>
        <w:tc>
          <w:tcPr>
            <w:tcW w:w="4250" w:type="pct"/>
            <w:vAlign w:val="center"/>
            <w:hideMark/>
          </w:tcPr>
          <w:p w14:paraId="00A2C7EA" w14:textId="77777777" w:rsidR="00FE0AE7" w:rsidRPr="00FE0AE7" w:rsidRDefault="00FE0AE7" w:rsidP="00FE0AE7">
            <w:pPr>
              <w:spacing w:before="100" w:beforeAutospacing="1" w:after="100" w:afterAutospacing="1" w:line="240" w:lineRule="auto"/>
              <w:jc w:val="both"/>
              <w:rPr>
                <w:rFonts w:ascii="Book Antiqua" w:eastAsia="Times New Roman" w:hAnsi="Book Antiqua" w:cs="Arial"/>
                <w:color w:val="800000"/>
                <w:kern w:val="0"/>
                <w:sz w:val="18"/>
                <w:szCs w:val="18"/>
                <w:lang w:eastAsia="pt-BR"/>
                <w14:ligatures w14:val="none"/>
              </w:rPr>
            </w:pPr>
            <w:r w:rsidRPr="00FE0AE7">
              <w:rPr>
                <w:rFonts w:ascii="Book Antiqua" w:eastAsia="Times New Roman" w:hAnsi="Book Antiqua" w:cs="Arial"/>
                <w:color w:val="800000"/>
                <w:kern w:val="0"/>
                <w:sz w:val="18"/>
                <w:szCs w:val="18"/>
                <w:lang w:eastAsia="pt-BR"/>
                <w14:ligatures w14:val="none"/>
              </w:rPr>
              <w:t>Impõe aos partidos políticos a obrigatoriedade da aplicação de recursos financeiros para candidaturas de pessoas pretas e pardas; estabelece parâmetros e condições para regularização e refinanciamento de débitos de partidos políticos; e reforça a imunidade tributária dos partidos políticos conforme prevista na Constituição Federal.</w:t>
            </w:r>
          </w:p>
        </w:tc>
      </w:tr>
    </w:tbl>
    <w:p w14:paraId="38F19238"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As Mesas da Câmara dos Deputados e do Senado Federal, nos termos do § 3º do art. 60 da Constituição Federal, promulgam a seguinte Emenda ao texto constitucional:</w:t>
      </w:r>
    </w:p>
    <w:p w14:paraId="26834A6F"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FE0AE7">
        <w:rPr>
          <w:rFonts w:ascii="Book Antiqua" w:eastAsia="Times New Roman" w:hAnsi="Book Antiqua" w:cs="Arial"/>
          <w:color w:val="000000"/>
          <w:kern w:val="0"/>
          <w:sz w:val="19"/>
          <w:szCs w:val="19"/>
          <w:lang w:eastAsia="pt-BR"/>
          <w14:ligatures w14:val="none"/>
        </w:rPr>
        <w:t>Art. 1º Esta Emenda Constitucional impõe aos partidos políticos a obrigatoriedade da aplicação de recursos financeiros para candidaturas de pessoas pretas e pardas, estabelece parâmetros e condições para regularização e refinanciamento de débitos de partidos políticos e reforça a imunidade tributária dos partidos políticos conforme prevista na Constituição Federal.</w:t>
      </w:r>
    </w:p>
    <w:p w14:paraId="15CB40DF"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FE0AE7">
        <w:rPr>
          <w:rFonts w:ascii="Book Antiqua" w:eastAsia="Times New Roman" w:hAnsi="Book Antiqua" w:cs="Arial"/>
          <w:color w:val="000000"/>
          <w:kern w:val="0"/>
          <w:sz w:val="19"/>
          <w:szCs w:val="19"/>
          <w:lang w:eastAsia="pt-BR"/>
          <w14:ligatures w14:val="none"/>
        </w:rPr>
        <w:t>Art. 2º O art. 17 da </w:t>
      </w:r>
      <w:hyperlink r:id="rId4" w:history="1">
        <w:r w:rsidRPr="00FE0AE7">
          <w:rPr>
            <w:rFonts w:ascii="Book Antiqua" w:eastAsia="Times New Roman" w:hAnsi="Book Antiqua" w:cs="Arial"/>
            <w:color w:val="0000FF"/>
            <w:kern w:val="0"/>
            <w:sz w:val="19"/>
            <w:szCs w:val="19"/>
            <w:u w:val="single"/>
            <w:lang w:eastAsia="pt-BR"/>
            <w14:ligatures w14:val="none"/>
          </w:rPr>
          <w:t>Constituição Federal</w:t>
        </w:r>
      </w:hyperlink>
      <w:r w:rsidRPr="00FE0AE7">
        <w:rPr>
          <w:rFonts w:ascii="Book Antiqua" w:eastAsia="Times New Roman" w:hAnsi="Book Antiqua" w:cs="Arial"/>
          <w:color w:val="000000"/>
          <w:kern w:val="0"/>
          <w:sz w:val="19"/>
          <w:szCs w:val="19"/>
          <w:lang w:eastAsia="pt-BR"/>
          <w14:ligatures w14:val="none"/>
        </w:rPr>
        <w:t> passa a vigorar acrescido do seguinte § 9º:</w:t>
      </w:r>
    </w:p>
    <w:p w14:paraId="3184557F"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"Art. 17. .............................................................................................................</w:t>
      </w:r>
    </w:p>
    <w:p w14:paraId="3CD0C29A"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w:t>
      </w:r>
    </w:p>
    <w:p w14:paraId="2FC66324"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 w:anchor="art17%C2%A79" w:history="1">
        <w:r w:rsidRPr="00FE0AE7">
          <w:rPr>
            <w:rFonts w:ascii="Book Antiqua" w:eastAsia="Times New Roman" w:hAnsi="Book Antiqua" w:cs="Arial"/>
            <w:color w:val="0000FF"/>
            <w:kern w:val="0"/>
            <w:sz w:val="19"/>
            <w:szCs w:val="19"/>
            <w:u w:val="single"/>
            <w:lang w:eastAsia="pt-BR"/>
            <w14:ligatures w14:val="none"/>
          </w:rPr>
          <w:t>§ 9º</w:t>
        </w:r>
      </w:hyperlink>
      <w:r w:rsidRPr="00FE0AE7">
        <w:rPr>
          <w:rFonts w:ascii="Book Antiqua" w:eastAsia="Times New Roman" w:hAnsi="Book Antiqua" w:cs="Arial"/>
          <w:color w:val="000000"/>
          <w:kern w:val="0"/>
          <w:sz w:val="19"/>
          <w:szCs w:val="19"/>
          <w:lang w:eastAsia="pt-BR"/>
          <w14:ligatures w14:val="none"/>
        </w:rPr>
        <w:t> Dos recursos oriundos do Fundo Especial de Financiamento de Campanha e do fundo partidário destinados às campanhas eleitorais, os partidos políticos devem, obrigatoriamente, aplicar 30% (trinta por cento) em candidaturas de pessoas pretas e pardas, nas circunscrições que melhor atendam aos interesses e às estratégias partidárias." (NR)</w:t>
      </w:r>
    </w:p>
    <w:p w14:paraId="68D623B5"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FE0AE7">
        <w:rPr>
          <w:rFonts w:ascii="Book Antiqua" w:eastAsia="Times New Roman" w:hAnsi="Book Antiqua" w:cs="Arial"/>
          <w:color w:val="000000"/>
          <w:kern w:val="0"/>
          <w:sz w:val="19"/>
          <w:szCs w:val="19"/>
          <w:lang w:eastAsia="pt-BR"/>
          <w14:ligatures w14:val="none"/>
        </w:rPr>
        <w:t>Art. 3º A aplicação de recursos de qualquer valor em candidaturas de pessoas pretas e pardas realizadas pelos partidos políticos nas eleições ocorridas até a promulgação desta Emenda Constitucional, com base em lei, em qualquer outro ato normativo ou em decisão judicial, deve ser considerada como cumprida.</w:t>
      </w:r>
    </w:p>
    <w:p w14:paraId="7A24C977"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Parágrafo único. A eficácia do disposto no </w:t>
      </w:r>
      <w:r w:rsidRPr="00FE0AE7">
        <w:rPr>
          <w:rFonts w:ascii="Book Antiqua" w:eastAsia="Times New Roman" w:hAnsi="Book Antiqua" w:cs="Arial"/>
          <w:b/>
          <w:bCs/>
          <w:color w:val="000000"/>
          <w:kern w:val="0"/>
          <w:sz w:val="19"/>
          <w:szCs w:val="19"/>
          <w:lang w:eastAsia="pt-BR"/>
          <w14:ligatures w14:val="none"/>
        </w:rPr>
        <w:t>caput</w:t>
      </w:r>
      <w:r w:rsidRPr="00FE0AE7">
        <w:rPr>
          <w:rFonts w:ascii="Book Antiqua" w:eastAsia="Times New Roman" w:hAnsi="Book Antiqua" w:cs="Arial"/>
          <w:color w:val="000000"/>
          <w:kern w:val="0"/>
          <w:sz w:val="19"/>
          <w:szCs w:val="19"/>
          <w:lang w:eastAsia="pt-BR"/>
          <w14:ligatures w14:val="none"/>
        </w:rPr>
        <w:t> deste artigo está condicionada à aplicação, nas 4 (quatro) eleições subsequentes à promulgação desta Emenda Constitucional, a partir de 2026, do montante correspondente àquele que deixou de ser aplicado para fins de cumprimento da cota racial nas eleições anteriores, sem prejuízo do cumprimento da cota estabelecida nesta Emenda Constitucional.</w:t>
      </w:r>
    </w:p>
    <w:p w14:paraId="7051DDF4"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FE0AE7">
        <w:rPr>
          <w:rFonts w:ascii="Book Antiqua" w:eastAsia="Times New Roman" w:hAnsi="Book Antiqua" w:cs="Arial"/>
          <w:color w:val="000000"/>
          <w:kern w:val="0"/>
          <w:sz w:val="19"/>
          <w:szCs w:val="19"/>
          <w:lang w:eastAsia="pt-BR"/>
          <w14:ligatures w14:val="none"/>
        </w:rPr>
        <w:t>Art. 4º É assegurada a imunidade tributária aos partidos políticos e a seus institutos ou fundações, conforme estabelecido na </w:t>
      </w:r>
      <w:hyperlink r:id="rId6" w:anchor="art150vic" w:history="1">
        <w:r w:rsidRPr="00FE0AE7">
          <w:rPr>
            <w:rFonts w:ascii="Book Antiqua" w:eastAsia="Times New Roman" w:hAnsi="Book Antiqua" w:cs="Arial"/>
            <w:color w:val="0000FF"/>
            <w:kern w:val="0"/>
            <w:sz w:val="19"/>
            <w:szCs w:val="19"/>
            <w:u w:val="single"/>
            <w:lang w:eastAsia="pt-BR"/>
            <w14:ligatures w14:val="none"/>
          </w:rPr>
          <w:t>alínea "c" do inciso VI do </w:t>
        </w:r>
        <w:r w:rsidRPr="00FE0AE7">
          <w:rPr>
            <w:rFonts w:ascii="Book Antiqua" w:eastAsia="Times New Roman" w:hAnsi="Book Antiqua" w:cs="Arial"/>
            <w:b/>
            <w:bCs/>
            <w:color w:val="0000FF"/>
            <w:kern w:val="0"/>
            <w:sz w:val="19"/>
            <w:szCs w:val="19"/>
            <w:u w:val="single"/>
            <w:lang w:eastAsia="pt-BR"/>
            <w14:ligatures w14:val="none"/>
          </w:rPr>
          <w:t>caput</w:t>
        </w:r>
        <w:r w:rsidRPr="00FE0AE7">
          <w:rPr>
            <w:rFonts w:ascii="Book Antiqua" w:eastAsia="Times New Roman" w:hAnsi="Book Antiqua" w:cs="Arial"/>
            <w:color w:val="0000FF"/>
            <w:kern w:val="0"/>
            <w:sz w:val="19"/>
            <w:szCs w:val="19"/>
            <w:u w:val="single"/>
            <w:lang w:eastAsia="pt-BR"/>
            <w14:ligatures w14:val="none"/>
          </w:rPr>
          <w:t> do art. 150 da Constituição Federal.</w:t>
        </w:r>
      </w:hyperlink>
    </w:p>
    <w:p w14:paraId="0FBCC012"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 1º A imunidade tributária estende-se a todas as sanções de natureza tributária, exceto as previdenciárias, abrangidos a devolução e o recolhimento de valores, inclusive os determinados nos processos de prestação de contas eleitorais e anuais, bem como os juros incidentes, as multas ou as condenações aplicadas por órgãos da administração pública direta e indireta em processos administrativos ou judiciais em trâmite, em execução ou transitados em julgado, e resulta no cancelamento das sanções, na extinção dos processos e no levantamento de inscrições em cadastros de dívida ou inadimplência.</w:t>
      </w:r>
    </w:p>
    <w:p w14:paraId="572131B4"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 2º O disposto no § 1º deste artigo aplica-se aos processos administrativos ou judiciais nos quais a decisão administrativa, a ação de execução, a inscrição em cadastros de dívida ativa ou a inadimplência tenham ocorrido em prazo superior a 5 (cinco) anos.</w:t>
      </w:r>
    </w:p>
    <w:p w14:paraId="2F7CA4F4"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FE0AE7">
        <w:rPr>
          <w:rFonts w:ascii="Book Antiqua" w:eastAsia="Times New Roman" w:hAnsi="Book Antiqua" w:cs="Arial"/>
          <w:color w:val="000000"/>
          <w:kern w:val="0"/>
          <w:sz w:val="19"/>
          <w:szCs w:val="19"/>
          <w:lang w:eastAsia="pt-BR"/>
          <w14:ligatures w14:val="none"/>
        </w:rPr>
        <w:t xml:space="preserve">Art. 5º É instituído o Programa de Recuperação Fiscal (Refis) específico para partidos políticos e seus institutos ou fundações, para que regularizem seus débitos com isenção dos juros e das multas acumulados, aplicada apenas a correção monetária sobre os montantes originais, que poderá ocorrer a qualquer tempo, com o pagamento das obrigações apuradas em até 60 (sessenta) meses para as </w:t>
      </w:r>
      <w:r w:rsidRPr="00FE0AE7">
        <w:rPr>
          <w:rFonts w:ascii="Book Antiqua" w:eastAsia="Times New Roman" w:hAnsi="Book Antiqua" w:cs="Arial"/>
          <w:color w:val="000000"/>
          <w:kern w:val="0"/>
          <w:sz w:val="19"/>
          <w:szCs w:val="19"/>
          <w:lang w:eastAsia="pt-BR"/>
          <w14:ligatures w14:val="none"/>
        </w:rPr>
        <w:lastRenderedPageBreak/>
        <w:t>obrigações previdenciárias e em até 180 (cento e oitenta) meses para as demais obrigações, a critério do partido.</w:t>
      </w:r>
    </w:p>
    <w:p w14:paraId="5BD0E0F5"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FE0AE7">
        <w:rPr>
          <w:rFonts w:ascii="Book Antiqua" w:eastAsia="Times New Roman" w:hAnsi="Book Antiqua" w:cs="Arial"/>
          <w:color w:val="000000"/>
          <w:kern w:val="0"/>
          <w:sz w:val="19"/>
          <w:szCs w:val="19"/>
          <w:lang w:eastAsia="pt-BR"/>
          <w14:ligatures w14:val="none"/>
        </w:rPr>
        <w:t>Art. 6º É garantido aos partidos políticos e seus institutos ou fundações o uso de recursos do fundo partidário para o parcelamento de sanções e penalidades de multas eleitorais, de outras sanções e de débitos de natureza não eleitoral e para devolução de recursos ao erário e devolução de recursos públicos ou privados a eles imputados pela Justiça Eleitoral, inclusive os de origem não identificada, excetuados os recursos de fontes vedadas.</w:t>
      </w:r>
    </w:p>
    <w:p w14:paraId="7752F94F"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Parágrafo único. Os órgãos partidários de esfera hierarquicamente superior poderão utilizar os recursos do fundo partidário para a quitação de débitos, ainda que parcial, das obrigações referidas no </w:t>
      </w:r>
      <w:r w:rsidRPr="00FE0AE7">
        <w:rPr>
          <w:rFonts w:ascii="Book Antiqua" w:eastAsia="Times New Roman" w:hAnsi="Book Antiqua" w:cs="Arial"/>
          <w:b/>
          <w:bCs/>
          <w:color w:val="000000"/>
          <w:kern w:val="0"/>
          <w:sz w:val="19"/>
          <w:szCs w:val="19"/>
          <w:lang w:eastAsia="pt-BR"/>
          <w14:ligatures w14:val="none"/>
        </w:rPr>
        <w:t>caput</w:t>
      </w:r>
      <w:r w:rsidRPr="00FE0AE7">
        <w:rPr>
          <w:rFonts w:ascii="Book Antiqua" w:eastAsia="Times New Roman" w:hAnsi="Book Antiqua" w:cs="Arial"/>
          <w:color w:val="000000"/>
          <w:kern w:val="0"/>
          <w:sz w:val="19"/>
          <w:szCs w:val="19"/>
          <w:lang w:eastAsia="pt-BR"/>
          <w14:ligatures w14:val="none"/>
        </w:rPr>
        <w:t> deste artigo dos órgãos partidários de esferas inferiores, inclusive se o órgão originalmente responsável estiver impedido de receber esse tipo de recurso.</w:t>
      </w:r>
    </w:p>
    <w:p w14:paraId="45333187"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FE0AE7">
        <w:rPr>
          <w:rFonts w:ascii="Book Antiqua" w:eastAsia="Times New Roman" w:hAnsi="Book Antiqua" w:cs="Arial"/>
          <w:color w:val="000000"/>
          <w:kern w:val="0"/>
          <w:sz w:val="19"/>
          <w:szCs w:val="19"/>
          <w:lang w:eastAsia="pt-BR"/>
          <w14:ligatures w14:val="none"/>
        </w:rPr>
        <w:t>Art. 7º O disposto nesta Emenda Constitucional aplica-se aos órgãos partidários nacionais, estaduais, municipais e zonais e abrange os processos de prestação de contas de exercícios financeiros e eleitorais, independentemente de terem sido julgados ou de estarem em execução, mesmo que transitados em julgado.</w:t>
      </w:r>
    </w:p>
    <w:p w14:paraId="57FFDC30"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FE0AE7">
        <w:rPr>
          <w:rFonts w:ascii="Book Antiqua" w:eastAsia="Times New Roman" w:hAnsi="Book Antiqua" w:cs="Arial"/>
          <w:color w:val="000000"/>
          <w:kern w:val="0"/>
          <w:sz w:val="19"/>
          <w:szCs w:val="19"/>
          <w:lang w:eastAsia="pt-BR"/>
          <w14:ligatures w14:val="none"/>
        </w:rPr>
        <w:t>Art. 8º É dispensada a emissão do recibo eleitoral nas seguintes hipóteses:</w:t>
      </w:r>
    </w:p>
    <w:p w14:paraId="0DAEF69B"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 xml:space="preserve">I - </w:t>
      </w:r>
      <w:proofErr w:type="gramStart"/>
      <w:r w:rsidRPr="00FE0AE7">
        <w:rPr>
          <w:rFonts w:ascii="Book Antiqua" w:eastAsia="Times New Roman" w:hAnsi="Book Antiqua" w:cs="Arial"/>
          <w:color w:val="000000"/>
          <w:kern w:val="0"/>
          <w:sz w:val="19"/>
          <w:szCs w:val="19"/>
          <w:lang w:eastAsia="pt-BR"/>
          <w14:ligatures w14:val="none"/>
        </w:rPr>
        <w:t>doação</w:t>
      </w:r>
      <w:proofErr w:type="gramEnd"/>
      <w:r w:rsidRPr="00FE0AE7">
        <w:rPr>
          <w:rFonts w:ascii="Book Antiqua" w:eastAsia="Times New Roman" w:hAnsi="Book Antiqua" w:cs="Arial"/>
          <w:color w:val="000000"/>
          <w:kern w:val="0"/>
          <w:sz w:val="19"/>
          <w:szCs w:val="19"/>
          <w:lang w:eastAsia="pt-BR"/>
          <w14:ligatures w14:val="none"/>
        </w:rPr>
        <w:t xml:space="preserve"> do Fundo Especial de Financiamento de Campanha e do fundo partidário por meio de transferência bancária feita pelo partido aos candidatos e às candidatas;</w:t>
      </w:r>
    </w:p>
    <w:p w14:paraId="0C3751A2"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 xml:space="preserve">II - </w:t>
      </w:r>
      <w:proofErr w:type="gramStart"/>
      <w:r w:rsidRPr="00FE0AE7">
        <w:rPr>
          <w:rFonts w:ascii="Book Antiqua" w:eastAsia="Times New Roman" w:hAnsi="Book Antiqua" w:cs="Arial"/>
          <w:color w:val="000000"/>
          <w:kern w:val="0"/>
          <w:sz w:val="19"/>
          <w:szCs w:val="19"/>
          <w:lang w:eastAsia="pt-BR"/>
          <w14:ligatures w14:val="none"/>
        </w:rPr>
        <w:t>doações</w:t>
      </w:r>
      <w:proofErr w:type="gramEnd"/>
      <w:r w:rsidRPr="00FE0AE7">
        <w:rPr>
          <w:rFonts w:ascii="Book Antiqua" w:eastAsia="Times New Roman" w:hAnsi="Book Antiqua" w:cs="Arial"/>
          <w:color w:val="000000"/>
          <w:kern w:val="0"/>
          <w:sz w:val="19"/>
          <w:szCs w:val="19"/>
          <w:lang w:eastAsia="pt-BR"/>
          <w14:ligatures w14:val="none"/>
        </w:rPr>
        <w:t xml:space="preserve"> recebidas por meio de Pix por partidos, candidatos e candidatas.</w:t>
      </w:r>
    </w:p>
    <w:p w14:paraId="4143659B"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FE0AE7">
        <w:rPr>
          <w:rFonts w:ascii="Book Antiqua" w:eastAsia="Times New Roman" w:hAnsi="Book Antiqua" w:cs="Arial"/>
          <w:color w:val="000000"/>
          <w:kern w:val="0"/>
          <w:sz w:val="19"/>
          <w:szCs w:val="19"/>
          <w:lang w:eastAsia="pt-BR"/>
          <w14:ligatures w14:val="none"/>
        </w:rPr>
        <w:t>Art. 9º Esta Emenda Constitucional entra em vigor na data de sua publicação, aplicando-se a partir das eleições de 2024:</w:t>
      </w:r>
    </w:p>
    <w:p w14:paraId="519DB629"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 xml:space="preserve">I - </w:t>
      </w:r>
      <w:proofErr w:type="gramStart"/>
      <w:r w:rsidRPr="00FE0AE7">
        <w:rPr>
          <w:rFonts w:ascii="Book Antiqua" w:eastAsia="Times New Roman" w:hAnsi="Book Antiqua" w:cs="Arial"/>
          <w:color w:val="000000"/>
          <w:kern w:val="0"/>
          <w:sz w:val="19"/>
          <w:szCs w:val="19"/>
          <w:lang w:eastAsia="pt-BR"/>
          <w14:ligatures w14:val="none"/>
        </w:rPr>
        <w:t>o</w:t>
      </w:r>
      <w:proofErr w:type="gramEnd"/>
      <w:r w:rsidRPr="00FE0AE7">
        <w:rPr>
          <w:rFonts w:ascii="Book Antiqua" w:eastAsia="Times New Roman" w:hAnsi="Book Antiqua" w:cs="Arial"/>
          <w:color w:val="000000"/>
          <w:kern w:val="0"/>
          <w:sz w:val="19"/>
          <w:szCs w:val="19"/>
          <w:lang w:eastAsia="pt-BR"/>
          <w14:ligatures w14:val="none"/>
        </w:rPr>
        <w:t> </w:t>
      </w:r>
      <w:hyperlink r:id="rId7" w:anchor="art17%C2%A79" w:history="1">
        <w:r w:rsidRPr="00FE0AE7">
          <w:rPr>
            <w:rFonts w:ascii="Book Antiqua" w:eastAsia="Times New Roman" w:hAnsi="Book Antiqua" w:cs="Arial"/>
            <w:color w:val="0000FF"/>
            <w:kern w:val="0"/>
            <w:sz w:val="19"/>
            <w:szCs w:val="19"/>
            <w:u w:val="single"/>
            <w:lang w:eastAsia="pt-BR"/>
            <w14:ligatures w14:val="none"/>
          </w:rPr>
          <w:t>§ 9º do art. 17 da Constituição Federal</w:t>
        </w:r>
      </w:hyperlink>
      <w:r w:rsidRPr="00FE0AE7">
        <w:rPr>
          <w:rFonts w:ascii="Book Antiqua" w:eastAsia="Times New Roman" w:hAnsi="Book Antiqua" w:cs="Arial"/>
          <w:color w:val="000000"/>
          <w:kern w:val="0"/>
          <w:sz w:val="19"/>
          <w:szCs w:val="19"/>
          <w:lang w:eastAsia="pt-BR"/>
          <w14:ligatures w14:val="none"/>
        </w:rPr>
        <w:t>; e</w:t>
      </w:r>
    </w:p>
    <w:p w14:paraId="2A622E58" w14:textId="77777777" w:rsidR="00FE0AE7" w:rsidRPr="00FE0AE7" w:rsidRDefault="00FE0AE7" w:rsidP="00FE0AE7">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 xml:space="preserve">II - </w:t>
      </w:r>
      <w:proofErr w:type="gramStart"/>
      <w:r w:rsidRPr="00FE0AE7">
        <w:rPr>
          <w:rFonts w:ascii="Book Antiqua" w:eastAsia="Times New Roman" w:hAnsi="Book Antiqua" w:cs="Arial"/>
          <w:color w:val="000000"/>
          <w:kern w:val="0"/>
          <w:sz w:val="19"/>
          <w:szCs w:val="19"/>
          <w:lang w:eastAsia="pt-BR"/>
          <w14:ligatures w14:val="none"/>
        </w:rPr>
        <w:t>o</w:t>
      </w:r>
      <w:proofErr w:type="gramEnd"/>
      <w:r w:rsidRPr="00FE0AE7">
        <w:rPr>
          <w:rFonts w:ascii="Book Antiqua" w:eastAsia="Times New Roman" w:hAnsi="Book Antiqua" w:cs="Arial"/>
          <w:color w:val="000000"/>
          <w:kern w:val="0"/>
          <w:sz w:val="19"/>
          <w:szCs w:val="19"/>
          <w:lang w:eastAsia="pt-BR"/>
          <w14:ligatures w14:val="none"/>
        </w:rPr>
        <w:t xml:space="preserve"> art. 8º desta Emenda Constitucional.</w:t>
      </w:r>
    </w:p>
    <w:p w14:paraId="1398AB95"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000000"/>
          <w:kern w:val="0"/>
          <w:sz w:val="19"/>
          <w:szCs w:val="19"/>
          <w:lang w:eastAsia="pt-BR"/>
          <w14:ligatures w14:val="none"/>
        </w:rPr>
        <w:t>Brasília, em 22 de agosto de 2024</w:t>
      </w:r>
    </w:p>
    <w:tbl>
      <w:tblPr>
        <w:tblW w:w="9225" w:type="dxa"/>
        <w:jc w:val="center"/>
        <w:tblCellMar>
          <w:top w:w="15" w:type="dxa"/>
          <w:left w:w="15" w:type="dxa"/>
          <w:bottom w:w="15" w:type="dxa"/>
          <w:right w:w="15" w:type="dxa"/>
        </w:tblCellMar>
        <w:tblLook w:val="04A0" w:firstRow="1" w:lastRow="0" w:firstColumn="1" w:lastColumn="0" w:noHBand="0" w:noVBand="1"/>
      </w:tblPr>
      <w:tblGrid>
        <w:gridCol w:w="4466"/>
        <w:gridCol w:w="4759"/>
      </w:tblGrid>
      <w:tr w:rsidR="00FE0AE7" w:rsidRPr="00FE0AE7" w14:paraId="5F231BE5"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FB1CCA"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b/>
                <w:bCs/>
                <w:kern w:val="0"/>
                <w:sz w:val="19"/>
                <w:szCs w:val="19"/>
                <w:lang w:eastAsia="pt-BR"/>
                <w14:ligatures w14:val="none"/>
              </w:rPr>
              <w:t>Mesa da Câmara dos Deputados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8C4AEC"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b/>
                <w:bCs/>
                <w:kern w:val="0"/>
                <w:sz w:val="19"/>
                <w:szCs w:val="19"/>
                <w:lang w:eastAsia="pt-BR"/>
                <w14:ligatures w14:val="none"/>
              </w:rPr>
              <w:t>Mesa do Senado Federal</w:t>
            </w:r>
          </w:p>
        </w:tc>
      </w:tr>
      <w:tr w:rsidR="00FE0AE7" w:rsidRPr="00FE0AE7" w14:paraId="7C3E49C1"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F20A10"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Deputado ARTHUR LIRA</w:t>
            </w:r>
            <w:r w:rsidRPr="00FE0AE7">
              <w:rPr>
                <w:rFonts w:ascii="Book Antiqua" w:eastAsia="Times New Roman" w:hAnsi="Book Antiqua" w:cs="Arial"/>
                <w:kern w:val="0"/>
                <w:sz w:val="19"/>
                <w:szCs w:val="19"/>
                <w:lang w:eastAsia="pt-BR"/>
                <w14:ligatures w14:val="none"/>
              </w:rPr>
              <w:br/>
              <w:t>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78FAE7"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Senador RODRIGO PACHECO</w:t>
            </w:r>
            <w:r w:rsidRPr="00FE0AE7">
              <w:rPr>
                <w:rFonts w:ascii="Book Antiqua" w:eastAsia="Times New Roman" w:hAnsi="Book Antiqua" w:cs="Arial"/>
                <w:kern w:val="0"/>
                <w:sz w:val="19"/>
                <w:szCs w:val="19"/>
                <w:lang w:eastAsia="pt-BR"/>
                <w14:ligatures w14:val="none"/>
              </w:rPr>
              <w:br/>
              <w:t>Presidente</w:t>
            </w:r>
          </w:p>
        </w:tc>
      </w:tr>
      <w:tr w:rsidR="00FE0AE7" w:rsidRPr="00FE0AE7" w14:paraId="4FEFFC34"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A06925"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Deputado MARCOS PEREIRA</w:t>
            </w:r>
            <w:r w:rsidRPr="00FE0AE7">
              <w:rPr>
                <w:rFonts w:ascii="Book Antiqua" w:eastAsia="Times New Roman" w:hAnsi="Book Antiqua" w:cs="Arial"/>
                <w:kern w:val="0"/>
                <w:sz w:val="19"/>
                <w:szCs w:val="19"/>
                <w:lang w:eastAsia="pt-BR"/>
                <w14:ligatures w14:val="none"/>
              </w:rPr>
              <w:br/>
              <w:t> 1º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EEB058"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Senador VENEZIANO VITAL DO RÊGO</w:t>
            </w:r>
            <w:r w:rsidRPr="00FE0AE7">
              <w:rPr>
                <w:rFonts w:ascii="Book Antiqua" w:eastAsia="Times New Roman" w:hAnsi="Book Antiqua" w:cs="Arial"/>
                <w:kern w:val="0"/>
                <w:sz w:val="19"/>
                <w:szCs w:val="19"/>
                <w:lang w:eastAsia="pt-BR"/>
                <w14:ligatures w14:val="none"/>
              </w:rPr>
              <w:br/>
              <w:t>1º Vice-Presidente</w:t>
            </w:r>
          </w:p>
        </w:tc>
      </w:tr>
      <w:tr w:rsidR="00FE0AE7" w:rsidRPr="00FE0AE7" w14:paraId="642DDB21"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AB47BC"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Deputado SÓSTENES CAVALCANTE</w:t>
            </w:r>
            <w:r w:rsidRPr="00FE0AE7">
              <w:rPr>
                <w:rFonts w:ascii="Book Antiqua" w:eastAsia="Times New Roman" w:hAnsi="Book Antiqua" w:cs="Arial"/>
                <w:kern w:val="0"/>
                <w:sz w:val="19"/>
                <w:szCs w:val="19"/>
                <w:lang w:eastAsia="pt-BR"/>
                <w14:ligatures w14:val="none"/>
              </w:rPr>
              <w:br/>
              <w:t> 2º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EBBFE6"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Senador RODRIGO CUNHA</w:t>
            </w:r>
            <w:r w:rsidRPr="00FE0AE7">
              <w:rPr>
                <w:rFonts w:ascii="Book Antiqua" w:eastAsia="Times New Roman" w:hAnsi="Book Antiqua" w:cs="Arial"/>
                <w:kern w:val="0"/>
                <w:sz w:val="19"/>
                <w:szCs w:val="19"/>
                <w:lang w:eastAsia="pt-BR"/>
                <w14:ligatures w14:val="none"/>
              </w:rPr>
              <w:br/>
              <w:t> 2º Vice-Presidente</w:t>
            </w:r>
          </w:p>
        </w:tc>
      </w:tr>
      <w:tr w:rsidR="00FE0AE7" w:rsidRPr="00FE0AE7" w14:paraId="145DA268"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3C7580"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Deputado LUCIANO BIVAR</w:t>
            </w:r>
            <w:r w:rsidRPr="00FE0AE7">
              <w:rPr>
                <w:rFonts w:ascii="Book Antiqua" w:eastAsia="Times New Roman" w:hAnsi="Book Antiqua" w:cs="Arial"/>
                <w:kern w:val="0"/>
                <w:sz w:val="19"/>
                <w:szCs w:val="19"/>
                <w:lang w:eastAsia="pt-BR"/>
                <w14:ligatures w14:val="none"/>
              </w:rPr>
              <w:br/>
              <w:t>1º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749AA7"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Senador ROGÉRIO CARVALHO</w:t>
            </w:r>
            <w:r w:rsidRPr="00FE0AE7">
              <w:rPr>
                <w:rFonts w:ascii="Book Antiqua" w:eastAsia="Times New Roman" w:hAnsi="Book Antiqua" w:cs="Arial"/>
                <w:kern w:val="0"/>
                <w:sz w:val="19"/>
                <w:szCs w:val="19"/>
                <w:lang w:eastAsia="pt-BR"/>
                <w14:ligatures w14:val="none"/>
              </w:rPr>
              <w:br/>
              <w:t> 1º Secretário</w:t>
            </w:r>
          </w:p>
        </w:tc>
      </w:tr>
      <w:tr w:rsidR="00FE0AE7" w:rsidRPr="00FE0AE7" w14:paraId="5DF60226"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2C29ED" w14:textId="77777777" w:rsidR="00FE0AE7" w:rsidRPr="00FE0AE7" w:rsidRDefault="00FE0AE7" w:rsidP="00FE0AE7">
            <w:pPr>
              <w:spacing w:before="100" w:beforeAutospacing="1" w:after="100" w:afterAutospacing="1" w:line="240" w:lineRule="auto"/>
              <w:jc w:val="center"/>
              <w:rPr>
                <w:rFonts w:ascii="Book Antiqua" w:eastAsia="Times New Roman" w:hAnsi="Book Antiqua" w:cs="Arial"/>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Deputada MARIA DO ROSÁRIO</w:t>
            </w:r>
            <w:r w:rsidRPr="00FE0AE7">
              <w:rPr>
                <w:rFonts w:ascii="Book Antiqua" w:eastAsia="Times New Roman" w:hAnsi="Book Antiqua" w:cs="Arial"/>
                <w:kern w:val="0"/>
                <w:sz w:val="19"/>
                <w:szCs w:val="19"/>
                <w:lang w:eastAsia="pt-BR"/>
                <w14:ligatures w14:val="none"/>
              </w:rPr>
              <w:br/>
              <w:t> 2ª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514CA4"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Senador WEVERTON</w:t>
            </w:r>
            <w:r w:rsidRPr="00FE0AE7">
              <w:rPr>
                <w:rFonts w:ascii="Book Antiqua" w:eastAsia="Times New Roman" w:hAnsi="Book Antiqua" w:cs="Arial"/>
                <w:kern w:val="0"/>
                <w:sz w:val="19"/>
                <w:szCs w:val="19"/>
                <w:lang w:eastAsia="pt-BR"/>
                <w14:ligatures w14:val="none"/>
              </w:rPr>
              <w:br/>
              <w:t> 2º Secretário</w:t>
            </w:r>
          </w:p>
        </w:tc>
      </w:tr>
      <w:tr w:rsidR="00FE0AE7" w:rsidRPr="00FE0AE7" w14:paraId="6A9D9F05"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BD4C16" w14:textId="77777777" w:rsidR="00FE0AE7" w:rsidRPr="00FE0AE7" w:rsidRDefault="00FE0AE7" w:rsidP="00FE0AE7">
            <w:pPr>
              <w:spacing w:before="100" w:beforeAutospacing="1" w:after="100" w:afterAutospacing="1" w:line="240" w:lineRule="auto"/>
              <w:jc w:val="center"/>
              <w:rPr>
                <w:rFonts w:ascii="Book Antiqua" w:eastAsia="Times New Roman" w:hAnsi="Book Antiqua" w:cs="Arial"/>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Deputado JÚLIO CÉSAR</w:t>
            </w:r>
            <w:r w:rsidRPr="00FE0AE7">
              <w:rPr>
                <w:rFonts w:ascii="Book Antiqua" w:eastAsia="Times New Roman" w:hAnsi="Book Antiqua" w:cs="Arial"/>
                <w:kern w:val="0"/>
                <w:sz w:val="19"/>
                <w:szCs w:val="19"/>
                <w:lang w:eastAsia="pt-BR"/>
                <w14:ligatures w14:val="none"/>
              </w:rPr>
              <w:br/>
              <w:t> 3º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1CD17E"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Senador CHICO RODRIGUES</w:t>
            </w:r>
            <w:r w:rsidRPr="00FE0AE7">
              <w:rPr>
                <w:rFonts w:ascii="Book Antiqua" w:eastAsia="Times New Roman" w:hAnsi="Book Antiqua" w:cs="Arial"/>
                <w:kern w:val="0"/>
                <w:sz w:val="19"/>
                <w:szCs w:val="19"/>
                <w:lang w:eastAsia="pt-BR"/>
                <w14:ligatures w14:val="none"/>
              </w:rPr>
              <w:br/>
              <w:t> 3º Secretário</w:t>
            </w:r>
          </w:p>
        </w:tc>
      </w:tr>
      <w:tr w:rsidR="00FE0AE7" w:rsidRPr="00FE0AE7" w14:paraId="463B14B6" w14:textId="77777777" w:rsidTr="00FE0AE7">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EA7143"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Deputado LUCIO MOSQUINI</w:t>
            </w:r>
            <w:r w:rsidRPr="00FE0AE7">
              <w:rPr>
                <w:rFonts w:ascii="Book Antiqua" w:eastAsia="Times New Roman" w:hAnsi="Book Antiqua" w:cs="Arial"/>
                <w:kern w:val="0"/>
                <w:sz w:val="19"/>
                <w:szCs w:val="19"/>
                <w:lang w:eastAsia="pt-BR"/>
                <w14:ligatures w14:val="none"/>
              </w:rPr>
              <w:br/>
              <w:t> 4º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C07E724" w14:textId="77777777" w:rsidR="00FE0AE7" w:rsidRPr="00FE0AE7" w:rsidRDefault="00FE0AE7" w:rsidP="00FE0AE7">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FE0AE7">
              <w:rPr>
                <w:rFonts w:ascii="Book Antiqua" w:eastAsia="Times New Roman" w:hAnsi="Book Antiqua" w:cs="Arial"/>
                <w:kern w:val="0"/>
                <w:sz w:val="19"/>
                <w:szCs w:val="19"/>
                <w:lang w:eastAsia="pt-BR"/>
                <w14:ligatures w14:val="none"/>
              </w:rPr>
              <w:t>Senador STYVENSON VALENTIM</w:t>
            </w:r>
            <w:r w:rsidRPr="00FE0AE7">
              <w:rPr>
                <w:rFonts w:ascii="Book Antiqua" w:eastAsia="Times New Roman" w:hAnsi="Book Antiqua" w:cs="Arial"/>
                <w:kern w:val="0"/>
                <w:sz w:val="19"/>
                <w:szCs w:val="19"/>
                <w:lang w:eastAsia="pt-BR"/>
                <w14:ligatures w14:val="none"/>
              </w:rPr>
              <w:br/>
              <w:t> 4º Secretário</w:t>
            </w:r>
          </w:p>
        </w:tc>
      </w:tr>
    </w:tbl>
    <w:p w14:paraId="639672A4" w14:textId="77777777" w:rsidR="00FE0AE7" w:rsidRPr="00FE0AE7" w:rsidRDefault="00FE0AE7" w:rsidP="00FE0AE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FE0AE7">
        <w:rPr>
          <w:rFonts w:ascii="Book Antiqua" w:eastAsia="Times New Roman" w:hAnsi="Book Antiqua" w:cs="Arial"/>
          <w:color w:val="FF0000"/>
          <w:kern w:val="0"/>
          <w:sz w:val="19"/>
          <w:szCs w:val="19"/>
          <w:lang w:eastAsia="pt-BR"/>
          <w14:ligatures w14:val="none"/>
        </w:rPr>
        <w:t>Este texto não substitui o publicado no DOU 23.8.2024</w:t>
      </w:r>
    </w:p>
    <w:p w14:paraId="74E88899" w14:textId="77777777" w:rsidR="00BB7FE6" w:rsidRPr="00FE0AE7" w:rsidRDefault="00BB7FE6" w:rsidP="00FE0AE7">
      <w:pPr>
        <w:spacing w:before="100" w:beforeAutospacing="1" w:after="100" w:afterAutospacing="1" w:line="240" w:lineRule="auto"/>
        <w:rPr>
          <w:rFonts w:ascii="Book Antiqua" w:hAnsi="Book Antiqua"/>
          <w:sz w:val="19"/>
          <w:szCs w:val="19"/>
        </w:rPr>
      </w:pPr>
    </w:p>
    <w:sectPr w:rsidR="00BB7FE6" w:rsidRPr="00FE0AE7" w:rsidSect="00FE0AE7">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AE"/>
    <w:rsid w:val="007D1A00"/>
    <w:rsid w:val="00BB7FE6"/>
    <w:rsid w:val="00CD37AE"/>
    <w:rsid w:val="00D346F6"/>
    <w:rsid w:val="00FE0A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DC397E-866E-49D5-B94C-3877A18A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84424">
      <w:bodyDiv w:val="1"/>
      <w:marLeft w:val="0"/>
      <w:marRight w:val="0"/>
      <w:marTop w:val="0"/>
      <w:marBottom w:val="0"/>
      <w:divBdr>
        <w:top w:val="none" w:sz="0" w:space="0" w:color="auto"/>
        <w:left w:val="none" w:sz="0" w:space="0" w:color="auto"/>
        <w:bottom w:val="none" w:sz="0" w:space="0" w:color="auto"/>
        <w:right w:val="none" w:sz="0" w:space="0" w:color="auto"/>
      </w:divBdr>
      <w:divsChild>
        <w:div w:id="1884948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620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lanalto.gov.br/ccivil_03/Constituicao/Constituicao.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5" Type="http://schemas.openxmlformats.org/officeDocument/2006/relationships/hyperlink" Target="https://www.planalto.gov.br/ccivil_03/Constituicao/Constituicao.htm" TargetMode="External"/><Relationship Id="rId4" Type="http://schemas.openxmlformats.org/officeDocument/2006/relationships/hyperlink" Target="https://www.planalto.gov.br/ccivil_03/Constituicao/Constituicao.htm"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1050</Words>
  <Characters>5671</Characters>
  <Application>Microsoft Office Word</Application>
  <DocSecurity>0</DocSecurity>
  <Lines>47</Lines>
  <Paragraphs>13</Paragraphs>
  <ScaleCrop>false</ScaleCrop>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2024-08-30T17:17:00Z</dcterms:created>
  <dcterms:modified xsi:type="dcterms:W3CDTF">2024-08-30T17:18:00Z</dcterms:modified>
</cp:coreProperties>
</file>