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84B0F" w14:textId="519CD6DE" w:rsidR="00336ED3" w:rsidRPr="00336ED3" w:rsidRDefault="00336ED3" w:rsidP="005363F7">
      <w:pPr>
        <w:spacing w:before="100" w:beforeAutospacing="1" w:after="100" w:afterAutospacing="1" w:line="240" w:lineRule="auto"/>
        <w:jc w:val="center"/>
        <w:rPr>
          <w:rFonts w:ascii="Book Antiqua" w:eastAsia="Times New Roman" w:hAnsi="Book Antiqua" w:cs="Times New Roman"/>
          <w:b/>
          <w:bCs/>
          <w:color w:val="FF0000"/>
          <w:sz w:val="18"/>
          <w:szCs w:val="18"/>
          <w:lang w:eastAsia="pt-BR"/>
        </w:rPr>
      </w:pPr>
      <w:r w:rsidRPr="00336ED3">
        <w:rPr>
          <w:rFonts w:ascii="Book Antiqua" w:eastAsia="Times New Roman" w:hAnsi="Book Antiqua" w:cs="Times New Roman"/>
          <w:b/>
          <w:bCs/>
          <w:color w:val="FF0000"/>
          <w:sz w:val="18"/>
          <w:szCs w:val="18"/>
          <w:lang w:eastAsia="pt-BR"/>
        </w:rPr>
        <w:t>(Atualização em 01/09/2024: questões de concurso)</w:t>
      </w:r>
    </w:p>
    <w:p w14:paraId="3FB34538" w14:textId="4F133BC1" w:rsidR="005363F7" w:rsidRPr="005363F7" w:rsidRDefault="005363F7" w:rsidP="005363F7">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hyperlink r:id="rId6" w:history="1">
        <w:r w:rsidRPr="005363F7">
          <w:rPr>
            <w:rFonts w:ascii="Book Antiqua" w:eastAsia="Times New Roman" w:hAnsi="Book Antiqua" w:cs="Arial"/>
            <w:b/>
            <w:bCs/>
            <w:color w:val="000080"/>
            <w:sz w:val="18"/>
            <w:szCs w:val="18"/>
            <w:lang w:eastAsia="pt-BR"/>
          </w:rPr>
          <w:t>EMENDA CONSTITUCIONAL Nº 20, DE 15 DE DEZEMBRO DE 1998</w:t>
        </w:r>
      </w:hyperlink>
    </w:p>
    <w:tbl>
      <w:tblPr>
        <w:tblW w:w="5000" w:type="pct"/>
        <w:tblCellSpacing w:w="0" w:type="dxa"/>
        <w:tblCellMar>
          <w:left w:w="0" w:type="dxa"/>
          <w:right w:w="0" w:type="dxa"/>
        </w:tblCellMar>
        <w:tblLook w:val="04A0" w:firstRow="1" w:lastRow="0" w:firstColumn="1" w:lastColumn="0" w:noHBand="0" w:noVBand="1"/>
      </w:tblPr>
      <w:tblGrid>
        <w:gridCol w:w="1418"/>
        <w:gridCol w:w="7086"/>
      </w:tblGrid>
      <w:tr w:rsidR="005363F7" w:rsidRPr="005363F7" w14:paraId="2606CEA5" w14:textId="77777777" w:rsidTr="005363F7">
        <w:trPr>
          <w:tblCellSpacing w:w="0" w:type="dxa"/>
        </w:trPr>
        <w:tc>
          <w:tcPr>
            <w:tcW w:w="834" w:type="pct"/>
            <w:vAlign w:val="center"/>
            <w:hideMark/>
          </w:tcPr>
          <w:p w14:paraId="5B735C4B" w14:textId="77777777" w:rsidR="005363F7" w:rsidRPr="005363F7" w:rsidRDefault="005363F7" w:rsidP="005363F7">
            <w:pPr>
              <w:spacing w:after="0" w:line="240" w:lineRule="auto"/>
              <w:jc w:val="both"/>
              <w:rPr>
                <w:rFonts w:ascii="Book Antiqua" w:eastAsia="Times New Roman" w:hAnsi="Book Antiqua" w:cs="Times New Roman"/>
                <w:color w:val="000000"/>
                <w:sz w:val="18"/>
                <w:szCs w:val="18"/>
                <w:lang w:eastAsia="pt-BR"/>
              </w:rPr>
            </w:pPr>
          </w:p>
        </w:tc>
        <w:tc>
          <w:tcPr>
            <w:tcW w:w="4166" w:type="pct"/>
            <w:vAlign w:val="center"/>
            <w:hideMark/>
          </w:tcPr>
          <w:p w14:paraId="73A8991C"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sz w:val="18"/>
                <w:szCs w:val="18"/>
                <w:lang w:eastAsia="pt-BR"/>
              </w:rPr>
            </w:pPr>
            <w:r w:rsidRPr="005363F7">
              <w:rPr>
                <w:rFonts w:ascii="Book Antiqua" w:eastAsia="Times New Roman" w:hAnsi="Book Antiqua" w:cs="Arial"/>
                <w:color w:val="800000"/>
                <w:sz w:val="18"/>
                <w:szCs w:val="18"/>
                <w:lang w:eastAsia="pt-BR"/>
              </w:rPr>
              <w:t>Modifica o sistema de previdência social, estabelece normas de transição e dá outras providências.</w:t>
            </w:r>
          </w:p>
        </w:tc>
      </w:tr>
    </w:tbl>
    <w:p w14:paraId="6E325300" w14:textId="77777777" w:rsidR="005363F7" w:rsidRPr="005363F7" w:rsidRDefault="005363F7" w:rsidP="005363F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As Mesas da Câmara dos Deputados e do Senado Federal, nos termos </w:t>
      </w:r>
      <w:proofErr w:type="gramStart"/>
      <w:r w:rsidRPr="005363F7">
        <w:rPr>
          <w:rFonts w:ascii="Book Antiqua" w:eastAsia="Times New Roman" w:hAnsi="Book Antiqua" w:cs="Arial"/>
          <w:color w:val="000000"/>
          <w:sz w:val="19"/>
          <w:szCs w:val="19"/>
          <w:lang w:eastAsia="pt-BR"/>
        </w:rPr>
        <w:t>do  §</w:t>
      </w:r>
      <w:proofErr w:type="gramEnd"/>
      <w:r w:rsidRPr="005363F7">
        <w:rPr>
          <w:rFonts w:ascii="Book Antiqua" w:eastAsia="Times New Roman" w:hAnsi="Book Antiqua" w:cs="Arial"/>
          <w:color w:val="000000"/>
          <w:sz w:val="19"/>
          <w:szCs w:val="19"/>
          <w:lang w:eastAsia="pt-BR"/>
        </w:rPr>
        <w:t xml:space="preserve"> 3º do art. 60 da Constituição Federal, promulgam a seguinte emenda ao texto constitucional:</w:t>
      </w:r>
    </w:p>
    <w:p w14:paraId="1BA716A5" w14:textId="77777777" w:rsidR="005363F7" w:rsidRPr="005363F7" w:rsidRDefault="005363F7" w:rsidP="005363F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5363F7">
        <w:rPr>
          <w:rFonts w:ascii="Book Antiqua" w:eastAsia="Times New Roman" w:hAnsi="Book Antiqua" w:cs="Arial"/>
          <w:color w:val="000000"/>
          <w:sz w:val="19"/>
          <w:szCs w:val="19"/>
          <w:lang w:eastAsia="pt-BR"/>
        </w:rPr>
        <w:t>Art. 1º - A Constituição Federal passa a vigorar com as seguintes alterações:</w:t>
      </w:r>
    </w:p>
    <w:p w14:paraId="741C844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7º - ..........................................................................................</w:t>
      </w:r>
    </w:p>
    <w:p w14:paraId="050C0E9C"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7" w:anchor="art7xii" w:history="1">
        <w:r w:rsidR="005363F7" w:rsidRPr="005363F7">
          <w:rPr>
            <w:rFonts w:ascii="Book Antiqua" w:eastAsia="Times New Roman" w:hAnsi="Book Antiqua" w:cs="Arial"/>
            <w:color w:val="0000FF"/>
            <w:sz w:val="19"/>
            <w:szCs w:val="19"/>
            <w:u w:val="single"/>
            <w:lang w:eastAsia="pt-BR"/>
          </w:rPr>
          <w:t>XII -</w:t>
        </w:r>
      </w:hyperlink>
      <w:r w:rsidR="005363F7" w:rsidRPr="005363F7">
        <w:rPr>
          <w:rFonts w:ascii="Book Antiqua" w:eastAsia="Times New Roman" w:hAnsi="Book Antiqua" w:cs="Arial"/>
          <w:color w:val="000000"/>
          <w:sz w:val="19"/>
          <w:szCs w:val="19"/>
          <w:lang w:eastAsia="pt-BR"/>
        </w:rPr>
        <w:t> salário-família pago em razão do dependente do trabalhador de baixa renda nos termos da lei;</w:t>
      </w:r>
    </w:p>
    <w:p w14:paraId="3A9936BC"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w:t>
      </w:r>
    </w:p>
    <w:p w14:paraId="22D5AFC0"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8" w:anchor="art7xxxiii" w:history="1">
        <w:r w:rsidR="005363F7" w:rsidRPr="005363F7">
          <w:rPr>
            <w:rFonts w:ascii="Book Antiqua" w:eastAsia="Times New Roman" w:hAnsi="Book Antiqua" w:cs="Arial"/>
            <w:color w:val="0000FF"/>
            <w:sz w:val="19"/>
            <w:szCs w:val="19"/>
            <w:u w:val="single"/>
            <w:lang w:eastAsia="pt-BR"/>
          </w:rPr>
          <w:t>XXXIII -</w:t>
        </w:r>
      </w:hyperlink>
      <w:r w:rsidR="005363F7" w:rsidRPr="005363F7">
        <w:rPr>
          <w:rFonts w:ascii="Book Antiqua" w:eastAsia="Times New Roman" w:hAnsi="Book Antiqua" w:cs="Arial"/>
          <w:color w:val="000000"/>
          <w:sz w:val="19"/>
          <w:szCs w:val="19"/>
          <w:lang w:eastAsia="pt-BR"/>
        </w:rPr>
        <w:t> proibição de trabalho noturno, perigoso ou insalubre a menores de dezoito e de qualquer trabalho a menores de dezesseis anos, salvo na condição de aprendiz, a partir de quatorze anos;</w:t>
      </w:r>
    </w:p>
    <w:p w14:paraId="7AC43057"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w:t>
      </w:r>
    </w:p>
    <w:p w14:paraId="537F6068"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37 - ........................................................................................</w:t>
      </w:r>
    </w:p>
    <w:p w14:paraId="58A257B6"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9" w:anchor="art37%C2%A710" w:history="1">
        <w:r w:rsidR="005363F7" w:rsidRPr="005363F7">
          <w:rPr>
            <w:rFonts w:ascii="Book Antiqua" w:eastAsia="Times New Roman" w:hAnsi="Book Antiqua" w:cs="Arial"/>
            <w:color w:val="0000FF"/>
            <w:sz w:val="19"/>
            <w:szCs w:val="19"/>
            <w:u w:val="single"/>
            <w:lang w:eastAsia="pt-BR"/>
          </w:rPr>
          <w:t>§ 10 -</w:t>
        </w:r>
      </w:hyperlink>
      <w:r w:rsidR="005363F7" w:rsidRPr="005363F7">
        <w:rPr>
          <w:rFonts w:ascii="Book Antiqua" w:eastAsia="Times New Roman" w:hAnsi="Book Antiqua" w:cs="Arial"/>
          <w:color w:val="000000"/>
          <w:sz w:val="19"/>
          <w:szCs w:val="19"/>
          <w:lang w:eastAsia="pt-BR"/>
        </w:rPr>
        <w:t xml:space="preserve"> É vedada a percepção simultânea de proventos de aposentadoria decorrentes do art. 40 ou dos </w:t>
      </w:r>
      <w:proofErr w:type="spellStart"/>
      <w:r w:rsidR="005363F7" w:rsidRPr="005363F7">
        <w:rPr>
          <w:rFonts w:ascii="Book Antiqua" w:eastAsia="Times New Roman" w:hAnsi="Book Antiqua" w:cs="Arial"/>
          <w:color w:val="000000"/>
          <w:sz w:val="19"/>
          <w:szCs w:val="19"/>
          <w:lang w:eastAsia="pt-BR"/>
        </w:rPr>
        <w:t>arts</w:t>
      </w:r>
      <w:proofErr w:type="spellEnd"/>
      <w:r w:rsidR="005363F7" w:rsidRPr="005363F7">
        <w:rPr>
          <w:rFonts w:ascii="Book Antiqua" w:eastAsia="Times New Roman" w:hAnsi="Book Antiqua" w:cs="Arial"/>
          <w:color w:val="000000"/>
          <w:sz w:val="19"/>
          <w:szCs w:val="19"/>
          <w:lang w:eastAsia="pt-BR"/>
        </w:rPr>
        <w:t>. 42 e 142 com a remuneração de cargo, emprego ou função pública, ressalvados os cargos acumuláveis na forma desta Constituição, os cargos eletivos e os cargos em comissão declarados em lei de livre nomeação e exoneração."</w:t>
      </w:r>
    </w:p>
    <w:p w14:paraId="670BCA77"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0" w:anchor="art40" w:history="1">
        <w:r w:rsidR="005363F7" w:rsidRPr="005363F7">
          <w:rPr>
            <w:rFonts w:ascii="Book Antiqua" w:eastAsia="Times New Roman" w:hAnsi="Book Antiqua" w:cs="Arial"/>
            <w:color w:val="0000FF"/>
            <w:sz w:val="19"/>
            <w:szCs w:val="19"/>
            <w:u w:val="single"/>
            <w:lang w:eastAsia="pt-BR"/>
          </w:rPr>
          <w:t>"Art. 40 -</w:t>
        </w:r>
      </w:hyperlink>
      <w:r w:rsidR="005363F7" w:rsidRPr="005363F7">
        <w:rPr>
          <w:rFonts w:ascii="Book Antiqua" w:eastAsia="Times New Roman" w:hAnsi="Book Antiqua" w:cs="Arial"/>
          <w:color w:val="000000"/>
          <w:sz w:val="19"/>
          <w:szCs w:val="19"/>
          <w:lang w:eastAsia="pt-BR"/>
        </w:rPr>
        <w:t> Aos servidores titulares de cargos efetivos da União, dos Estados, do Distrito Federal e dos Municípios, incluídas suas autarquias e fundações, é assegurado regime de previdência de caráter contributivo, observados critérios que preservem o equilíbrio financeiro e atuarial e o disposto neste artigo.</w:t>
      </w:r>
    </w:p>
    <w:p w14:paraId="4A631FE8"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 1º - Os servidores abrangidos pelo regime de previdência de que trata este artigo serão aposentados, calculados os seus proventos a partir dos valores fixados na forma </w:t>
      </w:r>
      <w:proofErr w:type="gramStart"/>
      <w:r w:rsidRPr="005363F7">
        <w:rPr>
          <w:rFonts w:ascii="Book Antiqua" w:eastAsia="Times New Roman" w:hAnsi="Book Antiqua" w:cs="Arial"/>
          <w:color w:val="000000"/>
          <w:sz w:val="19"/>
          <w:szCs w:val="19"/>
          <w:lang w:eastAsia="pt-BR"/>
        </w:rPr>
        <w:t>do  §</w:t>
      </w:r>
      <w:proofErr w:type="gramEnd"/>
      <w:r w:rsidRPr="005363F7">
        <w:rPr>
          <w:rFonts w:ascii="Book Antiqua" w:eastAsia="Times New Roman" w:hAnsi="Book Antiqua" w:cs="Arial"/>
          <w:color w:val="000000"/>
          <w:sz w:val="19"/>
          <w:szCs w:val="19"/>
          <w:lang w:eastAsia="pt-BR"/>
        </w:rPr>
        <w:t xml:space="preserve"> 3º:</w:t>
      </w:r>
    </w:p>
    <w:p w14:paraId="57CBD79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I - </w:t>
      </w:r>
      <w:proofErr w:type="gramStart"/>
      <w:r w:rsidRPr="005363F7">
        <w:rPr>
          <w:rFonts w:ascii="Book Antiqua" w:eastAsia="Times New Roman" w:hAnsi="Book Antiqua" w:cs="Arial"/>
          <w:color w:val="000000"/>
          <w:sz w:val="19"/>
          <w:szCs w:val="19"/>
          <w:lang w:eastAsia="pt-BR"/>
        </w:rPr>
        <w:t>por</w:t>
      </w:r>
      <w:proofErr w:type="gramEnd"/>
      <w:r w:rsidRPr="005363F7">
        <w:rPr>
          <w:rFonts w:ascii="Book Antiqua" w:eastAsia="Times New Roman" w:hAnsi="Book Antiqua" w:cs="Arial"/>
          <w:color w:val="000000"/>
          <w:sz w:val="19"/>
          <w:szCs w:val="19"/>
          <w:lang w:eastAsia="pt-BR"/>
        </w:rPr>
        <w:t xml:space="preserve"> invalidez permanente, sendo os proventos proporcionais ao tempo de contribuição, exceto se decorrente de acidente em serviço, moléstia profissional ou doença grave, contagiosa ou incurável, especificadas em lei;</w:t>
      </w:r>
    </w:p>
    <w:p w14:paraId="421B245C"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II - </w:t>
      </w:r>
      <w:proofErr w:type="gramStart"/>
      <w:r w:rsidRPr="005363F7">
        <w:rPr>
          <w:rFonts w:ascii="Book Antiqua" w:eastAsia="Times New Roman" w:hAnsi="Book Antiqua" w:cs="Arial"/>
          <w:color w:val="000000"/>
          <w:sz w:val="19"/>
          <w:szCs w:val="19"/>
          <w:lang w:eastAsia="pt-BR"/>
        </w:rPr>
        <w:t>compulsoriamente</w:t>
      </w:r>
      <w:proofErr w:type="gramEnd"/>
      <w:r w:rsidRPr="005363F7">
        <w:rPr>
          <w:rFonts w:ascii="Book Antiqua" w:eastAsia="Times New Roman" w:hAnsi="Book Antiqua" w:cs="Arial"/>
          <w:color w:val="000000"/>
          <w:sz w:val="19"/>
          <w:szCs w:val="19"/>
          <w:lang w:eastAsia="pt-BR"/>
        </w:rPr>
        <w:t>, aos setenta anos de idade, com proventos proporcionais ao tempo de contribuição;</w:t>
      </w:r>
    </w:p>
    <w:p w14:paraId="264EA91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III - voluntariamente, desde que cumprido tempo mínimo de dez anos de efetivo exercício no serviço público e cinco anos no cargo efetivo em que se dará a aposentadoria, observadas as seguintes condições:</w:t>
      </w:r>
    </w:p>
    <w:p w14:paraId="32BA0F75"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a) sessenta anos de idade e trinta e cinco de contribuição, se homem, e </w:t>
      </w:r>
      <w:proofErr w:type="spellStart"/>
      <w:r w:rsidRPr="005363F7">
        <w:rPr>
          <w:rFonts w:ascii="Book Antiqua" w:eastAsia="Times New Roman" w:hAnsi="Book Antiqua" w:cs="Arial"/>
          <w:color w:val="000000"/>
          <w:sz w:val="19"/>
          <w:szCs w:val="19"/>
          <w:lang w:eastAsia="pt-BR"/>
        </w:rPr>
        <w:t>cinqüenta</w:t>
      </w:r>
      <w:proofErr w:type="spellEnd"/>
      <w:r w:rsidRPr="005363F7">
        <w:rPr>
          <w:rFonts w:ascii="Book Antiqua" w:eastAsia="Times New Roman" w:hAnsi="Book Antiqua" w:cs="Arial"/>
          <w:color w:val="000000"/>
          <w:sz w:val="19"/>
          <w:szCs w:val="19"/>
          <w:lang w:eastAsia="pt-BR"/>
        </w:rPr>
        <w:t xml:space="preserve"> e cinco anos de idade e trinta de contribuição, se mulher;</w:t>
      </w:r>
    </w:p>
    <w:p w14:paraId="26EFBA25"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b) sessenta e cinco anos de idade, se homem, e sessenta anos de idade, se mulher, com proventos proporcionais ao tempo de contribuição.</w:t>
      </w:r>
    </w:p>
    <w:p w14:paraId="55C4F196"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2º - Os proventos de aposentadoria e as pensões, por ocasião de sua concessão, não poderão exceder a remuneração do respectivo servidor, no cargo efetivo em que se deu a aposentadoria ou que serviu de referência para a concessão da pensão.</w:t>
      </w:r>
    </w:p>
    <w:p w14:paraId="7F74E0A7"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lastRenderedPageBreak/>
        <w:t>§ 3º - Os proventos de aposentadoria, por ocasião da sua concessão, serão calculados com base na remuneração do servidor no cargo efetivo em que se der a aposentadoria e, na forma da lei, corresponderão à totalidade da remuneração.</w:t>
      </w:r>
    </w:p>
    <w:p w14:paraId="41DB6CB7"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4º - É vedada a adoção de requisitos e critérios diferenciados para a concessão de aposentadoria aos abrangidos pelo regime de que trata este artigo, ressalvados os casos de atividades exercidas exclusivamente sob condições especiais que prejudiquem a saúde ou a integridade física, definidos em lei complementar.</w:t>
      </w:r>
    </w:p>
    <w:p w14:paraId="19E680AC"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 5º - Os requisitos de idade e de tempo de contribuição serão reduzidos em cinco anos, em relação ao disposto </w:t>
      </w:r>
      <w:proofErr w:type="gramStart"/>
      <w:r w:rsidRPr="005363F7">
        <w:rPr>
          <w:rFonts w:ascii="Book Antiqua" w:eastAsia="Times New Roman" w:hAnsi="Book Antiqua" w:cs="Arial"/>
          <w:color w:val="000000"/>
          <w:sz w:val="19"/>
          <w:szCs w:val="19"/>
          <w:lang w:eastAsia="pt-BR"/>
        </w:rPr>
        <w:t>no  §</w:t>
      </w:r>
      <w:proofErr w:type="gramEnd"/>
      <w:r w:rsidRPr="005363F7">
        <w:rPr>
          <w:rFonts w:ascii="Book Antiqua" w:eastAsia="Times New Roman" w:hAnsi="Book Antiqua" w:cs="Arial"/>
          <w:color w:val="000000"/>
          <w:sz w:val="19"/>
          <w:szCs w:val="19"/>
          <w:lang w:eastAsia="pt-BR"/>
        </w:rPr>
        <w:t xml:space="preserve"> 1º, III, "a", para o professor que comprove exclusivamente tempo de efetivo exercício das funções de magistério na educação infantil e no ensino fundamental e médio.</w:t>
      </w:r>
    </w:p>
    <w:p w14:paraId="3AE3184F"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6º - Ressalvadas as aposentadorias decorrentes dos cargos acumuláveis na forma desta Constituição, é vedada a percepção de mais de uma aposentadoria à conta do regime de previdência previsto neste artigo.</w:t>
      </w:r>
    </w:p>
    <w:p w14:paraId="35284FA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 7º - Lei disporá sobre a concessão do benefício da pensão por morte, que será igual ao valor dos proventos do servidor falecido ou ao valor dos proventos a que teria direito o servidor em atividade na data de seu falecimento, observado o disposto </w:t>
      </w:r>
      <w:proofErr w:type="gramStart"/>
      <w:r w:rsidRPr="005363F7">
        <w:rPr>
          <w:rFonts w:ascii="Book Antiqua" w:eastAsia="Times New Roman" w:hAnsi="Book Antiqua" w:cs="Arial"/>
          <w:color w:val="000000"/>
          <w:sz w:val="19"/>
          <w:szCs w:val="19"/>
          <w:lang w:eastAsia="pt-BR"/>
        </w:rPr>
        <w:t>no  §</w:t>
      </w:r>
      <w:proofErr w:type="gramEnd"/>
      <w:r w:rsidRPr="005363F7">
        <w:rPr>
          <w:rFonts w:ascii="Book Antiqua" w:eastAsia="Times New Roman" w:hAnsi="Book Antiqua" w:cs="Arial"/>
          <w:color w:val="000000"/>
          <w:sz w:val="19"/>
          <w:szCs w:val="19"/>
          <w:lang w:eastAsia="pt-BR"/>
        </w:rPr>
        <w:t xml:space="preserve"> 3º.</w:t>
      </w:r>
    </w:p>
    <w:p w14:paraId="6684F2BD"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8º - Observado o disposto no art. 37, XI, os proventos de aposentadoria e as pensões serão revistos na mesma proporção e na mesma data, sempre que se modificar a remuneração dos servidores em atividade, sendo também estendidos aos aposentados e aos pensionistas quaisquer benefícios ou vantagens posteriormente concedidos aos servidores em atividade, inclusive quando decorrentes da transformação ou reclassificação do cargo ou função em que se deu a aposentadoria ou que serviu de referência para a concessão da pensão, na forma da lei.</w:t>
      </w:r>
    </w:p>
    <w:p w14:paraId="15612F87"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9º - O tempo de contribuição federal, estadual ou municipal será contado para efeito de aposentadoria e o tempo de serviço correspondente para efeito de disponibilidade.</w:t>
      </w:r>
    </w:p>
    <w:p w14:paraId="4C6912F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10 - A lei não poderá estabelecer qualquer forma de contagem de tempo de contribuição fictício.</w:t>
      </w:r>
    </w:p>
    <w:p w14:paraId="7609DED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11 -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w:t>
      </w:r>
    </w:p>
    <w:p w14:paraId="73B74FD2"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12 - Além do disposto neste artigo, o regime de previdência dos servidores públicos titulares de cargo efetivo observará, no que couber, os requisitos e critérios fixados para o regime geral de previdência social.</w:t>
      </w:r>
    </w:p>
    <w:p w14:paraId="5A7E2A97"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13 - Ao servidor ocupante, exclusivamente, de cargo em comissão declarado em lei de livre nomeação e exoneração bem como de outro cargo temporário ou de emprego público, aplica-se o regime geral de previdência social.</w:t>
      </w:r>
    </w:p>
    <w:p w14:paraId="3534D413"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14 - A União, os Estados, o Distrito Federal e os Municípios, desde que instituam regime de previdência complementar para os seus respectivos servidores titulares de cargo efetivo, poderão fixar, para o valor das aposentadorias e pensões a serem concedidas pelo regime de que trata este artigo, o limite máximo estabelecido para os benefícios do regime geral de previdência social de que trata o art. 201.</w:t>
      </w:r>
    </w:p>
    <w:p w14:paraId="46B8A1FC"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15 - Observado o disposto no art. 202, lei complementar disporá sobre as normas gerais para a instituição de regime de previdência complementar pela União, Estados, Distrito Federal e Municípios, para atender aos seus respectivos servidores titulares de cargo efetivo.</w:t>
      </w:r>
    </w:p>
    <w:p w14:paraId="342B2C85"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lastRenderedPageBreak/>
        <w:t xml:space="preserve">§ 16 - Somente mediante sua prévia e expressa opção, o disposto </w:t>
      </w:r>
      <w:proofErr w:type="gramStart"/>
      <w:r w:rsidRPr="005363F7">
        <w:rPr>
          <w:rFonts w:ascii="Book Antiqua" w:eastAsia="Times New Roman" w:hAnsi="Book Antiqua" w:cs="Arial"/>
          <w:color w:val="000000"/>
          <w:sz w:val="19"/>
          <w:szCs w:val="19"/>
          <w:lang w:eastAsia="pt-BR"/>
        </w:rPr>
        <w:t>nos  §</w:t>
      </w:r>
      <w:proofErr w:type="gramEnd"/>
      <w:r w:rsidRPr="005363F7">
        <w:rPr>
          <w:rFonts w:ascii="Book Antiqua" w:eastAsia="Times New Roman" w:hAnsi="Book Antiqua" w:cs="Arial"/>
          <w:color w:val="000000"/>
          <w:sz w:val="19"/>
          <w:szCs w:val="19"/>
          <w:lang w:eastAsia="pt-BR"/>
        </w:rPr>
        <w:t>§ 14 e 15 poderá ser aplicado ao servidor que tiver ingressado no serviço público até a data da publicação do ato de instituição do correspondente regime de previdência complementar."</w:t>
      </w:r>
    </w:p>
    <w:p w14:paraId="7757BA56"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42 - .................................................................................</w:t>
      </w:r>
    </w:p>
    <w:p w14:paraId="7B947524"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1" w:anchor="art42%C2%A71" w:history="1">
        <w:r w:rsidR="005363F7" w:rsidRPr="005363F7">
          <w:rPr>
            <w:rFonts w:ascii="Book Antiqua" w:eastAsia="Times New Roman" w:hAnsi="Book Antiqua" w:cs="Arial"/>
            <w:color w:val="0000FF"/>
            <w:sz w:val="19"/>
            <w:szCs w:val="19"/>
            <w:u w:val="single"/>
            <w:lang w:eastAsia="pt-BR"/>
          </w:rPr>
          <w:t>§ 1º - </w:t>
        </w:r>
      </w:hyperlink>
      <w:r w:rsidR="005363F7" w:rsidRPr="005363F7">
        <w:rPr>
          <w:rFonts w:ascii="Book Antiqua" w:eastAsia="Times New Roman" w:hAnsi="Book Antiqua" w:cs="Arial"/>
          <w:color w:val="000000"/>
          <w:sz w:val="19"/>
          <w:szCs w:val="19"/>
          <w:lang w:eastAsia="pt-BR"/>
        </w:rPr>
        <w:t xml:space="preserve">Aplicam-se aos militares dos Estados, do Distrito Federal e dos Territórios, além do que vier a ser fixado em lei, as disposições do art. </w:t>
      </w:r>
      <w:proofErr w:type="gramStart"/>
      <w:r w:rsidR="005363F7" w:rsidRPr="005363F7">
        <w:rPr>
          <w:rFonts w:ascii="Book Antiqua" w:eastAsia="Times New Roman" w:hAnsi="Book Antiqua" w:cs="Arial"/>
          <w:color w:val="000000"/>
          <w:sz w:val="19"/>
          <w:szCs w:val="19"/>
          <w:lang w:eastAsia="pt-BR"/>
        </w:rPr>
        <w:t>14,  §</w:t>
      </w:r>
      <w:proofErr w:type="gramEnd"/>
      <w:r w:rsidR="005363F7" w:rsidRPr="005363F7">
        <w:rPr>
          <w:rFonts w:ascii="Book Antiqua" w:eastAsia="Times New Roman" w:hAnsi="Book Antiqua" w:cs="Arial"/>
          <w:color w:val="000000"/>
          <w:sz w:val="19"/>
          <w:szCs w:val="19"/>
          <w:lang w:eastAsia="pt-BR"/>
        </w:rPr>
        <w:t xml:space="preserve"> 8º; do art. 40,  § 9º; e do art. 142,  §§ 2º e 3º, cabendo a lei estadual específica dispor sobre as matérias do art. 142,  § 3º, inciso X, sendo as patentes dos oficiais conferidas pelos respectivos governadores.</w:t>
      </w:r>
    </w:p>
    <w:p w14:paraId="095EE8AF"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 2º - Aos militares dos Estados, do Distrito Federal e dos Territórios e a seus pensionistas, aplica-se o disposto no art. </w:t>
      </w:r>
      <w:proofErr w:type="gramStart"/>
      <w:r w:rsidRPr="005363F7">
        <w:rPr>
          <w:rFonts w:ascii="Book Antiqua" w:eastAsia="Times New Roman" w:hAnsi="Book Antiqua" w:cs="Arial"/>
          <w:color w:val="000000"/>
          <w:sz w:val="19"/>
          <w:szCs w:val="19"/>
          <w:lang w:eastAsia="pt-BR"/>
        </w:rPr>
        <w:t xml:space="preserve">40,   </w:t>
      </w:r>
      <w:proofErr w:type="gramEnd"/>
      <w:r w:rsidRPr="005363F7">
        <w:rPr>
          <w:rFonts w:ascii="Book Antiqua" w:eastAsia="Times New Roman" w:hAnsi="Book Antiqua" w:cs="Arial"/>
          <w:color w:val="000000"/>
          <w:sz w:val="19"/>
          <w:szCs w:val="19"/>
          <w:lang w:eastAsia="pt-BR"/>
        </w:rPr>
        <w:t>§§ 7º e 8º."</w:t>
      </w:r>
    </w:p>
    <w:p w14:paraId="191125C4"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73 - .......................................................................................</w:t>
      </w:r>
    </w:p>
    <w:p w14:paraId="41E29FC7"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2" w:anchor="art73%C2%A73" w:history="1">
        <w:r w:rsidR="005363F7" w:rsidRPr="005363F7">
          <w:rPr>
            <w:rFonts w:ascii="Book Antiqua" w:eastAsia="Times New Roman" w:hAnsi="Book Antiqua" w:cs="Arial"/>
            <w:color w:val="0000FF"/>
            <w:sz w:val="19"/>
            <w:szCs w:val="19"/>
            <w:u w:val="single"/>
            <w:lang w:eastAsia="pt-BR"/>
          </w:rPr>
          <w:t>§ 3º - </w:t>
        </w:r>
      </w:hyperlink>
      <w:r w:rsidR="005363F7" w:rsidRPr="005363F7">
        <w:rPr>
          <w:rFonts w:ascii="Book Antiqua" w:eastAsia="Times New Roman" w:hAnsi="Book Antiqua" w:cs="Arial"/>
          <w:color w:val="000000"/>
          <w:sz w:val="19"/>
          <w:szCs w:val="19"/>
          <w:lang w:eastAsia="pt-BR"/>
        </w:rPr>
        <w:t xml:space="preserve">Os Ministros do Tribunal de Contas da União terão as mesmas garantias, prerrogativas, impedimentos, vencimentos e vantagens dos Ministros do Superior Tribunal de Justiça, </w:t>
      </w:r>
      <w:proofErr w:type="spellStart"/>
      <w:r w:rsidR="005363F7" w:rsidRPr="005363F7">
        <w:rPr>
          <w:rFonts w:ascii="Book Antiqua" w:eastAsia="Times New Roman" w:hAnsi="Book Antiqua" w:cs="Arial"/>
          <w:color w:val="000000"/>
          <w:sz w:val="19"/>
          <w:szCs w:val="19"/>
          <w:lang w:eastAsia="pt-BR"/>
        </w:rPr>
        <w:t>aplicando-se-lhes</w:t>
      </w:r>
      <w:proofErr w:type="spellEnd"/>
      <w:r w:rsidR="005363F7" w:rsidRPr="005363F7">
        <w:rPr>
          <w:rFonts w:ascii="Book Antiqua" w:eastAsia="Times New Roman" w:hAnsi="Book Antiqua" w:cs="Arial"/>
          <w:color w:val="000000"/>
          <w:sz w:val="19"/>
          <w:szCs w:val="19"/>
          <w:lang w:eastAsia="pt-BR"/>
        </w:rPr>
        <w:t>, quanto à aposentadoria e pensão, as normas constantes do art. 40.</w:t>
      </w:r>
    </w:p>
    <w:p w14:paraId="2E186B63"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w:t>
      </w:r>
    </w:p>
    <w:p w14:paraId="79DC837D"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93 - .....................................................................................</w:t>
      </w:r>
    </w:p>
    <w:p w14:paraId="1BAD3A0A"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3" w:anchor="art93vi" w:history="1">
        <w:r w:rsidR="005363F7" w:rsidRPr="005363F7">
          <w:rPr>
            <w:rFonts w:ascii="Book Antiqua" w:eastAsia="Times New Roman" w:hAnsi="Book Antiqua" w:cs="Arial"/>
            <w:color w:val="0000FF"/>
            <w:sz w:val="19"/>
            <w:szCs w:val="19"/>
            <w:u w:val="single"/>
            <w:lang w:eastAsia="pt-BR"/>
          </w:rPr>
          <w:t>VI - </w:t>
        </w:r>
      </w:hyperlink>
      <w:r w:rsidR="005363F7" w:rsidRPr="005363F7">
        <w:rPr>
          <w:rFonts w:ascii="Book Antiqua" w:eastAsia="Times New Roman" w:hAnsi="Book Antiqua" w:cs="Arial"/>
          <w:color w:val="000000"/>
          <w:sz w:val="19"/>
          <w:szCs w:val="19"/>
          <w:lang w:eastAsia="pt-BR"/>
        </w:rPr>
        <w:t>a aposentadoria dos magistrados e a pensão de seus dependentes observarão o disposto no art. 40;</w:t>
      </w:r>
    </w:p>
    <w:p w14:paraId="5F984D33"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w:t>
      </w:r>
    </w:p>
    <w:p w14:paraId="70D686E0"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100 - ..................................................................................</w:t>
      </w:r>
    </w:p>
    <w:p w14:paraId="7101280C"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4" w:anchor="art100%C2%A73." w:history="1">
        <w:r w:rsidR="005363F7" w:rsidRPr="005363F7">
          <w:rPr>
            <w:rFonts w:ascii="Book Antiqua" w:eastAsia="Times New Roman" w:hAnsi="Book Antiqua" w:cs="Arial"/>
            <w:color w:val="0000FF"/>
            <w:sz w:val="19"/>
            <w:szCs w:val="19"/>
            <w:u w:val="single"/>
            <w:lang w:eastAsia="pt-BR"/>
          </w:rPr>
          <w:t>§ 3º -</w:t>
        </w:r>
      </w:hyperlink>
      <w:r w:rsidR="005363F7" w:rsidRPr="005363F7">
        <w:rPr>
          <w:rFonts w:ascii="Book Antiqua" w:eastAsia="Times New Roman" w:hAnsi="Book Antiqua" w:cs="Arial"/>
          <w:color w:val="000000"/>
          <w:sz w:val="19"/>
          <w:szCs w:val="19"/>
          <w:lang w:eastAsia="pt-BR"/>
        </w:rPr>
        <w:t> O disposto no "caput" deste artigo, relativamente à expedição de precatórios, não se aplica aos pagamentos de obrigações definidas em lei como de pequeno valor que a Fazenda Federal, Estadual ou Municipal deva fazer em virtude de sentença judicial transitada em julgado."</w:t>
      </w:r>
    </w:p>
    <w:p w14:paraId="546A4B1F"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114 - ......................................................................................</w:t>
      </w:r>
    </w:p>
    <w:p w14:paraId="0CD0BA5C"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5" w:anchor="art114%C2%A73" w:history="1">
        <w:r w:rsidR="005363F7" w:rsidRPr="005363F7">
          <w:rPr>
            <w:rFonts w:ascii="Book Antiqua" w:eastAsia="Times New Roman" w:hAnsi="Book Antiqua" w:cs="Arial"/>
            <w:color w:val="0000FF"/>
            <w:sz w:val="19"/>
            <w:szCs w:val="19"/>
            <w:u w:val="single"/>
            <w:lang w:eastAsia="pt-BR"/>
          </w:rPr>
          <w:t>§ 3º -</w:t>
        </w:r>
      </w:hyperlink>
      <w:r w:rsidR="005363F7" w:rsidRPr="005363F7">
        <w:rPr>
          <w:rFonts w:ascii="Book Antiqua" w:eastAsia="Times New Roman" w:hAnsi="Book Antiqua" w:cs="Arial"/>
          <w:color w:val="000000"/>
          <w:sz w:val="19"/>
          <w:szCs w:val="19"/>
          <w:lang w:eastAsia="pt-BR"/>
        </w:rPr>
        <w:t> Compete ainda à Justiça do Trabalho executar, de ofício, as contribuições sociais previstas no art. 195, I, "a", e II, e seus acréscimos legais, decorrentes das sentenças que proferir."</w:t>
      </w:r>
    </w:p>
    <w:p w14:paraId="3E8A0395"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142 - ....................................................................................</w:t>
      </w:r>
    </w:p>
    <w:p w14:paraId="4FB852C1"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3º - ...................................................................................</w:t>
      </w:r>
    </w:p>
    <w:p w14:paraId="6D4B97F8"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6" w:anchor="art142%C2%A73ix" w:history="1">
        <w:r w:rsidR="005363F7" w:rsidRPr="005363F7">
          <w:rPr>
            <w:rFonts w:ascii="Book Antiqua" w:eastAsia="Times New Roman" w:hAnsi="Book Antiqua" w:cs="Arial"/>
            <w:color w:val="0000FF"/>
            <w:sz w:val="19"/>
            <w:szCs w:val="19"/>
            <w:u w:val="single"/>
            <w:lang w:eastAsia="pt-BR"/>
          </w:rPr>
          <w:t>IX - </w:t>
        </w:r>
      </w:hyperlink>
      <w:r w:rsidR="005363F7" w:rsidRPr="005363F7">
        <w:rPr>
          <w:rFonts w:ascii="Book Antiqua" w:eastAsia="Times New Roman" w:hAnsi="Book Antiqua" w:cs="Arial"/>
          <w:color w:val="000000"/>
          <w:sz w:val="19"/>
          <w:szCs w:val="19"/>
          <w:lang w:eastAsia="pt-BR"/>
        </w:rPr>
        <w:t xml:space="preserve">aplica-se aos militares e a seus pensionistas o disposto no art. </w:t>
      </w:r>
      <w:proofErr w:type="gramStart"/>
      <w:r w:rsidR="005363F7" w:rsidRPr="005363F7">
        <w:rPr>
          <w:rFonts w:ascii="Book Antiqua" w:eastAsia="Times New Roman" w:hAnsi="Book Antiqua" w:cs="Arial"/>
          <w:color w:val="000000"/>
          <w:sz w:val="19"/>
          <w:szCs w:val="19"/>
          <w:lang w:eastAsia="pt-BR"/>
        </w:rPr>
        <w:t>40,  §</w:t>
      </w:r>
      <w:proofErr w:type="gramEnd"/>
      <w:r w:rsidR="005363F7" w:rsidRPr="005363F7">
        <w:rPr>
          <w:rFonts w:ascii="Book Antiqua" w:eastAsia="Times New Roman" w:hAnsi="Book Antiqua" w:cs="Arial"/>
          <w:color w:val="000000"/>
          <w:sz w:val="19"/>
          <w:szCs w:val="19"/>
          <w:lang w:eastAsia="pt-BR"/>
        </w:rPr>
        <w:t>§ 7º e 8º;</w:t>
      </w:r>
    </w:p>
    <w:p w14:paraId="0811E77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w:t>
      </w:r>
    </w:p>
    <w:p w14:paraId="31E9F9D4"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167 - .......................................................................................</w:t>
      </w:r>
    </w:p>
    <w:p w14:paraId="782210EE"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7" w:anchor="art167xi" w:history="1">
        <w:r w:rsidR="005363F7" w:rsidRPr="005363F7">
          <w:rPr>
            <w:rFonts w:ascii="Book Antiqua" w:eastAsia="Times New Roman" w:hAnsi="Book Antiqua" w:cs="Arial"/>
            <w:color w:val="0000FF"/>
            <w:sz w:val="19"/>
            <w:szCs w:val="19"/>
            <w:u w:val="single"/>
            <w:lang w:eastAsia="pt-BR"/>
          </w:rPr>
          <w:t>XI -</w:t>
        </w:r>
      </w:hyperlink>
      <w:r w:rsidR="005363F7" w:rsidRPr="005363F7">
        <w:rPr>
          <w:rFonts w:ascii="Book Antiqua" w:eastAsia="Times New Roman" w:hAnsi="Book Antiqua" w:cs="Arial"/>
          <w:color w:val="000000"/>
          <w:sz w:val="19"/>
          <w:szCs w:val="19"/>
          <w:lang w:eastAsia="pt-BR"/>
        </w:rPr>
        <w:t> a utilização dos recursos provenientes das contribuições sociais de que trata o art. 195, I, "a", e II, para a realização de despesas distintas do pagamento de benefícios do regime geral de previdência social de que trata o art. 201.</w:t>
      </w:r>
    </w:p>
    <w:p w14:paraId="4DF06F46"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w:t>
      </w:r>
    </w:p>
    <w:p w14:paraId="1BE9B12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194 - ...........................................................</w:t>
      </w:r>
    </w:p>
    <w:p w14:paraId="6F3E5ED6"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lastRenderedPageBreak/>
        <w:t>Parágrafo único - ...........................................................................</w:t>
      </w:r>
    </w:p>
    <w:p w14:paraId="46C93BFE"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8" w:anchor="art194pvii" w:history="1">
        <w:r w:rsidR="005363F7" w:rsidRPr="005363F7">
          <w:rPr>
            <w:rFonts w:ascii="Book Antiqua" w:eastAsia="Times New Roman" w:hAnsi="Book Antiqua" w:cs="Arial"/>
            <w:color w:val="0000FF"/>
            <w:sz w:val="19"/>
            <w:szCs w:val="19"/>
            <w:u w:val="single"/>
            <w:lang w:eastAsia="pt-BR"/>
          </w:rPr>
          <w:t>VII - </w:t>
        </w:r>
      </w:hyperlink>
      <w:r w:rsidR="005363F7" w:rsidRPr="005363F7">
        <w:rPr>
          <w:rFonts w:ascii="Book Antiqua" w:eastAsia="Times New Roman" w:hAnsi="Book Antiqua" w:cs="Arial"/>
          <w:color w:val="000000"/>
          <w:sz w:val="19"/>
          <w:szCs w:val="19"/>
          <w:lang w:eastAsia="pt-BR"/>
        </w:rPr>
        <w:t>caráter democrático e descentralizado da administração, mediante gestão quadripartite, com participação dos trabalhadores, dos empregadores, dos aposentados e do Governo nos órgãos colegiados."</w:t>
      </w:r>
    </w:p>
    <w:p w14:paraId="310F49AE"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195 - ...........................................................</w:t>
      </w:r>
    </w:p>
    <w:p w14:paraId="328A59D9"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9" w:anchor="art195i" w:history="1">
        <w:r w:rsidR="005363F7" w:rsidRPr="005363F7">
          <w:rPr>
            <w:rFonts w:ascii="Book Antiqua" w:eastAsia="Times New Roman" w:hAnsi="Book Antiqua" w:cs="Arial"/>
            <w:color w:val="0000FF"/>
            <w:sz w:val="19"/>
            <w:szCs w:val="19"/>
            <w:u w:val="single"/>
            <w:lang w:eastAsia="pt-BR"/>
          </w:rPr>
          <w:t>I - </w:t>
        </w:r>
      </w:hyperlink>
      <w:r w:rsidR="005363F7" w:rsidRPr="005363F7">
        <w:rPr>
          <w:rFonts w:ascii="Book Antiqua" w:eastAsia="Times New Roman" w:hAnsi="Book Antiqua" w:cs="Arial"/>
          <w:color w:val="000000"/>
          <w:sz w:val="19"/>
          <w:szCs w:val="19"/>
          <w:lang w:eastAsia="pt-BR"/>
        </w:rPr>
        <w:t>do empregador, da empresa e da entidade a ela equiparada na forma da lei, incidentes sobre:</w:t>
      </w:r>
    </w:p>
    <w:p w14:paraId="00A5B82C"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 a folha de salários e demais rendimentos do trabalho pagos ou creditados, a qualquer título, à pessoa física que lhe preste serviço, mesmo sem vínculo empregatício;</w:t>
      </w:r>
    </w:p>
    <w:p w14:paraId="70971765"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b) a receita ou o faturamento;</w:t>
      </w:r>
    </w:p>
    <w:p w14:paraId="6F696C5C"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c) o lucro;</w:t>
      </w:r>
    </w:p>
    <w:p w14:paraId="3A6EF5BD"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II - </w:t>
      </w:r>
      <w:proofErr w:type="gramStart"/>
      <w:r w:rsidRPr="005363F7">
        <w:rPr>
          <w:rFonts w:ascii="Book Antiqua" w:eastAsia="Times New Roman" w:hAnsi="Book Antiqua" w:cs="Arial"/>
          <w:color w:val="000000"/>
          <w:sz w:val="19"/>
          <w:szCs w:val="19"/>
          <w:lang w:eastAsia="pt-BR"/>
        </w:rPr>
        <w:t>do</w:t>
      </w:r>
      <w:proofErr w:type="gramEnd"/>
      <w:r w:rsidRPr="005363F7">
        <w:rPr>
          <w:rFonts w:ascii="Book Antiqua" w:eastAsia="Times New Roman" w:hAnsi="Book Antiqua" w:cs="Arial"/>
          <w:color w:val="000000"/>
          <w:sz w:val="19"/>
          <w:szCs w:val="19"/>
          <w:lang w:eastAsia="pt-BR"/>
        </w:rPr>
        <w:t xml:space="preserve"> trabalhador e dos demais segurados da previdência social, não incidindo contribuição sobre aposentadoria e pensão concedidas pelo regime geral de previdência social de que trata o art. 201;</w:t>
      </w:r>
    </w:p>
    <w:p w14:paraId="4DD6384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w:t>
      </w:r>
    </w:p>
    <w:p w14:paraId="2E3A468D"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20" w:anchor="art195%C2%A78" w:history="1">
        <w:r w:rsidR="005363F7" w:rsidRPr="005363F7">
          <w:rPr>
            <w:rFonts w:ascii="Book Antiqua" w:eastAsia="Times New Roman" w:hAnsi="Book Antiqua" w:cs="Arial"/>
            <w:color w:val="0000FF"/>
            <w:sz w:val="19"/>
            <w:szCs w:val="19"/>
            <w:u w:val="single"/>
            <w:lang w:eastAsia="pt-BR"/>
          </w:rPr>
          <w:t>§ 8º - </w:t>
        </w:r>
      </w:hyperlink>
      <w:r w:rsidR="005363F7" w:rsidRPr="005363F7">
        <w:rPr>
          <w:rFonts w:ascii="Book Antiqua" w:eastAsia="Times New Roman" w:hAnsi="Book Antiqua" w:cs="Arial"/>
          <w:color w:val="000000"/>
          <w:sz w:val="19"/>
          <w:szCs w:val="19"/>
          <w:lang w:eastAsia="pt-BR"/>
        </w:rPr>
        <w:t>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w:t>
      </w:r>
    </w:p>
    <w:p w14:paraId="0CB156A2"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9º - As contribuições sociais previstas no inciso I deste artigo poderão ter alíquotas ou bases de cálculo diferenciadas, em razão da atividade econômica ou da utilização intensiva de mão-de-obra.</w:t>
      </w:r>
    </w:p>
    <w:p w14:paraId="0A553C4D"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10 - A lei definirá os critérios de transferência de recursos para o sistema único de saúde e ações de assistência social da União para os Estados, o Distrito Federal e os Municípios, e dos Estados para os Municípios, observada a respectiva contrapartida de recursos.</w:t>
      </w:r>
    </w:p>
    <w:p w14:paraId="02F71956"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11 - É vedada a concessão de remissão ou anistia das contribuições sociais de que tratam os incisos I, "a", e II deste artigo, para débitos em montante superior ao fixado em lei complementar."</w:t>
      </w:r>
    </w:p>
    <w:p w14:paraId="5C93B708"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21" w:anchor="art201" w:history="1">
        <w:r w:rsidR="005363F7" w:rsidRPr="005363F7">
          <w:rPr>
            <w:rFonts w:ascii="Book Antiqua" w:eastAsia="Times New Roman" w:hAnsi="Book Antiqua" w:cs="Arial"/>
            <w:color w:val="0000FF"/>
            <w:sz w:val="19"/>
            <w:szCs w:val="19"/>
            <w:u w:val="single"/>
            <w:lang w:eastAsia="pt-BR"/>
          </w:rPr>
          <w:t>"Art. 201 -</w:t>
        </w:r>
      </w:hyperlink>
      <w:r w:rsidR="005363F7" w:rsidRPr="005363F7">
        <w:rPr>
          <w:rFonts w:ascii="Book Antiqua" w:eastAsia="Times New Roman" w:hAnsi="Book Antiqua" w:cs="Arial"/>
          <w:color w:val="000000"/>
          <w:sz w:val="19"/>
          <w:szCs w:val="19"/>
          <w:lang w:eastAsia="pt-BR"/>
        </w:rPr>
        <w:t> A previdência social será organizada sob a forma de regime geral, de caráter contributivo e de filiação obrigatória, observados critérios que preservem o equilíbrio financeiro e atuarial, e atenderá, nos termos da lei, a:</w:t>
      </w:r>
    </w:p>
    <w:p w14:paraId="29E18FFE"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I - </w:t>
      </w:r>
      <w:proofErr w:type="gramStart"/>
      <w:r w:rsidRPr="005363F7">
        <w:rPr>
          <w:rFonts w:ascii="Book Antiqua" w:eastAsia="Times New Roman" w:hAnsi="Book Antiqua" w:cs="Arial"/>
          <w:color w:val="000000"/>
          <w:sz w:val="19"/>
          <w:szCs w:val="19"/>
          <w:lang w:eastAsia="pt-BR"/>
        </w:rPr>
        <w:t>cobertura</w:t>
      </w:r>
      <w:proofErr w:type="gramEnd"/>
      <w:r w:rsidRPr="005363F7">
        <w:rPr>
          <w:rFonts w:ascii="Book Antiqua" w:eastAsia="Times New Roman" w:hAnsi="Book Antiqua" w:cs="Arial"/>
          <w:color w:val="000000"/>
          <w:sz w:val="19"/>
          <w:szCs w:val="19"/>
          <w:lang w:eastAsia="pt-BR"/>
        </w:rPr>
        <w:t xml:space="preserve"> dos eventos de doença, invalidez, morte e idade avançada;</w:t>
      </w:r>
    </w:p>
    <w:p w14:paraId="4D5DC4D6"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II - </w:t>
      </w:r>
      <w:proofErr w:type="gramStart"/>
      <w:r w:rsidRPr="005363F7">
        <w:rPr>
          <w:rFonts w:ascii="Book Antiqua" w:eastAsia="Times New Roman" w:hAnsi="Book Antiqua" w:cs="Arial"/>
          <w:color w:val="000000"/>
          <w:sz w:val="19"/>
          <w:szCs w:val="19"/>
          <w:lang w:eastAsia="pt-BR"/>
        </w:rPr>
        <w:t>proteção</w:t>
      </w:r>
      <w:proofErr w:type="gramEnd"/>
      <w:r w:rsidRPr="005363F7">
        <w:rPr>
          <w:rFonts w:ascii="Book Antiqua" w:eastAsia="Times New Roman" w:hAnsi="Book Antiqua" w:cs="Arial"/>
          <w:color w:val="000000"/>
          <w:sz w:val="19"/>
          <w:szCs w:val="19"/>
          <w:lang w:eastAsia="pt-BR"/>
        </w:rPr>
        <w:t xml:space="preserve"> à maternidade, especialmente à gestante;</w:t>
      </w:r>
    </w:p>
    <w:p w14:paraId="21551D1C"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III - proteção ao trabalhador em situação de desemprego involuntário;</w:t>
      </w:r>
    </w:p>
    <w:p w14:paraId="594A8D11"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IV - </w:t>
      </w:r>
      <w:proofErr w:type="gramStart"/>
      <w:r w:rsidRPr="005363F7">
        <w:rPr>
          <w:rFonts w:ascii="Book Antiqua" w:eastAsia="Times New Roman" w:hAnsi="Book Antiqua" w:cs="Arial"/>
          <w:color w:val="000000"/>
          <w:sz w:val="19"/>
          <w:szCs w:val="19"/>
          <w:lang w:eastAsia="pt-BR"/>
        </w:rPr>
        <w:t>salário-família e auxílio-reclusão</w:t>
      </w:r>
      <w:proofErr w:type="gramEnd"/>
      <w:r w:rsidRPr="005363F7">
        <w:rPr>
          <w:rFonts w:ascii="Book Antiqua" w:eastAsia="Times New Roman" w:hAnsi="Book Antiqua" w:cs="Arial"/>
          <w:color w:val="000000"/>
          <w:sz w:val="19"/>
          <w:szCs w:val="19"/>
          <w:lang w:eastAsia="pt-BR"/>
        </w:rPr>
        <w:t xml:space="preserve"> para os dependentes dos segurados de baixa renda;</w:t>
      </w:r>
    </w:p>
    <w:p w14:paraId="1C12B379"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V - pensão por morte do segurado, homem ou mulher, ao cônjuge ou companheiro e dependentes, observado o disposto </w:t>
      </w:r>
      <w:proofErr w:type="gramStart"/>
      <w:r w:rsidRPr="005363F7">
        <w:rPr>
          <w:rFonts w:ascii="Book Antiqua" w:eastAsia="Times New Roman" w:hAnsi="Book Antiqua" w:cs="Arial"/>
          <w:color w:val="000000"/>
          <w:sz w:val="19"/>
          <w:szCs w:val="19"/>
          <w:lang w:eastAsia="pt-BR"/>
        </w:rPr>
        <w:t>no  §</w:t>
      </w:r>
      <w:proofErr w:type="gramEnd"/>
      <w:r w:rsidRPr="005363F7">
        <w:rPr>
          <w:rFonts w:ascii="Book Antiqua" w:eastAsia="Times New Roman" w:hAnsi="Book Antiqua" w:cs="Arial"/>
          <w:color w:val="000000"/>
          <w:sz w:val="19"/>
          <w:szCs w:val="19"/>
          <w:lang w:eastAsia="pt-BR"/>
        </w:rPr>
        <w:t xml:space="preserve"> 2º.</w:t>
      </w:r>
    </w:p>
    <w:p w14:paraId="147BEAD2"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1º - É vedada a adoção de requisitos e critérios diferenciados para a concessão de aposentadoria aos beneficiários do regime geral de previdência social, ressalvados os casos de atividades exercidas sob condições especiais que prejudiquem a saúde ou a integridade física, definidos em lei complementar.</w:t>
      </w:r>
    </w:p>
    <w:p w14:paraId="70EC472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lastRenderedPageBreak/>
        <w:t>§ 2º - Nenhum benefício que substitua o salário de contribuição ou o rendimento do trabalho do segurado terá valor mensal inferior ao salário mínimo.</w:t>
      </w:r>
    </w:p>
    <w:p w14:paraId="3372FE09"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3º - Todos os salários de contribuição considerados para o cálculo de benefício serão devidamente atualizados, na forma da lei.</w:t>
      </w:r>
    </w:p>
    <w:p w14:paraId="5D8868C6"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4º - É assegurado o reajustamento dos benefícios para preservar-lhes, em caráter permanente, o valor real, conforme critérios definidos em lei.</w:t>
      </w:r>
    </w:p>
    <w:p w14:paraId="55285509"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5º - É vedada a filiação ao regime geral de previdência social, na qualidade de segurado facultativo, de pessoa participante de regime próprio de previdência.</w:t>
      </w:r>
    </w:p>
    <w:p w14:paraId="075323B3"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6º - A gratificação natalina dos aposentados e pensionistas terá por base o valor dos proventos do mês de dezembro de cada ano.</w:t>
      </w:r>
    </w:p>
    <w:p w14:paraId="1B8D2CF2"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7º - É assegurada aposentadoria no regime geral de previdência social, nos termos da lei, obedecidas as seguintes condições:</w:t>
      </w:r>
    </w:p>
    <w:p w14:paraId="12020C1F"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I - </w:t>
      </w:r>
      <w:proofErr w:type="gramStart"/>
      <w:r w:rsidRPr="005363F7">
        <w:rPr>
          <w:rFonts w:ascii="Book Antiqua" w:eastAsia="Times New Roman" w:hAnsi="Book Antiqua" w:cs="Arial"/>
          <w:color w:val="000000"/>
          <w:sz w:val="19"/>
          <w:szCs w:val="19"/>
          <w:lang w:eastAsia="pt-BR"/>
        </w:rPr>
        <w:t>trinta e cinco anos</w:t>
      </w:r>
      <w:proofErr w:type="gramEnd"/>
      <w:r w:rsidRPr="005363F7">
        <w:rPr>
          <w:rFonts w:ascii="Book Antiqua" w:eastAsia="Times New Roman" w:hAnsi="Book Antiqua" w:cs="Arial"/>
          <w:color w:val="000000"/>
          <w:sz w:val="19"/>
          <w:szCs w:val="19"/>
          <w:lang w:eastAsia="pt-BR"/>
        </w:rPr>
        <w:t xml:space="preserve"> de contribuição, se homem, e trinta anos de contribuição, se mulher;</w:t>
      </w:r>
    </w:p>
    <w:p w14:paraId="7397AA52"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II - </w:t>
      </w:r>
      <w:proofErr w:type="gramStart"/>
      <w:r w:rsidRPr="005363F7">
        <w:rPr>
          <w:rFonts w:ascii="Book Antiqua" w:eastAsia="Times New Roman" w:hAnsi="Book Antiqua" w:cs="Arial"/>
          <w:color w:val="000000"/>
          <w:sz w:val="19"/>
          <w:szCs w:val="19"/>
          <w:lang w:eastAsia="pt-BR"/>
        </w:rPr>
        <w:t>sessenta e cinco anos</w:t>
      </w:r>
      <w:proofErr w:type="gramEnd"/>
      <w:r w:rsidRPr="005363F7">
        <w:rPr>
          <w:rFonts w:ascii="Book Antiqua" w:eastAsia="Times New Roman" w:hAnsi="Book Antiqua" w:cs="Arial"/>
          <w:color w:val="000000"/>
          <w:sz w:val="19"/>
          <w:szCs w:val="19"/>
          <w:lang w:eastAsia="pt-BR"/>
        </w:rPr>
        <w:t xml:space="preserve"> de idade, se homem, e sessenta anos de idade, se mulher, reduzido em cinco anos o limite para os trabalhadores rurais de ambos os sexos e para os que exerçam suas atividades em regime de economia familiar, nestes incluídos o produtor rural, o garimpeiro e o pescador artesanal.</w:t>
      </w:r>
    </w:p>
    <w:p w14:paraId="1C6DFA50"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8º - Os requisitos a que se refere o inciso I do parágrafo anterior serão reduzidos em cinco anos, para o professor que comprove exclusivamente tempo de efetivo exercício das funções de magistério na educação infantil e no ensino fundamental e médio.</w:t>
      </w:r>
    </w:p>
    <w:p w14:paraId="42287F8B"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9º - Para efeito de aposentadoria, é assegurada a contagem recíproca do tempo de contribuição na administração pública e na atividade privada, rural e urbana, hipótese em que os diversos regimes de previdência social se compensarão financeiramente, segundo critérios estabelecidos em lei.</w:t>
      </w:r>
    </w:p>
    <w:p w14:paraId="26B1BEFB"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10 - Lei disciplinará a cobertura do risco de acidente do trabalho, a ser atendida concorrentemente pelo regime geral de previdência social e pelo setor privado.</w:t>
      </w:r>
    </w:p>
    <w:p w14:paraId="0BF8619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 11 - Os ganhos habituais do empregado, a qualquer título, serão incorporados ao salário para efeito de contribuição previdenciária e </w:t>
      </w:r>
      <w:proofErr w:type="spellStart"/>
      <w:r w:rsidRPr="005363F7">
        <w:rPr>
          <w:rFonts w:ascii="Book Antiqua" w:eastAsia="Times New Roman" w:hAnsi="Book Antiqua" w:cs="Arial"/>
          <w:color w:val="000000"/>
          <w:sz w:val="19"/>
          <w:szCs w:val="19"/>
          <w:lang w:eastAsia="pt-BR"/>
        </w:rPr>
        <w:t>conseqüente</w:t>
      </w:r>
      <w:proofErr w:type="spellEnd"/>
      <w:r w:rsidRPr="005363F7">
        <w:rPr>
          <w:rFonts w:ascii="Book Antiqua" w:eastAsia="Times New Roman" w:hAnsi="Book Antiqua" w:cs="Arial"/>
          <w:color w:val="000000"/>
          <w:sz w:val="19"/>
          <w:szCs w:val="19"/>
          <w:lang w:eastAsia="pt-BR"/>
        </w:rPr>
        <w:t xml:space="preserve"> repercussão em benefícios, nos casos e na forma da lei."</w:t>
      </w:r>
    </w:p>
    <w:p w14:paraId="52C5102F"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22" w:anchor="art202" w:history="1">
        <w:r w:rsidR="005363F7" w:rsidRPr="005363F7">
          <w:rPr>
            <w:rFonts w:ascii="Book Antiqua" w:eastAsia="Times New Roman" w:hAnsi="Book Antiqua" w:cs="Arial"/>
            <w:color w:val="0000FF"/>
            <w:sz w:val="19"/>
            <w:szCs w:val="19"/>
            <w:u w:val="single"/>
            <w:lang w:eastAsia="pt-BR"/>
          </w:rPr>
          <w:t>"Art. 202 -</w:t>
        </w:r>
      </w:hyperlink>
      <w:r w:rsidR="005363F7" w:rsidRPr="005363F7">
        <w:rPr>
          <w:rFonts w:ascii="Book Antiqua" w:eastAsia="Times New Roman" w:hAnsi="Book Antiqua" w:cs="Arial"/>
          <w:color w:val="000000"/>
          <w:sz w:val="19"/>
          <w:szCs w:val="19"/>
          <w:lang w:eastAsia="pt-BR"/>
        </w:rPr>
        <w:t> O regime de previdência privada, de caráter complementar e organizado de forma autônoma em relação ao regime geral de previdência social, será facultativo, baseado na constituição de reservas que garantam o benefício contratado, e regulado por lei complementar.</w:t>
      </w:r>
    </w:p>
    <w:p w14:paraId="6D0AC09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1º - A lei complementar de que trata este artigo assegurará ao participante de planos de benefícios de entidades de previdência privada o pleno acesso às informações relativas à gestão de seus respectivos planos.</w:t>
      </w:r>
    </w:p>
    <w:p w14:paraId="508BB281"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2º -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w:t>
      </w:r>
    </w:p>
    <w:p w14:paraId="1A4BE1B2"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3º - É vedado o aporte de recursos a entidade de previdência privada pela União, Estados, Distrito Federal e Municípios, suas autarquias, fundações, empresas públicas, sociedades de economia mista e outras entidades públicas, salvo na qualidade de patrocinador, situação na qual, em hipótese alguma, sua contribuição normal poderá exceder a do segurado.</w:t>
      </w:r>
    </w:p>
    <w:p w14:paraId="6C1E338A"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lastRenderedPageBreak/>
        <w:t>§ 4º - Lei complementar disciplinará a relação entre a União, Estados, Distrito Federal ou Municípios, inclusive suas autarquias, fundações, sociedades de economia mista e empresas controladas direta ou indiretamente, enquanto patrocinadoras de entidades fechadas de previdência privada, e suas respectivas entidades fechadas de previdência privada.</w:t>
      </w:r>
    </w:p>
    <w:p w14:paraId="5DAC3914"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5º - A lei complementar de que trata o parágrafo anterior aplicar-se-á, no que couber, às empresas privadas permissionárias ou concessionárias de prestação de serviços públicos, quando patrocinadoras de entidades fechadas de previdência privada.</w:t>
      </w:r>
    </w:p>
    <w:p w14:paraId="3316AF86" w14:textId="77777777" w:rsidR="005363F7" w:rsidRPr="005363F7" w:rsidRDefault="005363F7"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xml:space="preserve">§ 6º - A lei complementar a que se refere </w:t>
      </w:r>
      <w:proofErr w:type="gramStart"/>
      <w:r w:rsidRPr="005363F7">
        <w:rPr>
          <w:rFonts w:ascii="Book Antiqua" w:eastAsia="Times New Roman" w:hAnsi="Book Antiqua" w:cs="Arial"/>
          <w:color w:val="000000"/>
          <w:sz w:val="19"/>
          <w:szCs w:val="19"/>
          <w:lang w:eastAsia="pt-BR"/>
        </w:rPr>
        <w:t>o  §</w:t>
      </w:r>
      <w:proofErr w:type="gramEnd"/>
      <w:r w:rsidRPr="005363F7">
        <w:rPr>
          <w:rFonts w:ascii="Book Antiqua" w:eastAsia="Times New Roman" w:hAnsi="Book Antiqua" w:cs="Arial"/>
          <w:color w:val="000000"/>
          <w:sz w:val="19"/>
          <w:szCs w:val="19"/>
          <w:lang w:eastAsia="pt-BR"/>
        </w:rPr>
        <w:t xml:space="preserve"> 4º deste artigo estabelecerá os requisitos para a designação dos membros das diretorias das entidades fechadas de previdência privada e disciplinará a inserção dos participantes nos colegiados e instâncias de decisão em que seus interesses sejam objeto de discussão e deliberação."</w:t>
      </w:r>
    </w:p>
    <w:p w14:paraId="085879CE"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1" w:name="art2"/>
      <w:bookmarkEnd w:id="1"/>
      <w:r w:rsidRPr="005363F7">
        <w:rPr>
          <w:rFonts w:ascii="Book Antiqua" w:eastAsia="Times New Roman" w:hAnsi="Book Antiqua" w:cs="Arial"/>
          <w:color w:val="000000"/>
          <w:sz w:val="19"/>
          <w:szCs w:val="19"/>
          <w:lang w:eastAsia="pt-BR"/>
        </w:rPr>
        <w:t>Art. 2º - A Constituição Federal, nas Disposições Constitucionais Gerais, é acrescida dos seguintes artigos:</w:t>
      </w:r>
    </w:p>
    <w:p w14:paraId="45458A4F"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23" w:anchor="art248" w:history="1">
        <w:r w:rsidR="005363F7" w:rsidRPr="005363F7">
          <w:rPr>
            <w:rFonts w:ascii="Book Antiqua" w:eastAsia="Times New Roman" w:hAnsi="Book Antiqua" w:cs="Arial"/>
            <w:color w:val="0000FF"/>
            <w:sz w:val="19"/>
            <w:szCs w:val="19"/>
            <w:u w:val="single"/>
            <w:lang w:eastAsia="pt-BR"/>
          </w:rPr>
          <w:t>"Art. 248 -</w:t>
        </w:r>
      </w:hyperlink>
      <w:r w:rsidR="005363F7" w:rsidRPr="005363F7">
        <w:rPr>
          <w:rFonts w:ascii="Book Antiqua" w:eastAsia="Times New Roman" w:hAnsi="Book Antiqua" w:cs="Arial"/>
          <w:color w:val="000000"/>
          <w:sz w:val="19"/>
          <w:szCs w:val="19"/>
          <w:lang w:eastAsia="pt-BR"/>
        </w:rPr>
        <w:t> Os benefícios pagos, a qualquer título, pelo órgão responsável pelo regime geral de previdência social, ainda que à conta do Tesouro Nacional, e os não sujeitos ao limite máximo de valor fixado para os benefícios concedidos por esse regime observarão os limites fixados no art. 37, XI.</w:t>
      </w:r>
    </w:p>
    <w:p w14:paraId="17D7D490"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24" w:anchor="art249" w:history="1">
        <w:r w:rsidR="005363F7" w:rsidRPr="005363F7">
          <w:rPr>
            <w:rFonts w:ascii="Book Antiqua" w:eastAsia="Times New Roman" w:hAnsi="Book Antiqua" w:cs="Arial"/>
            <w:color w:val="0000FF"/>
            <w:sz w:val="19"/>
            <w:szCs w:val="19"/>
            <w:u w:val="single"/>
            <w:lang w:eastAsia="pt-BR"/>
          </w:rPr>
          <w:t>Art. 249 -</w:t>
        </w:r>
      </w:hyperlink>
      <w:r w:rsidR="005363F7" w:rsidRPr="005363F7">
        <w:rPr>
          <w:rFonts w:ascii="Book Antiqua" w:eastAsia="Times New Roman" w:hAnsi="Book Antiqua" w:cs="Arial"/>
          <w:color w:val="000000"/>
          <w:sz w:val="19"/>
          <w:szCs w:val="19"/>
          <w:lang w:eastAsia="pt-BR"/>
        </w:rPr>
        <w:t>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w:t>
      </w:r>
    </w:p>
    <w:p w14:paraId="4E026650" w14:textId="77777777" w:rsidR="005363F7" w:rsidRPr="005363F7" w:rsidRDefault="00000000" w:rsidP="005363F7">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25" w:anchor="art250" w:history="1">
        <w:r w:rsidR="005363F7" w:rsidRPr="005363F7">
          <w:rPr>
            <w:rFonts w:ascii="Book Antiqua" w:eastAsia="Times New Roman" w:hAnsi="Book Antiqua" w:cs="Arial"/>
            <w:color w:val="0000FF"/>
            <w:sz w:val="19"/>
            <w:szCs w:val="19"/>
            <w:u w:val="single"/>
            <w:lang w:eastAsia="pt-BR"/>
          </w:rPr>
          <w:t>Art. 250 -</w:t>
        </w:r>
      </w:hyperlink>
      <w:r w:rsidR="005363F7" w:rsidRPr="005363F7">
        <w:rPr>
          <w:rFonts w:ascii="Book Antiqua" w:eastAsia="Times New Roman" w:hAnsi="Book Antiqua" w:cs="Arial"/>
          <w:color w:val="000000"/>
          <w:sz w:val="19"/>
          <w:szCs w:val="19"/>
          <w:lang w:eastAsia="pt-BR"/>
        </w:rPr>
        <w:t>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w:t>
      </w:r>
    </w:p>
    <w:p w14:paraId="4D1BE846"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2" w:name="art3"/>
      <w:bookmarkEnd w:id="2"/>
      <w:r w:rsidRPr="005363F7">
        <w:rPr>
          <w:rFonts w:ascii="Book Antiqua" w:eastAsia="Times New Roman" w:hAnsi="Book Antiqua" w:cs="Arial"/>
          <w:color w:val="000000"/>
          <w:sz w:val="19"/>
          <w:szCs w:val="19"/>
          <w:lang w:eastAsia="pt-BR"/>
        </w:rPr>
        <w:t>Art. 3º - É assegurada a concessão de aposentadoria e pensão, a qualquer tempo, aos servidores públicos e aos segurados do regime geral de previdência social, bem como aos seus dependentes, que, até a data da publicação desta Emenda, tenham cumprido os requisitos para a obtenção destes benefícios, com base nos critérios da legislação então vigente.</w:t>
      </w:r>
    </w:p>
    <w:p w14:paraId="42AA9DC5"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Times New Roman"/>
          <w:color w:val="000000"/>
          <w:sz w:val="19"/>
          <w:szCs w:val="19"/>
          <w:lang w:eastAsia="pt-BR"/>
        </w:rPr>
        <w:t>        </w:t>
      </w:r>
      <w:bookmarkStart w:id="3" w:name="art3§1"/>
      <w:bookmarkEnd w:id="3"/>
      <w:r w:rsidRPr="005363F7">
        <w:rPr>
          <w:rFonts w:ascii="Book Antiqua" w:eastAsia="Times New Roman" w:hAnsi="Book Antiqua" w:cs="Arial"/>
          <w:color w:val="000000"/>
          <w:sz w:val="19"/>
          <w:szCs w:val="19"/>
          <w:lang w:eastAsia="pt-BR"/>
        </w:rPr>
        <w:t>§ 1º - O servidor de que trata este artigo, que tenha completado as exigências para aposentadoria integral e que opte por permanecer em atividade fará jus à isenção da contribuição previdenciária até completar as exigências para aposentadoria contidas no </w:t>
      </w:r>
      <w:hyperlink r:id="rId26" w:anchor="art40%C2%A71iiia" w:history="1">
        <w:r w:rsidRPr="005363F7">
          <w:rPr>
            <w:rFonts w:ascii="Book Antiqua" w:eastAsia="Times New Roman" w:hAnsi="Book Antiqua" w:cs="Arial"/>
            <w:color w:val="0000FF"/>
            <w:sz w:val="19"/>
            <w:szCs w:val="19"/>
            <w:u w:val="single"/>
            <w:lang w:eastAsia="pt-BR"/>
          </w:rPr>
          <w:t>art. 40,  § 1º, III, "a", da Constituição Federal.</w:t>
        </w:r>
      </w:hyperlink>
    </w:p>
    <w:p w14:paraId="26736E54"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 2º - Os proventos da aposentadoria a ser concedida aos servidores públicos referidos no "caput", em termos integrais ou proporcionais ao tempo de serviço já exercido até a data de publicação desta Emenda, bem como as pensões de seus dependentes, serão calculados de acordo com a legislação em vigor à época em que foram atendidas as prescrições nela estabelecidas para a concessão destes benefícios ou nas condições da legislação vigente.</w:t>
      </w:r>
    </w:p>
    <w:p w14:paraId="355C453D"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4" w:name="art3§3"/>
      <w:bookmarkEnd w:id="4"/>
      <w:r w:rsidRPr="005363F7">
        <w:rPr>
          <w:rFonts w:ascii="Book Antiqua" w:eastAsia="Times New Roman" w:hAnsi="Book Antiqua" w:cs="Arial"/>
          <w:color w:val="000000"/>
          <w:sz w:val="19"/>
          <w:szCs w:val="19"/>
          <w:lang w:eastAsia="pt-BR"/>
        </w:rPr>
        <w:t>§ 3º - São mantidos todos os direitos e garantias assegurados nas disposições constitucionais vigentes à data de publicação desta Emenda aos servidores e militares, inativos e pensionistas, aos anistiados e aos ex-combatentes, assim como àqueles que já cumpriram, até aquela data, os requisitos para usufruírem tais direitos, observado o disposto no </w:t>
      </w:r>
      <w:hyperlink r:id="rId27" w:anchor="art37xi" w:history="1">
        <w:r w:rsidRPr="005363F7">
          <w:rPr>
            <w:rFonts w:ascii="Book Antiqua" w:eastAsia="Times New Roman" w:hAnsi="Book Antiqua" w:cs="Arial"/>
            <w:color w:val="0000FF"/>
            <w:sz w:val="19"/>
            <w:szCs w:val="19"/>
            <w:u w:val="single"/>
            <w:lang w:eastAsia="pt-BR"/>
          </w:rPr>
          <w:t>art. 37, XI, da Constituição Federal.</w:t>
        </w:r>
      </w:hyperlink>
    </w:p>
    <w:p w14:paraId="2FD8FBE5" w14:textId="6B64D492" w:rsidR="005363F7" w:rsidRDefault="005363F7" w:rsidP="005363F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363F7">
        <w:rPr>
          <w:rFonts w:ascii="Book Antiqua" w:eastAsia="Times New Roman" w:hAnsi="Book Antiqua" w:cs="Times New Roman"/>
          <w:color w:val="000000"/>
          <w:sz w:val="19"/>
          <w:szCs w:val="19"/>
          <w:lang w:eastAsia="pt-BR"/>
        </w:rPr>
        <w:t>        </w:t>
      </w:r>
      <w:bookmarkStart w:id="5" w:name="art4"/>
      <w:bookmarkEnd w:id="5"/>
      <w:r w:rsidRPr="005363F7">
        <w:rPr>
          <w:rFonts w:ascii="Book Antiqua" w:eastAsia="Times New Roman" w:hAnsi="Book Antiqua" w:cs="Arial"/>
          <w:b/>
          <w:bCs/>
          <w:color w:val="000000"/>
          <w:sz w:val="19"/>
          <w:szCs w:val="19"/>
          <w:highlight w:val="magenta"/>
          <w:lang w:eastAsia="pt-BR"/>
        </w:rPr>
        <w:t>Art. 4º</w:t>
      </w:r>
      <w:r w:rsidRPr="005363F7">
        <w:rPr>
          <w:rFonts w:ascii="Book Antiqua" w:eastAsia="Times New Roman" w:hAnsi="Book Antiqua" w:cs="Arial"/>
          <w:color w:val="000000"/>
          <w:sz w:val="19"/>
          <w:szCs w:val="19"/>
          <w:lang w:eastAsia="pt-BR"/>
        </w:rPr>
        <w:t xml:space="preserve"> - </w:t>
      </w:r>
      <w:r w:rsidRPr="005363F7">
        <w:rPr>
          <w:rFonts w:ascii="Book Antiqua" w:eastAsia="Times New Roman" w:hAnsi="Book Antiqua" w:cs="Arial"/>
          <w:b/>
          <w:bCs/>
          <w:color w:val="000000"/>
          <w:sz w:val="19"/>
          <w:szCs w:val="19"/>
          <w:lang w:eastAsia="pt-BR"/>
        </w:rPr>
        <w:t>Observado o disposto no </w:t>
      </w:r>
      <w:hyperlink r:id="rId28" w:anchor="art40%C2%A710" w:history="1">
        <w:r w:rsidRPr="005363F7">
          <w:rPr>
            <w:rFonts w:ascii="Book Antiqua" w:eastAsia="Times New Roman" w:hAnsi="Book Antiqua" w:cs="Arial"/>
            <w:b/>
            <w:bCs/>
            <w:color w:val="0000FF"/>
            <w:sz w:val="19"/>
            <w:szCs w:val="19"/>
            <w:u w:val="single"/>
            <w:lang w:eastAsia="pt-BR"/>
          </w:rPr>
          <w:t>art. 40,  § 10, da Constituição Federal,</w:t>
        </w:r>
      </w:hyperlink>
      <w:r w:rsidRPr="005363F7">
        <w:rPr>
          <w:rFonts w:ascii="Book Antiqua" w:eastAsia="Times New Roman" w:hAnsi="Book Antiqua" w:cs="Arial"/>
          <w:b/>
          <w:bCs/>
          <w:color w:val="000000"/>
          <w:sz w:val="19"/>
          <w:szCs w:val="19"/>
          <w:lang w:eastAsia="pt-BR"/>
        </w:rPr>
        <w:t> o tempo de serviço considerado pela legislação vigente para efeito de aposentadoria, cumprido até que a lei discipline a matéria, será contado como tempo de contribuição</w:t>
      </w:r>
      <w:r w:rsidRPr="005363F7">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5363F7" w14:paraId="2CE67E1C" w14:textId="77777777" w:rsidTr="005363F7">
        <w:tc>
          <w:tcPr>
            <w:tcW w:w="8494" w:type="dxa"/>
            <w:shd w:val="clear" w:color="auto" w:fill="CCFFFF"/>
          </w:tcPr>
          <w:p w14:paraId="7F1306C0" w14:textId="297C6B31" w:rsidR="005363F7" w:rsidRDefault="005363F7" w:rsidP="005363F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363F7">
              <w:rPr>
                <w:rFonts w:ascii="Book Antiqua" w:eastAsia="Times New Roman" w:hAnsi="Book Antiqua" w:cs="Times New Roman"/>
                <w:b/>
                <w:bCs/>
                <w:color w:val="000000"/>
                <w:sz w:val="19"/>
                <w:szCs w:val="19"/>
                <w:highlight w:val="yellow"/>
                <w:lang w:eastAsia="pt-BR"/>
              </w:rPr>
              <w:t>PGESP-2018-VUNESP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363F7">
              <w:rPr>
                <w:rFonts w:ascii="Book Antiqua" w:eastAsia="Times New Roman" w:hAnsi="Book Antiqua" w:cs="Times New Roman"/>
                <w:color w:val="000000"/>
                <w:sz w:val="19"/>
                <w:szCs w:val="19"/>
                <w:lang w:eastAsia="pt-BR"/>
              </w:rPr>
              <w:t xml:space="preserve">Maria de Oliveira efetuou inscrição definitiva na Ordem dos Advogados do Brasil logo após sua colação de grau, no início de 1987. Vocacionada ao exercício da advocacia pública, optou por dedicar-se exclusivamente aos estudos para o concurso da Procuradoria Geral </w:t>
            </w:r>
            <w:r w:rsidRPr="005363F7">
              <w:rPr>
                <w:rFonts w:ascii="Book Antiqua" w:eastAsia="Times New Roman" w:hAnsi="Book Antiqua" w:cs="Times New Roman"/>
                <w:color w:val="000000"/>
                <w:sz w:val="19"/>
                <w:szCs w:val="19"/>
                <w:lang w:eastAsia="pt-BR"/>
              </w:rPr>
              <w:lastRenderedPageBreak/>
              <w:t>do Estado de São Paulo, tendo sido aprovada no concurso de 1993, ano em que tomou posse e iniciou o exercício do cargo. Ultrapassados 25 anos de efetivo exercício do cargo de Procuradora do Estado de São Paulo, Maria de Oliveira, que hoje conta 56 anos, solicitou aposentadoria com lastro no artigo 3° da Emenda Constitucional 47/05. No mesmo instante, ciente de que lei estadual vigente quando de sua posse assegurava aos Procuradores do Estado o cômputo do tempo de inscrição na OAB como tempo de serviço público para todos os efeitos, apresentou certidão emitida por tal entidade ao setor de recursos humanos, requerendo a contagem do período como tempo de contribuição. Examinando o pleito, é possível concluir que a Procuradora do Estado de São Paulo</w:t>
            </w:r>
            <w:r>
              <w:rPr>
                <w:rFonts w:ascii="Book Antiqua" w:eastAsia="Times New Roman" w:hAnsi="Book Antiqua" w:cs="Times New Roman"/>
                <w:color w:val="000000"/>
                <w:sz w:val="19"/>
                <w:szCs w:val="19"/>
                <w:lang w:eastAsia="pt-BR"/>
              </w:rPr>
              <w:t xml:space="preserve"> </w:t>
            </w:r>
            <w:r w:rsidRPr="005363F7">
              <w:rPr>
                <w:rFonts w:ascii="Book Antiqua" w:eastAsia="Times New Roman" w:hAnsi="Book Antiqua" w:cs="Times New Roman"/>
                <w:color w:val="000000"/>
                <w:sz w:val="19"/>
                <w:szCs w:val="19"/>
                <w:lang w:eastAsia="pt-BR"/>
              </w:rPr>
              <w:t>faz jus à aposentadoria requerida, pois o artigo 4° da Emenda Constitucional 20/98 consagrou o direito adquirido à qualificação jurídica do tempo.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EC 20/98 e art. 40, §10, CF.</w:t>
            </w:r>
          </w:p>
          <w:p w14:paraId="6A8C8C12" w14:textId="7B6EBFA3" w:rsidR="005363F7" w:rsidRPr="005363F7" w:rsidRDefault="005363F7" w:rsidP="005363F7">
            <w:pPr>
              <w:spacing w:before="100" w:beforeAutospacing="1" w:after="100" w:afterAutospacing="1"/>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Times New Roman"/>
                <w:b/>
                <w:bCs/>
                <w:i/>
                <w:iCs/>
                <w:color w:val="FF0000"/>
                <w:sz w:val="19"/>
                <w:szCs w:val="19"/>
                <w:lang w:eastAsia="pt-BR"/>
              </w:rPr>
              <w:t>#</w:t>
            </w:r>
            <w:r w:rsidRPr="005363F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5363F7">
              <w:rPr>
                <w:rFonts w:ascii="Book Antiqua" w:eastAsia="Times New Roman" w:hAnsi="Book Antiqua" w:cs="Times New Roman"/>
                <w:color w:val="000000"/>
                <w:sz w:val="19"/>
                <w:szCs w:val="19"/>
                <w:lang w:eastAsia="pt-BR"/>
              </w:rPr>
              <w:t xml:space="preserve">É bem verdade que o § 10 do art. 40 da CF/88, estabelece que </w:t>
            </w:r>
            <w:r>
              <w:rPr>
                <w:rFonts w:ascii="Book Antiqua" w:eastAsia="Times New Roman" w:hAnsi="Book Antiqua" w:cs="Times New Roman"/>
                <w:color w:val="000000"/>
                <w:sz w:val="19"/>
                <w:szCs w:val="19"/>
                <w:lang w:eastAsia="pt-BR"/>
              </w:rPr>
              <w:t>“</w:t>
            </w:r>
            <w:r w:rsidRPr="005363F7">
              <w:rPr>
                <w:rFonts w:ascii="Book Antiqua" w:eastAsia="Times New Roman" w:hAnsi="Book Antiqua" w:cs="Times New Roman"/>
                <w:i/>
                <w:iCs/>
                <w:color w:val="000000"/>
                <w:sz w:val="19"/>
                <w:szCs w:val="19"/>
                <w:lang w:eastAsia="pt-BR"/>
              </w:rPr>
              <w:t>a lei não poderá estabelecer qualquer forma de contagem de tempo de contribuição fictício</w:t>
            </w:r>
            <w:r>
              <w:rPr>
                <w:rFonts w:ascii="Book Antiqua" w:eastAsia="Times New Roman" w:hAnsi="Book Antiqua" w:cs="Times New Roman"/>
                <w:color w:val="000000"/>
                <w:sz w:val="19"/>
                <w:szCs w:val="19"/>
                <w:lang w:eastAsia="pt-BR"/>
              </w:rPr>
              <w:t>”</w:t>
            </w:r>
            <w:r w:rsidRPr="005363F7">
              <w:rPr>
                <w:rFonts w:ascii="Book Antiqua" w:eastAsia="Times New Roman" w:hAnsi="Book Antiqua" w:cs="Times New Roman"/>
                <w:color w:val="000000"/>
                <w:sz w:val="19"/>
                <w:szCs w:val="19"/>
                <w:lang w:eastAsia="pt-BR"/>
              </w:rPr>
              <w:t xml:space="preserve">. Todavia, não se pode esquecer que a referida redação foi dada pelo multicitada Emenda Constitucional, de forma que, por força do princípio tempus </w:t>
            </w:r>
            <w:proofErr w:type="spellStart"/>
            <w:r w:rsidRPr="005363F7">
              <w:rPr>
                <w:rFonts w:ascii="Book Antiqua" w:eastAsia="Times New Roman" w:hAnsi="Book Antiqua" w:cs="Times New Roman"/>
                <w:color w:val="000000"/>
                <w:sz w:val="19"/>
                <w:szCs w:val="19"/>
                <w:lang w:eastAsia="pt-BR"/>
              </w:rPr>
              <w:t>regit</w:t>
            </w:r>
            <w:proofErr w:type="spellEnd"/>
            <w:r w:rsidRPr="005363F7">
              <w:rPr>
                <w:rFonts w:ascii="Book Antiqua" w:eastAsia="Times New Roman" w:hAnsi="Book Antiqua" w:cs="Times New Roman"/>
                <w:color w:val="000000"/>
                <w:sz w:val="19"/>
                <w:szCs w:val="19"/>
                <w:lang w:eastAsia="pt-BR"/>
              </w:rPr>
              <w:t xml:space="preserve"> </w:t>
            </w:r>
            <w:proofErr w:type="spellStart"/>
            <w:r w:rsidRPr="005363F7">
              <w:rPr>
                <w:rFonts w:ascii="Book Antiqua" w:eastAsia="Times New Roman" w:hAnsi="Book Antiqua" w:cs="Times New Roman"/>
                <w:color w:val="000000"/>
                <w:sz w:val="19"/>
                <w:szCs w:val="19"/>
                <w:lang w:eastAsia="pt-BR"/>
              </w:rPr>
              <w:t>actum</w:t>
            </w:r>
            <w:proofErr w:type="spellEnd"/>
            <w:r w:rsidRPr="005363F7">
              <w:rPr>
                <w:rFonts w:ascii="Book Antiqua" w:eastAsia="Times New Roman" w:hAnsi="Book Antiqua" w:cs="Times New Roman"/>
                <w:color w:val="000000"/>
                <w:sz w:val="19"/>
                <w:szCs w:val="19"/>
                <w:lang w:eastAsia="pt-BR"/>
              </w:rPr>
              <w:t>, não pode ela, norma abstrata e geral, retroagir para ser aplicada nas situações pretéritas já consolidadas à luz do ordenamento jurídico anterior, sob pena de incorrer em violação a direito adquirido, ato jurídico perfeito e coisa julgada.</w:t>
            </w:r>
            <w:r>
              <w:rPr>
                <w:rFonts w:ascii="Book Antiqua" w:eastAsia="Times New Roman" w:hAnsi="Book Antiqua" w:cs="Times New Roman"/>
                <w:color w:val="000000"/>
                <w:sz w:val="19"/>
                <w:szCs w:val="19"/>
                <w:lang w:eastAsia="pt-BR"/>
              </w:rPr>
              <w:t xml:space="preserve"> </w:t>
            </w:r>
            <w:r w:rsidRPr="005363F7">
              <w:rPr>
                <w:rFonts w:ascii="Book Antiqua" w:eastAsia="Times New Roman" w:hAnsi="Book Antiqua" w:cs="Times New Roman"/>
                <w:color w:val="000000"/>
                <w:sz w:val="19"/>
                <w:szCs w:val="19"/>
                <w:lang w:eastAsia="pt-BR"/>
              </w:rPr>
              <w:t>Nessa linha de raciocínio, em homenagem ao princípio da irretroatividade da lei e ao direito adquirido, dúvida não há de que o período anterior à EC 20/98 será considerado à luz da legislação vigente à época.</w:t>
            </w:r>
            <w:r w:rsidR="001B7C13">
              <w:rPr>
                <w:rFonts w:ascii="Book Antiqua" w:eastAsia="Times New Roman" w:hAnsi="Book Antiqua" w:cs="Times New Roman"/>
                <w:color w:val="000000"/>
                <w:sz w:val="19"/>
                <w:szCs w:val="19"/>
                <w:lang w:eastAsia="pt-BR"/>
              </w:rPr>
              <w:t xml:space="preserve"> Em suma, </w:t>
            </w:r>
            <w:r w:rsidR="001B7C13" w:rsidRPr="001B7C13">
              <w:rPr>
                <w:rFonts w:ascii="Book Antiqua" w:eastAsia="Times New Roman" w:hAnsi="Book Antiqua" w:cs="Times New Roman"/>
                <w:color w:val="000000"/>
                <w:sz w:val="19"/>
                <w:szCs w:val="19"/>
                <w:lang w:eastAsia="pt-BR"/>
              </w:rPr>
              <w:t>a lei vigente na época da posse assegurava o tempo de serviço que, diante do disposto na EC nº 20, em respeito ao direito adquirido, será contado como tempo de contribuição.</w:t>
            </w:r>
          </w:p>
        </w:tc>
      </w:tr>
    </w:tbl>
    <w:p w14:paraId="324445A7"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lastRenderedPageBreak/>
        <w:t>        </w:t>
      </w:r>
      <w:bookmarkStart w:id="6" w:name="art5"/>
      <w:bookmarkEnd w:id="6"/>
      <w:r w:rsidRPr="005363F7">
        <w:rPr>
          <w:rFonts w:ascii="Book Antiqua" w:eastAsia="Times New Roman" w:hAnsi="Book Antiqua" w:cs="Arial"/>
          <w:color w:val="000000"/>
          <w:sz w:val="19"/>
          <w:szCs w:val="19"/>
          <w:lang w:eastAsia="pt-BR"/>
        </w:rPr>
        <w:t>Art. 5º - O disposto no </w:t>
      </w:r>
      <w:hyperlink r:id="rId29" w:anchor="art202%C2%A73" w:history="1">
        <w:r w:rsidRPr="005363F7">
          <w:rPr>
            <w:rFonts w:ascii="Book Antiqua" w:eastAsia="Times New Roman" w:hAnsi="Book Antiqua" w:cs="Arial"/>
            <w:color w:val="0000FF"/>
            <w:sz w:val="19"/>
            <w:szCs w:val="19"/>
            <w:u w:val="single"/>
            <w:lang w:eastAsia="pt-BR"/>
          </w:rPr>
          <w:t>art. 202,  § 3º, da Constituição Federal,</w:t>
        </w:r>
      </w:hyperlink>
      <w:r w:rsidRPr="005363F7">
        <w:rPr>
          <w:rFonts w:ascii="Book Antiqua" w:eastAsia="Times New Roman" w:hAnsi="Book Antiqua" w:cs="Arial"/>
          <w:color w:val="000000"/>
          <w:sz w:val="19"/>
          <w:szCs w:val="19"/>
          <w:lang w:eastAsia="pt-BR"/>
        </w:rPr>
        <w:t> quanto à exigência de paridade entre a contribuição da patrocinadora e a contribuição do segurado, terá vigência no prazo de dois anos a partir da publicação desta Emenda, ou, caso ocorra antes, na data de publicação da lei complementar a que se refere o  § 4º do mesmo artigo.</w:t>
      </w:r>
    </w:p>
    <w:p w14:paraId="0030D9C2"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Times New Roman"/>
          <w:color w:val="000000"/>
          <w:sz w:val="19"/>
          <w:szCs w:val="19"/>
          <w:lang w:eastAsia="pt-BR"/>
        </w:rPr>
        <w:t>        </w:t>
      </w:r>
      <w:bookmarkStart w:id="7" w:name="art6"/>
      <w:bookmarkEnd w:id="7"/>
      <w:r w:rsidRPr="005363F7">
        <w:rPr>
          <w:rFonts w:ascii="Book Antiqua" w:eastAsia="Times New Roman" w:hAnsi="Book Antiqua" w:cs="Arial"/>
          <w:color w:val="000000"/>
          <w:sz w:val="19"/>
          <w:szCs w:val="19"/>
          <w:lang w:eastAsia="pt-BR"/>
        </w:rPr>
        <w:t>Art. 6º - As entidades fechadas de previdência privada patrocinadas por entidades públicas, inclusive empresas públicas e sociedades de economia mista, deverão rever, no prazo de dois anos, a contar da publicação desta Emenda, seus planos de benefícios e serviços, de modo a ajustá-los atuarialmente a seus ativos, sob pena de intervenção, sendo seus dirigentes e os de suas respectivas patrocinadoras responsáveis civil e criminalmente pelo descumprimento do disposto neste artigo.</w:t>
      </w:r>
    </w:p>
    <w:p w14:paraId="6D1EA2E4"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8" w:name="art7"/>
      <w:bookmarkEnd w:id="8"/>
      <w:r w:rsidRPr="005363F7">
        <w:rPr>
          <w:rFonts w:ascii="Book Antiqua" w:eastAsia="Times New Roman" w:hAnsi="Book Antiqua" w:cs="Arial"/>
          <w:color w:val="000000"/>
          <w:sz w:val="19"/>
          <w:szCs w:val="19"/>
          <w:lang w:eastAsia="pt-BR"/>
        </w:rPr>
        <w:t>Art. 7º - Os projetos das leis complementares previstas no </w:t>
      </w:r>
      <w:hyperlink r:id="rId30" w:anchor="art202" w:history="1">
        <w:r w:rsidRPr="005363F7">
          <w:rPr>
            <w:rFonts w:ascii="Book Antiqua" w:eastAsia="Times New Roman" w:hAnsi="Book Antiqua" w:cs="Arial"/>
            <w:color w:val="0000FF"/>
            <w:sz w:val="19"/>
            <w:szCs w:val="19"/>
            <w:u w:val="single"/>
            <w:lang w:eastAsia="pt-BR"/>
          </w:rPr>
          <w:t>art. 202 da Constituição Federal </w:t>
        </w:r>
      </w:hyperlink>
      <w:r w:rsidRPr="005363F7">
        <w:rPr>
          <w:rFonts w:ascii="Book Antiqua" w:eastAsia="Times New Roman" w:hAnsi="Book Antiqua" w:cs="Arial"/>
          <w:color w:val="000000"/>
          <w:sz w:val="19"/>
          <w:szCs w:val="19"/>
          <w:lang w:eastAsia="pt-BR"/>
        </w:rPr>
        <w:t>deverão ser apresentados ao Congresso Nacional no prazo máximo de noventa dias após a publicação desta Emenda.</w:t>
      </w:r>
    </w:p>
    <w:p w14:paraId="4C5BE995" w14:textId="4D2D2948" w:rsidR="005363F7" w:rsidRDefault="005363F7" w:rsidP="005363F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363F7">
        <w:rPr>
          <w:rFonts w:ascii="Book Antiqua" w:eastAsia="Times New Roman" w:hAnsi="Book Antiqua" w:cs="Times New Roman"/>
          <w:color w:val="000000"/>
          <w:sz w:val="19"/>
          <w:szCs w:val="19"/>
          <w:lang w:eastAsia="pt-BR"/>
        </w:rPr>
        <w:t>        </w:t>
      </w:r>
      <w:bookmarkStart w:id="9" w:name="art8"/>
      <w:bookmarkEnd w:id="9"/>
      <w:r w:rsidRPr="005363F7">
        <w:rPr>
          <w:rFonts w:ascii="Book Antiqua" w:eastAsia="Times New Roman" w:hAnsi="Book Antiqua" w:cs="Arial"/>
          <w:color w:val="000000"/>
          <w:sz w:val="19"/>
          <w:szCs w:val="19"/>
          <w:lang w:eastAsia="pt-BR"/>
        </w:rPr>
        <w:t>Art. 8º -</w:t>
      </w:r>
      <w:r w:rsidRPr="005363F7">
        <w:rPr>
          <w:rFonts w:ascii="Book Antiqua" w:eastAsia="Times New Roman" w:hAnsi="Book Antiqua" w:cs="Arial"/>
          <w:color w:val="0000FF"/>
          <w:sz w:val="19"/>
          <w:szCs w:val="19"/>
          <w:lang w:eastAsia="pt-BR"/>
        </w:rPr>
        <w:t>   </w:t>
      </w:r>
      <w:hyperlink r:id="rId31" w:anchor="art10" w:history="1">
        <w:r w:rsidRPr="005363F7">
          <w:rPr>
            <w:rFonts w:ascii="Book Antiqua" w:eastAsia="Times New Roman" w:hAnsi="Book Antiqua" w:cs="Arial"/>
            <w:color w:val="0000FF"/>
            <w:sz w:val="19"/>
            <w:szCs w:val="19"/>
            <w:u w:val="single"/>
            <w:lang w:eastAsia="pt-BR"/>
          </w:rPr>
          <w:t>(Revogado pela Emenda Constitucional nº 41, de 19.12.2003)</w:t>
        </w:r>
      </w:hyperlink>
      <w:bookmarkStart w:id="10" w:name="art9"/>
      <w:bookmarkStart w:id="11" w:name="*9"/>
      <w:bookmarkEnd w:id="10"/>
      <w:bookmarkEnd w:id="11"/>
    </w:p>
    <w:p w14:paraId="24764140" w14:textId="4984942A" w:rsidR="005363F7" w:rsidRPr="005363F7" w:rsidRDefault="005363F7" w:rsidP="005363F7">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Art. 9º -  </w:t>
      </w:r>
      <w:hyperlink r:id="rId32" w:anchor="art35" w:history="1">
        <w:r w:rsidRPr="005363F7">
          <w:rPr>
            <w:rFonts w:ascii="Book Antiqua" w:eastAsia="Times New Roman" w:hAnsi="Book Antiqua" w:cs="Arial"/>
            <w:color w:val="0000FF"/>
            <w:sz w:val="19"/>
            <w:szCs w:val="19"/>
            <w:u w:val="single"/>
            <w:lang w:eastAsia="pt-BR"/>
          </w:rPr>
          <w:t>(Revogado pela Emenda Constitucional nº 103, de 2019)</w:t>
        </w:r>
      </w:hyperlink>
    </w:p>
    <w:p w14:paraId="0D1C36BE" w14:textId="77777777" w:rsid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12" w:name="art10"/>
      <w:bookmarkEnd w:id="12"/>
      <w:r w:rsidRPr="005363F7">
        <w:rPr>
          <w:rFonts w:ascii="Book Antiqua" w:eastAsia="Times New Roman" w:hAnsi="Book Antiqua" w:cs="Arial"/>
          <w:color w:val="000000"/>
          <w:sz w:val="19"/>
          <w:szCs w:val="19"/>
          <w:lang w:eastAsia="pt-BR"/>
        </w:rPr>
        <w:t>Art. 10 - </w:t>
      </w:r>
      <w:r>
        <w:rPr>
          <w:rFonts w:ascii="Book Antiqua" w:eastAsia="Times New Roman" w:hAnsi="Book Antiqua" w:cs="Arial"/>
          <w:color w:val="000000"/>
          <w:sz w:val="19"/>
          <w:szCs w:val="19"/>
          <w:lang w:eastAsia="pt-BR"/>
        </w:rPr>
        <w:t xml:space="preserve"> </w:t>
      </w:r>
      <w:hyperlink r:id="rId33" w:anchor="art10" w:history="1">
        <w:r w:rsidRPr="005363F7">
          <w:rPr>
            <w:rFonts w:ascii="Book Antiqua" w:eastAsia="Times New Roman" w:hAnsi="Book Antiqua" w:cs="Arial"/>
            <w:color w:val="0000FF"/>
            <w:sz w:val="19"/>
            <w:szCs w:val="19"/>
            <w:u w:val="single"/>
            <w:lang w:eastAsia="pt-BR"/>
          </w:rPr>
          <w:t>(Revogado pela Emenda Constitucional nº 41, de 19.12.2003)</w:t>
        </w:r>
      </w:hyperlink>
    </w:p>
    <w:p w14:paraId="7B581AB7" w14:textId="2EC9AFA0" w:rsidR="005363F7" w:rsidRDefault="005363F7" w:rsidP="005363F7">
      <w:pPr>
        <w:spacing w:before="100" w:beforeAutospacing="1" w:after="100" w:afterAutospacing="1" w:line="240" w:lineRule="auto"/>
        <w:ind w:firstLine="284"/>
        <w:jc w:val="both"/>
        <w:rPr>
          <w:rFonts w:ascii="Book Antiqua" w:eastAsia="Times New Roman" w:hAnsi="Book Antiqua" w:cs="Arial"/>
          <w:b/>
          <w:bCs/>
          <w:color w:val="FF0000"/>
          <w:sz w:val="16"/>
          <w:szCs w:val="16"/>
          <w:lang w:eastAsia="pt-BR"/>
        </w:rPr>
      </w:pPr>
      <w:r w:rsidRPr="00336ED3">
        <w:rPr>
          <w:rFonts w:ascii="Book Antiqua" w:eastAsia="Times New Roman" w:hAnsi="Book Antiqua" w:cs="Arial"/>
          <w:b/>
          <w:bCs/>
          <w:color w:val="000000"/>
          <w:sz w:val="19"/>
          <w:szCs w:val="19"/>
          <w:highlight w:val="magenta"/>
          <w:lang w:eastAsia="pt-BR"/>
        </w:rPr>
        <w:t>Art. 11</w:t>
      </w:r>
      <w:r w:rsidRPr="00336ED3">
        <w:rPr>
          <w:rFonts w:ascii="Book Antiqua" w:eastAsia="Times New Roman" w:hAnsi="Book Antiqua" w:cs="Arial"/>
          <w:b/>
          <w:bCs/>
          <w:color w:val="000000"/>
          <w:sz w:val="19"/>
          <w:szCs w:val="19"/>
          <w:lang w:eastAsia="pt-BR"/>
        </w:rPr>
        <w:t xml:space="preserve"> - A vedação prevista no </w:t>
      </w:r>
      <w:hyperlink r:id="rId34" w:anchor="art37%C2%A710" w:history="1">
        <w:r w:rsidRPr="00336ED3">
          <w:rPr>
            <w:rFonts w:ascii="Book Antiqua" w:eastAsia="Times New Roman" w:hAnsi="Book Antiqua" w:cs="Arial"/>
            <w:b/>
            <w:bCs/>
            <w:color w:val="0000FF"/>
            <w:sz w:val="19"/>
            <w:szCs w:val="19"/>
            <w:u w:val="single"/>
            <w:lang w:eastAsia="pt-BR"/>
          </w:rPr>
          <w:t>art. 37,  § 10, da Constituição Federal,</w:t>
        </w:r>
      </w:hyperlink>
      <w:r w:rsidRPr="00336ED3">
        <w:rPr>
          <w:rFonts w:ascii="Book Antiqua" w:eastAsia="Times New Roman" w:hAnsi="Book Antiqua" w:cs="Arial"/>
          <w:b/>
          <w:bCs/>
          <w:color w:val="000000"/>
          <w:sz w:val="19"/>
          <w:szCs w:val="19"/>
          <w:lang w:eastAsia="pt-BR"/>
        </w:rPr>
        <w:t xml:space="preserve"> não se aplica aos membros de poder e aos inativos, servidores e militares, que, </w:t>
      </w:r>
      <w:r w:rsidRPr="00336ED3">
        <w:rPr>
          <w:rFonts w:ascii="Book Antiqua" w:eastAsia="Times New Roman" w:hAnsi="Book Antiqua" w:cs="Arial"/>
          <w:b/>
          <w:bCs/>
          <w:color w:val="000000"/>
          <w:sz w:val="19"/>
          <w:szCs w:val="19"/>
          <w:highlight w:val="cyan"/>
          <w:lang w:eastAsia="pt-BR"/>
        </w:rPr>
        <w:t>até a publicação desta Emenda</w:t>
      </w:r>
      <w:r w:rsidRPr="00336ED3">
        <w:rPr>
          <w:rFonts w:ascii="Book Antiqua" w:eastAsia="Times New Roman" w:hAnsi="Book Antiqua" w:cs="Arial"/>
          <w:b/>
          <w:bCs/>
          <w:color w:val="000000"/>
          <w:sz w:val="19"/>
          <w:szCs w:val="19"/>
          <w:lang w:eastAsia="pt-BR"/>
        </w:rPr>
        <w:t>, tenham ingressado novamente no serviço público por concurso público de provas ou de provas e títulos, e pelas demais formas previstas na Constituição Federal, sendo-lhes proibida a percepção de mais de uma aposentadoria pelo regime de previdência a que se refere o </w:t>
      </w:r>
      <w:hyperlink r:id="rId35" w:anchor="art40" w:history="1">
        <w:r w:rsidRPr="00336ED3">
          <w:rPr>
            <w:rFonts w:ascii="Book Antiqua" w:eastAsia="Times New Roman" w:hAnsi="Book Antiqua" w:cs="Arial"/>
            <w:b/>
            <w:bCs/>
            <w:color w:val="0000FF"/>
            <w:sz w:val="19"/>
            <w:szCs w:val="19"/>
            <w:u w:val="single"/>
            <w:lang w:eastAsia="pt-BR"/>
          </w:rPr>
          <w:t>art. 40 da Constituição Federal</w:t>
        </w:r>
      </w:hyperlink>
      <w:r w:rsidRPr="00336ED3">
        <w:rPr>
          <w:rFonts w:ascii="Book Antiqua" w:eastAsia="Times New Roman" w:hAnsi="Book Antiqua" w:cs="Arial"/>
          <w:b/>
          <w:bCs/>
          <w:color w:val="000000"/>
          <w:sz w:val="19"/>
          <w:szCs w:val="19"/>
          <w:lang w:eastAsia="pt-BR"/>
        </w:rPr>
        <w:t xml:space="preserve">, </w:t>
      </w:r>
      <w:proofErr w:type="spellStart"/>
      <w:r w:rsidRPr="00336ED3">
        <w:rPr>
          <w:rFonts w:ascii="Book Antiqua" w:eastAsia="Times New Roman" w:hAnsi="Book Antiqua" w:cs="Arial"/>
          <w:b/>
          <w:bCs/>
          <w:color w:val="000000"/>
          <w:sz w:val="19"/>
          <w:szCs w:val="19"/>
          <w:lang w:eastAsia="pt-BR"/>
        </w:rPr>
        <w:t>aplicando-se-lhes</w:t>
      </w:r>
      <w:proofErr w:type="spellEnd"/>
      <w:r w:rsidRPr="00336ED3">
        <w:rPr>
          <w:rFonts w:ascii="Book Antiqua" w:eastAsia="Times New Roman" w:hAnsi="Book Antiqua" w:cs="Arial"/>
          <w:b/>
          <w:bCs/>
          <w:color w:val="000000"/>
          <w:sz w:val="19"/>
          <w:szCs w:val="19"/>
          <w:lang w:eastAsia="pt-BR"/>
        </w:rPr>
        <w:t>, em qualquer hipótese, o limite de que trata o  § 11 deste mesmo artigo</w:t>
      </w:r>
      <w:r w:rsidRPr="00336ED3">
        <w:rPr>
          <w:rFonts w:ascii="Book Antiqua" w:eastAsia="Times New Roman" w:hAnsi="Book Antiqua" w:cs="Arial"/>
          <w:color w:val="000000"/>
          <w:sz w:val="16"/>
          <w:szCs w:val="16"/>
          <w:lang w:eastAsia="pt-BR"/>
        </w:rPr>
        <w:t>.</w:t>
      </w:r>
      <w:r w:rsidR="00336ED3" w:rsidRPr="00336ED3">
        <w:rPr>
          <w:rFonts w:ascii="Book Antiqua" w:eastAsia="Times New Roman" w:hAnsi="Book Antiqua" w:cs="Arial"/>
          <w:color w:val="000000"/>
          <w:sz w:val="16"/>
          <w:szCs w:val="16"/>
          <w:lang w:eastAsia="pt-BR"/>
        </w:rPr>
        <w:t xml:space="preserve"> </w:t>
      </w:r>
      <w:r w:rsidR="00336ED3" w:rsidRPr="00336ED3">
        <w:rPr>
          <w:rFonts w:ascii="Book Antiqua" w:eastAsia="Times New Roman" w:hAnsi="Book Antiqua" w:cs="Arial"/>
          <w:b/>
          <w:bCs/>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336ED3" w14:paraId="4E450824" w14:textId="77777777" w:rsidTr="00FD1C1C">
        <w:tc>
          <w:tcPr>
            <w:tcW w:w="8494" w:type="dxa"/>
            <w:shd w:val="clear" w:color="auto" w:fill="CCFFFF"/>
          </w:tcPr>
          <w:p w14:paraId="7D80B8F8" w14:textId="357A0E1E" w:rsidR="00336ED3" w:rsidRPr="005363F7" w:rsidRDefault="00336ED3" w:rsidP="00336ED3">
            <w:pPr>
              <w:spacing w:before="100" w:beforeAutospacing="1" w:after="100" w:afterAutospacing="1"/>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Times New Roman"/>
                <w:b/>
                <w:bCs/>
                <w:i/>
                <w:iCs/>
                <w:color w:val="FF0000"/>
                <w:sz w:val="19"/>
                <w:szCs w:val="19"/>
                <w:lang w:eastAsia="pt-BR"/>
              </w:rPr>
              <w:t>#</w:t>
            </w:r>
            <w:r w:rsidRPr="005363F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6ED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336ED3">
              <w:rPr>
                <w:rFonts w:ascii="Book Antiqua" w:eastAsia="Times New Roman" w:hAnsi="Book Antiqua" w:cs="Times New Roman"/>
                <w:b/>
                <w:bCs/>
                <w:i/>
                <w:iCs/>
                <w:color w:val="FF0000"/>
                <w:sz w:val="19"/>
                <w:szCs w:val="19"/>
                <w:highlight w:val="green"/>
                <w:lang w:eastAsia="pt-BR"/>
              </w:rPr>
              <w:t>TJGO-2023</w:t>
            </w:r>
            <w:r>
              <w:rPr>
                <w:rFonts w:ascii="Book Antiqua" w:eastAsia="Times New Roman" w:hAnsi="Book Antiqua" w:cs="Times New Roman"/>
                <w:b/>
                <w:bCs/>
                <w:i/>
                <w:iCs/>
                <w:color w:val="FF0000"/>
                <w:sz w:val="19"/>
                <w:szCs w:val="19"/>
                <w:lang w:eastAsia="pt-BR"/>
              </w:rPr>
              <w:t>: #</w:t>
            </w:r>
            <w:r w:rsidRPr="00336ED3">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336ED3">
              <w:rPr>
                <w:rFonts w:ascii="Book Antiqua" w:eastAsia="Times New Roman" w:hAnsi="Book Antiqua" w:cs="Times New Roman"/>
                <w:b/>
                <w:bCs/>
                <w:i/>
                <w:iCs/>
                <w:color w:val="000000"/>
                <w:sz w:val="19"/>
                <w:szCs w:val="19"/>
                <w:u w:val="single"/>
                <w:lang w:eastAsia="pt-BR"/>
              </w:rPr>
              <w:t>Não há qualquer obstáculo ao recebimento acumulado de dois benefícios de pensão por morte se eles decorrerem de cargos acumuláveis, expressamente previstos no art. 37, XVI, da CF/88</w:t>
            </w:r>
            <w:r w:rsidRPr="00336ED3">
              <w:rPr>
                <w:rFonts w:ascii="Book Antiqua" w:eastAsia="Times New Roman" w:hAnsi="Book Antiqua" w:cs="Times New Roman"/>
                <w:b/>
                <w:bCs/>
                <w:color w:val="000000"/>
                <w:sz w:val="19"/>
                <w:szCs w:val="19"/>
                <w:lang w:eastAsia="pt-BR"/>
              </w:rPr>
              <w:t>:</w:t>
            </w:r>
            <w:r>
              <w:t xml:space="preserve"> </w:t>
            </w:r>
            <w:r w:rsidRPr="00336ED3">
              <w:rPr>
                <w:rFonts w:ascii="Book Antiqua" w:eastAsia="Times New Roman" w:hAnsi="Book Antiqua" w:cs="Times New Roman"/>
                <w:b/>
                <w:bCs/>
                <w:color w:val="000000"/>
                <w:sz w:val="19"/>
                <w:szCs w:val="19"/>
                <w:lang w:eastAsia="pt-BR"/>
              </w:rPr>
              <w:t xml:space="preserve">Em se tratando de cargos constitucionalmente acumuláveis, descabe aplicar a vedação de acumulação de aposentadorias e pensões contida na parte final do art. 11 da Emenda Constitucional 20/98, porquanto destinada apenas aos casos de que trata, ou seja, aos reingressos no serviço público por meio de concurso público antes da publicação da referida emenda e que envolvam cargos </w:t>
            </w:r>
            <w:proofErr w:type="spellStart"/>
            <w:r w:rsidRPr="00336ED3">
              <w:rPr>
                <w:rFonts w:ascii="Book Antiqua" w:eastAsia="Times New Roman" w:hAnsi="Book Antiqua" w:cs="Times New Roman"/>
                <w:b/>
                <w:bCs/>
                <w:color w:val="000000"/>
                <w:sz w:val="19"/>
                <w:szCs w:val="19"/>
                <w:lang w:eastAsia="pt-BR"/>
              </w:rPr>
              <w:t>inacumuláveis</w:t>
            </w:r>
            <w:proofErr w:type="spellEnd"/>
            <w:r w:rsidRPr="00336ED3">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336ED3">
              <w:rPr>
                <w:rFonts w:ascii="Book Antiqua" w:eastAsia="Times New Roman" w:hAnsi="Book Antiqua" w:cs="Times New Roman"/>
                <w:color w:val="000000"/>
                <w:sz w:val="19"/>
                <w:szCs w:val="19"/>
                <w:lang w:eastAsia="pt-BR"/>
              </w:rPr>
              <w:t>STF. Plenário. RE 658999/SC, Rel. Min. Dias Toffoli, j</w:t>
            </w:r>
            <w:r>
              <w:rPr>
                <w:rFonts w:ascii="Book Antiqua" w:eastAsia="Times New Roman" w:hAnsi="Book Antiqua" w:cs="Times New Roman"/>
                <w:color w:val="000000"/>
                <w:sz w:val="19"/>
                <w:szCs w:val="19"/>
                <w:lang w:eastAsia="pt-BR"/>
              </w:rPr>
              <w:t>.</w:t>
            </w:r>
            <w:r w:rsidRPr="00336ED3">
              <w:rPr>
                <w:rFonts w:ascii="Book Antiqua" w:eastAsia="Times New Roman" w:hAnsi="Book Antiqua" w:cs="Times New Roman"/>
                <w:color w:val="000000"/>
                <w:sz w:val="19"/>
                <w:szCs w:val="19"/>
                <w:lang w:eastAsia="pt-BR"/>
              </w:rPr>
              <w:t xml:space="preserve"> 16/12/22</w:t>
            </w:r>
            <w:r w:rsidRPr="00336ED3">
              <w:rPr>
                <w:rFonts w:ascii="Book Antiqua" w:eastAsia="Times New Roman" w:hAnsi="Book Antiqua" w:cs="Times New Roman"/>
                <w:b/>
                <w:bCs/>
                <w:color w:val="000000"/>
                <w:sz w:val="19"/>
                <w:szCs w:val="19"/>
                <w:lang w:eastAsia="pt-BR"/>
              </w:rPr>
              <w:t xml:space="preserve"> (Repercussão Geral – Tema 627) (Info 1080).</w:t>
            </w:r>
          </w:p>
        </w:tc>
      </w:tr>
    </w:tbl>
    <w:p w14:paraId="7E05CF2B"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lastRenderedPageBreak/>
        <w:t>        </w:t>
      </w:r>
      <w:bookmarkStart w:id="13" w:name="art12"/>
      <w:bookmarkEnd w:id="13"/>
      <w:r w:rsidRPr="005363F7">
        <w:rPr>
          <w:rFonts w:ascii="Book Antiqua" w:eastAsia="Times New Roman" w:hAnsi="Book Antiqua" w:cs="Arial"/>
          <w:color w:val="000000"/>
          <w:sz w:val="19"/>
          <w:szCs w:val="19"/>
          <w:lang w:eastAsia="pt-BR"/>
        </w:rPr>
        <w:t>Art. 12 - Até que produzam efeitos as leis que irão dispor sobre as contribuições de que trata o </w:t>
      </w:r>
      <w:hyperlink r:id="rId36" w:anchor="art195" w:history="1">
        <w:r w:rsidRPr="005363F7">
          <w:rPr>
            <w:rFonts w:ascii="Book Antiqua" w:eastAsia="Times New Roman" w:hAnsi="Book Antiqua" w:cs="Arial"/>
            <w:color w:val="0000FF"/>
            <w:sz w:val="19"/>
            <w:szCs w:val="19"/>
            <w:u w:val="single"/>
            <w:lang w:eastAsia="pt-BR"/>
          </w:rPr>
          <w:t>art. 195 da Constituição Federal,</w:t>
        </w:r>
      </w:hyperlink>
      <w:r w:rsidRPr="005363F7">
        <w:rPr>
          <w:rFonts w:ascii="Book Antiqua" w:eastAsia="Times New Roman" w:hAnsi="Book Antiqua" w:cs="Arial"/>
          <w:color w:val="000000"/>
          <w:sz w:val="19"/>
          <w:szCs w:val="19"/>
          <w:lang w:eastAsia="pt-BR"/>
        </w:rPr>
        <w:t> são exigíveis as estabelecidas em lei, destinadas ao custeio da seguridade social e dos diversos regimes previdenciários.</w:t>
      </w:r>
    </w:p>
    <w:p w14:paraId="3FE9AC04" w14:textId="5167FA6E"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14" w:name="art13"/>
      <w:bookmarkEnd w:id="14"/>
      <w:r w:rsidRPr="005363F7">
        <w:rPr>
          <w:rFonts w:ascii="Book Antiqua" w:eastAsia="Times New Roman" w:hAnsi="Book Antiqua" w:cs="Arial"/>
          <w:color w:val="000000"/>
          <w:sz w:val="19"/>
          <w:szCs w:val="19"/>
          <w:lang w:eastAsia="pt-BR"/>
        </w:rPr>
        <w:t> </w:t>
      </w:r>
      <w:bookmarkStart w:id="15" w:name="*13"/>
      <w:bookmarkEnd w:id="15"/>
      <w:r w:rsidRPr="005363F7">
        <w:rPr>
          <w:rFonts w:ascii="Book Antiqua" w:eastAsia="Times New Roman" w:hAnsi="Book Antiqua" w:cs="Arial"/>
          <w:color w:val="000000"/>
          <w:sz w:val="19"/>
          <w:szCs w:val="19"/>
          <w:lang w:eastAsia="pt-BR"/>
        </w:rPr>
        <w:t>Art. 13 -  </w:t>
      </w:r>
      <w:hyperlink r:id="rId37" w:anchor="art35" w:history="1">
        <w:r w:rsidRPr="005363F7">
          <w:rPr>
            <w:rFonts w:ascii="Book Antiqua" w:eastAsia="Times New Roman" w:hAnsi="Book Antiqua" w:cs="Arial"/>
            <w:color w:val="0000FF"/>
            <w:sz w:val="19"/>
            <w:szCs w:val="19"/>
            <w:u w:val="single"/>
            <w:lang w:eastAsia="pt-BR"/>
          </w:rPr>
          <w:t>(Revogado pela Emenda Constitucional nº 103, de 2019)</w:t>
        </w:r>
      </w:hyperlink>
    </w:p>
    <w:p w14:paraId="0278F7FD"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16" w:name="art14"/>
      <w:bookmarkEnd w:id="16"/>
      <w:r w:rsidRPr="005363F7">
        <w:rPr>
          <w:rFonts w:ascii="Book Antiqua" w:eastAsia="Times New Roman" w:hAnsi="Book Antiqua" w:cs="Arial"/>
          <w:color w:val="000000"/>
          <w:sz w:val="19"/>
          <w:szCs w:val="19"/>
          <w:lang w:eastAsia="pt-BR"/>
        </w:rPr>
        <w:t>Art. 14 - O limite máximo para o valor dos benefícios do regime geral de previdência social de que trata o </w:t>
      </w:r>
      <w:hyperlink r:id="rId38" w:anchor="art201" w:history="1">
        <w:r w:rsidRPr="005363F7">
          <w:rPr>
            <w:rFonts w:ascii="Book Antiqua" w:eastAsia="Times New Roman" w:hAnsi="Book Antiqua" w:cs="Arial"/>
            <w:color w:val="0000FF"/>
            <w:sz w:val="19"/>
            <w:szCs w:val="19"/>
            <w:u w:val="single"/>
            <w:lang w:eastAsia="pt-BR"/>
          </w:rPr>
          <w:t>art. 201 da Constituição Federal </w:t>
        </w:r>
      </w:hyperlink>
      <w:r w:rsidRPr="005363F7">
        <w:rPr>
          <w:rFonts w:ascii="Book Antiqua" w:eastAsia="Times New Roman" w:hAnsi="Book Antiqua" w:cs="Arial"/>
          <w:color w:val="000000"/>
          <w:sz w:val="19"/>
          <w:szCs w:val="19"/>
          <w:lang w:eastAsia="pt-BR"/>
        </w:rPr>
        <w:t>é fixado em R$ 1.200,00 (um mil e duzentos reais), devendo, a partir da data da publicação desta Emenda, ser reajustado de forma a preservar, em caráter permanente, seu valor real, atualizado pelos mesmos índices aplicados aos benefícios do regime geral de previdência social.</w:t>
      </w:r>
    </w:p>
    <w:p w14:paraId="75CE52EA" w14:textId="1CFF2BD9"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17" w:name="art15"/>
      <w:bookmarkEnd w:id="17"/>
      <w:r w:rsidRPr="005363F7">
        <w:rPr>
          <w:rFonts w:ascii="Book Antiqua" w:eastAsia="Times New Roman" w:hAnsi="Book Antiqua" w:cs="Arial"/>
          <w:color w:val="000000"/>
          <w:sz w:val="19"/>
          <w:szCs w:val="19"/>
          <w:lang w:eastAsia="pt-BR"/>
        </w:rPr>
        <w:t>Art. 15 -  </w:t>
      </w:r>
      <w:hyperlink r:id="rId39" w:anchor="art35" w:history="1">
        <w:r w:rsidRPr="005363F7">
          <w:rPr>
            <w:rFonts w:ascii="Book Antiqua" w:eastAsia="Times New Roman" w:hAnsi="Book Antiqua" w:cs="Arial"/>
            <w:color w:val="0000FF"/>
            <w:sz w:val="19"/>
            <w:szCs w:val="19"/>
            <w:u w:val="single"/>
            <w:lang w:eastAsia="pt-BR"/>
          </w:rPr>
          <w:t>(Revogado pela Emenda Constitucional nº 103, de 2019)</w:t>
        </w:r>
      </w:hyperlink>
    </w:p>
    <w:p w14:paraId="074FC915"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18" w:name="art16"/>
      <w:bookmarkEnd w:id="18"/>
      <w:r w:rsidRPr="005363F7">
        <w:rPr>
          <w:rFonts w:ascii="Book Antiqua" w:eastAsia="Times New Roman" w:hAnsi="Book Antiqua" w:cs="Arial"/>
          <w:color w:val="000000"/>
          <w:sz w:val="19"/>
          <w:szCs w:val="19"/>
          <w:lang w:eastAsia="pt-BR"/>
        </w:rPr>
        <w:t>Art. 16 - Esta Emenda Constitucional entra em vigor na data de sua publicação.</w:t>
      </w:r>
    </w:p>
    <w:p w14:paraId="1AE1EE97"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w:t>
      </w:r>
      <w:bookmarkStart w:id="19" w:name="art17"/>
      <w:bookmarkEnd w:id="19"/>
      <w:r w:rsidRPr="005363F7">
        <w:rPr>
          <w:rFonts w:ascii="Book Antiqua" w:eastAsia="Times New Roman" w:hAnsi="Book Antiqua" w:cs="Arial"/>
          <w:color w:val="000000"/>
          <w:sz w:val="19"/>
          <w:szCs w:val="19"/>
          <w:lang w:eastAsia="pt-BR"/>
        </w:rPr>
        <w:t>Art. 17 - Revoga-se o </w:t>
      </w:r>
      <w:hyperlink r:id="rId40" w:anchor="art153%C2%A72ii" w:history="1">
        <w:r w:rsidRPr="005363F7">
          <w:rPr>
            <w:rFonts w:ascii="Book Antiqua" w:eastAsia="Times New Roman" w:hAnsi="Book Antiqua" w:cs="Arial"/>
            <w:color w:val="0000FF"/>
            <w:sz w:val="19"/>
            <w:szCs w:val="19"/>
            <w:u w:val="single"/>
            <w:lang w:eastAsia="pt-BR"/>
          </w:rPr>
          <w:t xml:space="preserve">inciso II </w:t>
        </w:r>
        <w:proofErr w:type="gramStart"/>
        <w:r w:rsidRPr="005363F7">
          <w:rPr>
            <w:rFonts w:ascii="Book Antiqua" w:eastAsia="Times New Roman" w:hAnsi="Book Antiqua" w:cs="Arial"/>
            <w:color w:val="0000FF"/>
            <w:sz w:val="19"/>
            <w:szCs w:val="19"/>
            <w:u w:val="single"/>
            <w:lang w:eastAsia="pt-BR"/>
          </w:rPr>
          <w:t>do  §</w:t>
        </w:r>
        <w:proofErr w:type="gramEnd"/>
        <w:r w:rsidRPr="005363F7">
          <w:rPr>
            <w:rFonts w:ascii="Book Antiqua" w:eastAsia="Times New Roman" w:hAnsi="Book Antiqua" w:cs="Arial"/>
            <w:color w:val="0000FF"/>
            <w:sz w:val="19"/>
            <w:szCs w:val="19"/>
            <w:u w:val="single"/>
            <w:lang w:eastAsia="pt-BR"/>
          </w:rPr>
          <w:t xml:space="preserve"> 2º do art. 153 da Constituição Federal.</w:t>
        </w:r>
      </w:hyperlink>
    </w:p>
    <w:p w14:paraId="688AE707" w14:textId="77777777" w:rsidR="005363F7" w:rsidRPr="005363F7" w:rsidRDefault="005363F7" w:rsidP="005363F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000000"/>
          <w:sz w:val="19"/>
          <w:szCs w:val="19"/>
          <w:lang w:eastAsia="pt-BR"/>
        </w:rPr>
        <w:t>        Brasília, 15 de dezembro de 1998</w:t>
      </w:r>
    </w:p>
    <w:tbl>
      <w:tblPr>
        <w:tblW w:w="11250" w:type="dxa"/>
        <w:jc w:val="center"/>
        <w:tblCellSpacing w:w="0" w:type="dxa"/>
        <w:tblCellMar>
          <w:top w:w="150" w:type="dxa"/>
          <w:left w:w="0" w:type="dxa"/>
          <w:right w:w="0" w:type="dxa"/>
        </w:tblCellMar>
        <w:tblLook w:val="04A0" w:firstRow="1" w:lastRow="0" w:firstColumn="1" w:lastColumn="0" w:noHBand="0" w:noVBand="1"/>
      </w:tblPr>
      <w:tblGrid>
        <w:gridCol w:w="5146"/>
        <w:gridCol w:w="6104"/>
      </w:tblGrid>
      <w:tr w:rsidR="005363F7" w:rsidRPr="005363F7" w14:paraId="7E3094EB" w14:textId="77777777" w:rsidTr="005363F7">
        <w:trPr>
          <w:tblCellSpacing w:w="0" w:type="dxa"/>
          <w:jc w:val="center"/>
        </w:trPr>
        <w:tc>
          <w:tcPr>
            <w:tcW w:w="0" w:type="auto"/>
            <w:vAlign w:val="center"/>
            <w:hideMark/>
          </w:tcPr>
          <w:p w14:paraId="33CDDF05"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b/>
                <w:bCs/>
                <w:sz w:val="19"/>
                <w:szCs w:val="19"/>
                <w:lang w:eastAsia="pt-BR"/>
              </w:rPr>
              <w:t>Mesa da Câmara dos Deputados:</w:t>
            </w:r>
          </w:p>
        </w:tc>
        <w:tc>
          <w:tcPr>
            <w:tcW w:w="0" w:type="auto"/>
            <w:vAlign w:val="center"/>
            <w:hideMark/>
          </w:tcPr>
          <w:p w14:paraId="7BF196BC"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b/>
                <w:bCs/>
                <w:sz w:val="19"/>
                <w:szCs w:val="19"/>
                <w:lang w:eastAsia="pt-BR"/>
              </w:rPr>
              <w:t>Mesa do Senado Federal:</w:t>
            </w:r>
          </w:p>
        </w:tc>
      </w:tr>
      <w:tr w:rsidR="005363F7" w:rsidRPr="005363F7" w14:paraId="12439F78" w14:textId="77777777" w:rsidTr="005363F7">
        <w:trPr>
          <w:tblCellSpacing w:w="0" w:type="dxa"/>
          <w:jc w:val="center"/>
        </w:trPr>
        <w:tc>
          <w:tcPr>
            <w:tcW w:w="0" w:type="auto"/>
            <w:vAlign w:val="center"/>
            <w:hideMark/>
          </w:tcPr>
          <w:p w14:paraId="28CDE77F"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Deputado MICHEL TEMER</w:t>
            </w:r>
            <w:r w:rsidRPr="005363F7">
              <w:rPr>
                <w:rFonts w:ascii="Book Antiqua" w:eastAsia="Times New Roman" w:hAnsi="Book Antiqua" w:cs="Arial"/>
                <w:sz w:val="19"/>
                <w:szCs w:val="19"/>
                <w:lang w:eastAsia="pt-BR"/>
              </w:rPr>
              <w:br/>
              <w:t>Presidente</w:t>
            </w:r>
          </w:p>
        </w:tc>
        <w:tc>
          <w:tcPr>
            <w:tcW w:w="0" w:type="auto"/>
            <w:vAlign w:val="center"/>
            <w:hideMark/>
          </w:tcPr>
          <w:p w14:paraId="7E36AACE"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Senador ANTONIO CARLOS MAGALHÃES</w:t>
            </w:r>
            <w:r w:rsidRPr="005363F7">
              <w:rPr>
                <w:rFonts w:ascii="Book Antiqua" w:eastAsia="Times New Roman" w:hAnsi="Book Antiqua" w:cs="Arial"/>
                <w:sz w:val="19"/>
                <w:szCs w:val="19"/>
                <w:lang w:eastAsia="pt-BR"/>
              </w:rPr>
              <w:br/>
              <w:t>Presidente</w:t>
            </w:r>
          </w:p>
        </w:tc>
      </w:tr>
      <w:tr w:rsidR="005363F7" w:rsidRPr="005363F7" w14:paraId="51D77051" w14:textId="77777777" w:rsidTr="005363F7">
        <w:trPr>
          <w:tblCellSpacing w:w="0" w:type="dxa"/>
          <w:jc w:val="center"/>
        </w:trPr>
        <w:tc>
          <w:tcPr>
            <w:tcW w:w="0" w:type="auto"/>
            <w:vAlign w:val="center"/>
            <w:hideMark/>
          </w:tcPr>
          <w:p w14:paraId="4749712C"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Deputado HERÁCLITO FORTES</w:t>
            </w:r>
            <w:r w:rsidRPr="005363F7">
              <w:rPr>
                <w:rFonts w:ascii="Book Antiqua" w:eastAsia="Times New Roman" w:hAnsi="Book Antiqua" w:cs="Arial"/>
                <w:sz w:val="19"/>
                <w:szCs w:val="19"/>
                <w:lang w:eastAsia="pt-BR"/>
              </w:rPr>
              <w:br/>
              <w:t>1</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Vice-Presidente</w:t>
            </w:r>
          </w:p>
        </w:tc>
        <w:tc>
          <w:tcPr>
            <w:tcW w:w="0" w:type="auto"/>
            <w:vAlign w:val="center"/>
            <w:hideMark/>
          </w:tcPr>
          <w:p w14:paraId="67876FC3"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Senador GERALDO MELO</w:t>
            </w:r>
            <w:r w:rsidRPr="005363F7">
              <w:rPr>
                <w:rFonts w:ascii="Book Antiqua" w:eastAsia="Times New Roman" w:hAnsi="Book Antiqua" w:cs="Arial"/>
                <w:sz w:val="19"/>
                <w:szCs w:val="19"/>
                <w:lang w:eastAsia="pt-BR"/>
              </w:rPr>
              <w:br/>
              <w:t>1</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Vice-Presidente</w:t>
            </w:r>
          </w:p>
        </w:tc>
      </w:tr>
      <w:tr w:rsidR="005363F7" w:rsidRPr="005363F7" w14:paraId="0190A4CC" w14:textId="77777777" w:rsidTr="005363F7">
        <w:trPr>
          <w:tblCellSpacing w:w="0" w:type="dxa"/>
          <w:jc w:val="center"/>
        </w:trPr>
        <w:tc>
          <w:tcPr>
            <w:tcW w:w="0" w:type="auto"/>
            <w:vAlign w:val="center"/>
            <w:hideMark/>
          </w:tcPr>
          <w:p w14:paraId="50FCC385"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Deputado SEVERINO CAVALCANTI</w:t>
            </w:r>
            <w:r w:rsidRPr="005363F7">
              <w:rPr>
                <w:rFonts w:ascii="Book Antiqua" w:eastAsia="Times New Roman" w:hAnsi="Book Antiqua" w:cs="Arial"/>
                <w:sz w:val="19"/>
                <w:szCs w:val="19"/>
                <w:lang w:eastAsia="pt-BR"/>
              </w:rPr>
              <w:br/>
              <w:t>2</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Vice-Presidente</w:t>
            </w:r>
          </w:p>
        </w:tc>
        <w:tc>
          <w:tcPr>
            <w:tcW w:w="0" w:type="auto"/>
            <w:vAlign w:val="center"/>
            <w:hideMark/>
          </w:tcPr>
          <w:p w14:paraId="0BE594F8"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Senadora JÚNIA MARISE</w:t>
            </w:r>
            <w:r w:rsidRPr="005363F7">
              <w:rPr>
                <w:rFonts w:ascii="Book Antiqua" w:eastAsia="Times New Roman" w:hAnsi="Book Antiqua" w:cs="Arial"/>
                <w:sz w:val="19"/>
                <w:szCs w:val="19"/>
                <w:lang w:eastAsia="pt-BR"/>
              </w:rPr>
              <w:br/>
              <w:t>2º Vice-Presidente</w:t>
            </w:r>
          </w:p>
        </w:tc>
      </w:tr>
      <w:tr w:rsidR="005363F7" w:rsidRPr="005363F7" w14:paraId="6D61F7AB" w14:textId="77777777" w:rsidTr="005363F7">
        <w:trPr>
          <w:tblCellSpacing w:w="0" w:type="dxa"/>
          <w:jc w:val="center"/>
        </w:trPr>
        <w:tc>
          <w:tcPr>
            <w:tcW w:w="0" w:type="auto"/>
            <w:vAlign w:val="center"/>
            <w:hideMark/>
          </w:tcPr>
          <w:p w14:paraId="250ECA27"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Deputado UBIRATAN AGUIAR</w:t>
            </w:r>
            <w:r w:rsidRPr="005363F7">
              <w:rPr>
                <w:rFonts w:ascii="Book Antiqua" w:eastAsia="Times New Roman" w:hAnsi="Book Antiqua" w:cs="Arial"/>
                <w:sz w:val="19"/>
                <w:szCs w:val="19"/>
                <w:lang w:eastAsia="pt-BR"/>
              </w:rPr>
              <w:br/>
              <w:t>1</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Secretário</w:t>
            </w:r>
          </w:p>
        </w:tc>
        <w:tc>
          <w:tcPr>
            <w:tcW w:w="0" w:type="auto"/>
            <w:vAlign w:val="center"/>
            <w:hideMark/>
          </w:tcPr>
          <w:p w14:paraId="436DFBCE"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Senador RONALDO CUNHA LIMA</w:t>
            </w:r>
            <w:r w:rsidRPr="005363F7">
              <w:rPr>
                <w:rFonts w:ascii="Book Antiqua" w:eastAsia="Times New Roman" w:hAnsi="Book Antiqua" w:cs="Arial"/>
                <w:sz w:val="19"/>
                <w:szCs w:val="19"/>
                <w:lang w:eastAsia="pt-BR"/>
              </w:rPr>
              <w:br/>
              <w:t>1</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Secretário</w:t>
            </w:r>
          </w:p>
        </w:tc>
      </w:tr>
      <w:tr w:rsidR="005363F7" w:rsidRPr="005363F7" w14:paraId="3CFAC1F5" w14:textId="77777777" w:rsidTr="005363F7">
        <w:trPr>
          <w:tblCellSpacing w:w="0" w:type="dxa"/>
          <w:jc w:val="center"/>
        </w:trPr>
        <w:tc>
          <w:tcPr>
            <w:tcW w:w="0" w:type="auto"/>
            <w:vAlign w:val="center"/>
            <w:hideMark/>
          </w:tcPr>
          <w:p w14:paraId="62675DF2"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Deputado NELSON TRAD</w:t>
            </w:r>
            <w:r w:rsidRPr="005363F7">
              <w:rPr>
                <w:rFonts w:ascii="Book Antiqua" w:eastAsia="Times New Roman" w:hAnsi="Book Antiqua" w:cs="Arial"/>
                <w:sz w:val="19"/>
                <w:szCs w:val="19"/>
                <w:lang w:eastAsia="pt-BR"/>
              </w:rPr>
              <w:br/>
              <w:t>2</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Secretário</w:t>
            </w:r>
          </w:p>
        </w:tc>
        <w:tc>
          <w:tcPr>
            <w:tcW w:w="0" w:type="auto"/>
            <w:vAlign w:val="center"/>
            <w:hideMark/>
          </w:tcPr>
          <w:p w14:paraId="328BEC73"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Senador CARLOS PATROCÍNIO</w:t>
            </w:r>
            <w:r w:rsidRPr="005363F7">
              <w:rPr>
                <w:rFonts w:ascii="Book Antiqua" w:eastAsia="Times New Roman" w:hAnsi="Book Antiqua" w:cs="Arial"/>
                <w:sz w:val="19"/>
                <w:szCs w:val="19"/>
                <w:lang w:eastAsia="pt-BR"/>
              </w:rPr>
              <w:br/>
              <w:t>2</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Secretário</w:t>
            </w:r>
          </w:p>
        </w:tc>
      </w:tr>
      <w:tr w:rsidR="005363F7" w:rsidRPr="005363F7" w14:paraId="76C3494E" w14:textId="77777777" w:rsidTr="005363F7">
        <w:trPr>
          <w:tblCellSpacing w:w="0" w:type="dxa"/>
          <w:jc w:val="center"/>
        </w:trPr>
        <w:tc>
          <w:tcPr>
            <w:tcW w:w="0" w:type="auto"/>
            <w:vAlign w:val="center"/>
            <w:hideMark/>
          </w:tcPr>
          <w:p w14:paraId="7AEFA719"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Deputado PAULO PAIM</w:t>
            </w:r>
            <w:r w:rsidRPr="005363F7">
              <w:rPr>
                <w:rFonts w:ascii="Book Antiqua" w:eastAsia="Times New Roman" w:hAnsi="Book Antiqua" w:cs="Arial"/>
                <w:sz w:val="19"/>
                <w:szCs w:val="19"/>
                <w:lang w:eastAsia="pt-BR"/>
              </w:rPr>
              <w:br/>
              <w:t>3º Secretário</w:t>
            </w:r>
          </w:p>
        </w:tc>
        <w:tc>
          <w:tcPr>
            <w:tcW w:w="0" w:type="auto"/>
            <w:vAlign w:val="center"/>
            <w:hideMark/>
          </w:tcPr>
          <w:p w14:paraId="56EA54C7"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Senador FLÁVIANO MELO</w:t>
            </w:r>
            <w:r w:rsidRPr="005363F7">
              <w:rPr>
                <w:rFonts w:ascii="Book Antiqua" w:eastAsia="Times New Roman" w:hAnsi="Book Antiqua" w:cs="Arial"/>
                <w:sz w:val="19"/>
                <w:szCs w:val="19"/>
                <w:lang w:eastAsia="pt-BR"/>
              </w:rPr>
              <w:br/>
              <w:t>3</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Secretário</w:t>
            </w:r>
          </w:p>
        </w:tc>
      </w:tr>
      <w:tr w:rsidR="005363F7" w:rsidRPr="005363F7" w14:paraId="3DCCC023" w14:textId="77777777" w:rsidTr="005363F7">
        <w:trPr>
          <w:tblCellSpacing w:w="0" w:type="dxa"/>
          <w:jc w:val="center"/>
        </w:trPr>
        <w:tc>
          <w:tcPr>
            <w:tcW w:w="0" w:type="auto"/>
            <w:vAlign w:val="center"/>
            <w:hideMark/>
          </w:tcPr>
          <w:p w14:paraId="3CE02E92"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Deputado EFRAIM MORAIS</w:t>
            </w:r>
            <w:r w:rsidRPr="005363F7">
              <w:rPr>
                <w:rFonts w:ascii="Book Antiqua" w:eastAsia="Times New Roman" w:hAnsi="Book Antiqua" w:cs="Arial"/>
                <w:sz w:val="19"/>
                <w:szCs w:val="19"/>
                <w:lang w:eastAsia="pt-BR"/>
              </w:rPr>
              <w:br/>
              <w:t>4</w:t>
            </w:r>
            <w:r w:rsidRPr="005363F7">
              <w:rPr>
                <w:rFonts w:ascii="Book Antiqua" w:eastAsia="Times New Roman" w:hAnsi="Book Antiqua" w:cs="Arial"/>
                <w:sz w:val="19"/>
                <w:szCs w:val="19"/>
                <w:u w:val="single"/>
                <w:vertAlign w:val="superscript"/>
                <w:lang w:eastAsia="pt-BR"/>
              </w:rPr>
              <w:t>o</w:t>
            </w:r>
            <w:r w:rsidRPr="005363F7">
              <w:rPr>
                <w:rFonts w:ascii="Book Antiqua" w:eastAsia="Times New Roman" w:hAnsi="Book Antiqua" w:cs="Arial"/>
                <w:sz w:val="19"/>
                <w:szCs w:val="19"/>
                <w:lang w:eastAsia="pt-BR"/>
              </w:rPr>
              <w:t> Secretário</w:t>
            </w:r>
          </w:p>
        </w:tc>
        <w:tc>
          <w:tcPr>
            <w:tcW w:w="0" w:type="auto"/>
            <w:vAlign w:val="center"/>
            <w:hideMark/>
          </w:tcPr>
          <w:p w14:paraId="7F676CFA" w14:textId="77777777" w:rsidR="005363F7" w:rsidRPr="005363F7" w:rsidRDefault="005363F7" w:rsidP="005363F7">
            <w:pPr>
              <w:spacing w:before="150" w:after="150" w:line="240" w:lineRule="auto"/>
              <w:jc w:val="center"/>
              <w:rPr>
                <w:rFonts w:ascii="Book Antiqua" w:eastAsia="Times New Roman" w:hAnsi="Book Antiqua" w:cs="Times New Roman"/>
                <w:sz w:val="19"/>
                <w:szCs w:val="19"/>
                <w:lang w:eastAsia="pt-BR"/>
              </w:rPr>
            </w:pPr>
            <w:r w:rsidRPr="005363F7">
              <w:rPr>
                <w:rFonts w:ascii="Book Antiqua" w:eastAsia="Times New Roman" w:hAnsi="Book Antiqua" w:cs="Arial"/>
                <w:sz w:val="19"/>
                <w:szCs w:val="19"/>
                <w:lang w:eastAsia="pt-BR"/>
              </w:rPr>
              <w:t>Senador LUCÍDIO PORTELLA</w:t>
            </w:r>
            <w:r w:rsidRPr="005363F7">
              <w:rPr>
                <w:rFonts w:ascii="Book Antiqua" w:eastAsia="Times New Roman" w:hAnsi="Book Antiqua" w:cs="Arial"/>
                <w:sz w:val="19"/>
                <w:szCs w:val="19"/>
                <w:lang w:eastAsia="pt-BR"/>
              </w:rPr>
              <w:br/>
              <w:t>4</w:t>
            </w:r>
            <w:r w:rsidRPr="005363F7">
              <w:rPr>
                <w:rFonts w:ascii="Book Antiqua" w:eastAsia="Times New Roman" w:hAnsi="Book Antiqua" w:cs="Arial"/>
                <w:sz w:val="19"/>
                <w:szCs w:val="19"/>
                <w:vertAlign w:val="superscript"/>
                <w:lang w:eastAsia="pt-BR"/>
              </w:rPr>
              <w:t>o</w:t>
            </w:r>
            <w:r w:rsidRPr="005363F7">
              <w:rPr>
                <w:rFonts w:ascii="Book Antiqua" w:eastAsia="Times New Roman" w:hAnsi="Book Antiqua" w:cs="Arial"/>
                <w:sz w:val="19"/>
                <w:szCs w:val="19"/>
                <w:lang w:eastAsia="pt-BR"/>
              </w:rPr>
              <w:t> Secretário</w:t>
            </w:r>
          </w:p>
        </w:tc>
      </w:tr>
    </w:tbl>
    <w:p w14:paraId="72F3C85E" w14:textId="77777777" w:rsidR="005363F7" w:rsidRPr="005363F7" w:rsidRDefault="005363F7" w:rsidP="005363F7">
      <w:pPr>
        <w:spacing w:after="0" w:line="240" w:lineRule="auto"/>
        <w:jc w:val="center"/>
        <w:rPr>
          <w:rFonts w:ascii="Book Antiqua" w:eastAsia="Times New Roman" w:hAnsi="Book Antiqua" w:cs="Times New Roman"/>
          <w:vanish/>
          <w:color w:val="000000"/>
          <w:sz w:val="19"/>
          <w:szCs w:val="19"/>
          <w:lang w:eastAsia="pt-BR"/>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
      </w:tblGrid>
      <w:tr w:rsidR="005363F7" w:rsidRPr="005363F7" w14:paraId="6AB31221" w14:textId="77777777" w:rsidTr="005363F7">
        <w:trPr>
          <w:tblCellSpacing w:w="15" w:type="dxa"/>
          <w:jc w:val="center"/>
        </w:trPr>
        <w:tc>
          <w:tcPr>
            <w:tcW w:w="0" w:type="auto"/>
            <w:vAlign w:val="center"/>
            <w:hideMark/>
          </w:tcPr>
          <w:p w14:paraId="0D5AAD32" w14:textId="77777777" w:rsidR="005363F7" w:rsidRPr="005363F7" w:rsidRDefault="005363F7" w:rsidP="005363F7">
            <w:pPr>
              <w:spacing w:after="0" w:line="240" w:lineRule="auto"/>
              <w:jc w:val="center"/>
              <w:rPr>
                <w:rFonts w:ascii="Book Antiqua" w:eastAsia="Times New Roman" w:hAnsi="Book Antiqua" w:cs="Times New Roman"/>
                <w:color w:val="000000"/>
                <w:sz w:val="19"/>
                <w:szCs w:val="19"/>
                <w:lang w:eastAsia="pt-BR"/>
              </w:rPr>
            </w:pPr>
          </w:p>
        </w:tc>
      </w:tr>
    </w:tbl>
    <w:p w14:paraId="72CB7A51" w14:textId="77777777" w:rsidR="005363F7" w:rsidRPr="005363F7" w:rsidRDefault="005363F7" w:rsidP="005363F7">
      <w:pPr>
        <w:spacing w:before="100" w:beforeAutospacing="1" w:after="100" w:afterAutospacing="1" w:line="240" w:lineRule="auto"/>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FF0000"/>
          <w:sz w:val="19"/>
          <w:szCs w:val="19"/>
          <w:lang w:eastAsia="pt-BR"/>
        </w:rPr>
        <w:t xml:space="preserve">Este texto não substitui o </w:t>
      </w:r>
      <w:proofErr w:type="spellStart"/>
      <w:r w:rsidRPr="005363F7">
        <w:rPr>
          <w:rFonts w:ascii="Book Antiqua" w:eastAsia="Times New Roman" w:hAnsi="Book Antiqua" w:cs="Arial"/>
          <w:color w:val="FF0000"/>
          <w:sz w:val="19"/>
          <w:szCs w:val="19"/>
          <w:lang w:eastAsia="pt-BR"/>
        </w:rPr>
        <w:t>publiacado</w:t>
      </w:r>
      <w:proofErr w:type="spellEnd"/>
      <w:r w:rsidRPr="005363F7">
        <w:rPr>
          <w:rFonts w:ascii="Book Antiqua" w:eastAsia="Times New Roman" w:hAnsi="Book Antiqua" w:cs="Arial"/>
          <w:color w:val="FF0000"/>
          <w:sz w:val="19"/>
          <w:szCs w:val="19"/>
          <w:lang w:eastAsia="pt-BR"/>
        </w:rPr>
        <w:t xml:space="preserve"> no DOU de 16.12.1998</w:t>
      </w:r>
    </w:p>
    <w:p w14:paraId="032058B6" w14:textId="77777777" w:rsidR="005363F7" w:rsidRPr="005363F7" w:rsidRDefault="005363F7" w:rsidP="005363F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363F7">
        <w:rPr>
          <w:rFonts w:ascii="Book Antiqua" w:eastAsia="Times New Roman" w:hAnsi="Book Antiqua" w:cs="Arial"/>
          <w:color w:val="FF0000"/>
          <w:sz w:val="19"/>
          <w:szCs w:val="19"/>
          <w:lang w:eastAsia="pt-BR"/>
        </w:rPr>
        <w:t>*</w:t>
      </w:r>
    </w:p>
    <w:p w14:paraId="5835FB6F" w14:textId="77777777" w:rsidR="00FB3612" w:rsidRPr="005363F7" w:rsidRDefault="00FB3612">
      <w:pPr>
        <w:rPr>
          <w:rFonts w:ascii="Book Antiqua" w:hAnsi="Book Antiqua"/>
          <w:sz w:val="19"/>
          <w:szCs w:val="19"/>
        </w:rPr>
      </w:pPr>
    </w:p>
    <w:sectPr w:rsidR="00FB3612" w:rsidRPr="005363F7" w:rsidSect="005363F7">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2CA1B4" w14:textId="77777777" w:rsidR="009059D8" w:rsidRDefault="009059D8" w:rsidP="005363F7">
      <w:pPr>
        <w:spacing w:after="0" w:line="240" w:lineRule="auto"/>
      </w:pPr>
      <w:r>
        <w:separator/>
      </w:r>
    </w:p>
  </w:endnote>
  <w:endnote w:type="continuationSeparator" w:id="0">
    <w:p w14:paraId="31246458" w14:textId="77777777" w:rsidR="009059D8" w:rsidRDefault="009059D8" w:rsidP="00536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758244" w14:textId="77777777" w:rsidR="009059D8" w:rsidRDefault="009059D8" w:rsidP="005363F7">
      <w:pPr>
        <w:spacing w:after="0" w:line="240" w:lineRule="auto"/>
      </w:pPr>
      <w:r>
        <w:separator/>
      </w:r>
    </w:p>
  </w:footnote>
  <w:footnote w:type="continuationSeparator" w:id="0">
    <w:p w14:paraId="06BE6DC6" w14:textId="77777777" w:rsidR="009059D8" w:rsidRDefault="009059D8" w:rsidP="005363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12"/>
    <w:rsid w:val="001B7C13"/>
    <w:rsid w:val="00336ED3"/>
    <w:rsid w:val="005363F7"/>
    <w:rsid w:val="0067446E"/>
    <w:rsid w:val="009059D8"/>
    <w:rsid w:val="00CD5B60"/>
    <w:rsid w:val="00E768E8"/>
    <w:rsid w:val="00FB36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8C57"/>
  <w15:chartTrackingRefBased/>
  <w15:docId w15:val="{D0AB23AF-F605-4F7B-BB8C-836C5DD2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36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5363F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363F7"/>
    <w:rPr>
      <w:sz w:val="20"/>
      <w:szCs w:val="20"/>
    </w:rPr>
  </w:style>
  <w:style w:type="character" w:styleId="Refdenotaderodap">
    <w:name w:val="footnote reference"/>
    <w:basedOn w:val="Fontepargpadro"/>
    <w:uiPriority w:val="99"/>
    <w:semiHidden/>
    <w:unhideWhenUsed/>
    <w:rsid w:val="005363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069595">
      <w:bodyDiv w:val="1"/>
      <w:marLeft w:val="0"/>
      <w:marRight w:val="0"/>
      <w:marTop w:val="0"/>
      <w:marBottom w:val="0"/>
      <w:divBdr>
        <w:top w:val="none" w:sz="0" w:space="0" w:color="auto"/>
        <w:left w:val="none" w:sz="0" w:space="0" w:color="auto"/>
        <w:bottom w:val="none" w:sz="0" w:space="0" w:color="auto"/>
        <w:right w:val="none" w:sz="0" w:space="0" w:color="auto"/>
      </w:divBdr>
      <w:divsChild>
        <w:div w:id="18347590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9626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1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502591">
              <w:blockQuote w:val="1"/>
              <w:marLeft w:val="720"/>
              <w:marRight w:val="720"/>
              <w:marTop w:val="100"/>
              <w:marBottom w:val="100"/>
              <w:divBdr>
                <w:top w:val="none" w:sz="0" w:space="0" w:color="auto"/>
                <w:left w:val="none" w:sz="0" w:space="0" w:color="auto"/>
                <w:bottom w:val="none" w:sz="0" w:space="0" w:color="auto"/>
                <w:right w:val="none" w:sz="0" w:space="0" w:color="auto"/>
              </w:divBdr>
            </w:div>
            <w:div w:id="849566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86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363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23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23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64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2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73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623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59559">
              <w:blockQuote w:val="1"/>
              <w:marLeft w:val="720"/>
              <w:marRight w:val="720"/>
              <w:marTop w:val="100"/>
              <w:marBottom w:val="100"/>
              <w:divBdr>
                <w:top w:val="none" w:sz="0" w:space="0" w:color="auto"/>
                <w:left w:val="none" w:sz="0" w:space="0" w:color="auto"/>
                <w:bottom w:val="none" w:sz="0" w:space="0" w:color="auto"/>
                <w:right w:val="none" w:sz="0" w:space="0" w:color="auto"/>
              </w:divBdr>
            </w:div>
            <w:div w:id="58214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50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09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198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144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97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78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536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275503">
              <w:blockQuote w:val="1"/>
              <w:marLeft w:val="720"/>
              <w:marRight w:val="720"/>
              <w:marTop w:val="100"/>
              <w:marBottom w:val="100"/>
              <w:divBdr>
                <w:top w:val="none" w:sz="0" w:space="0" w:color="auto"/>
                <w:left w:val="none" w:sz="0" w:space="0" w:color="auto"/>
                <w:bottom w:val="none" w:sz="0" w:space="0" w:color="auto"/>
                <w:right w:val="none" w:sz="0" w:space="0" w:color="auto"/>
              </w:divBdr>
            </w:div>
            <w:div w:id="86580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036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205346">
              <w:blockQuote w:val="1"/>
              <w:marLeft w:val="720"/>
              <w:marRight w:val="720"/>
              <w:marTop w:val="100"/>
              <w:marBottom w:val="100"/>
              <w:divBdr>
                <w:top w:val="none" w:sz="0" w:space="0" w:color="auto"/>
                <w:left w:val="none" w:sz="0" w:space="0" w:color="auto"/>
                <w:bottom w:val="none" w:sz="0" w:space="0" w:color="auto"/>
                <w:right w:val="none" w:sz="0" w:space="0" w:color="auto"/>
              </w:divBdr>
            </w:div>
            <w:div w:id="526605513">
              <w:blockQuote w:val="1"/>
              <w:marLeft w:val="720"/>
              <w:marRight w:val="720"/>
              <w:marTop w:val="100"/>
              <w:marBottom w:val="100"/>
              <w:divBdr>
                <w:top w:val="none" w:sz="0" w:space="0" w:color="auto"/>
                <w:left w:val="none" w:sz="0" w:space="0" w:color="auto"/>
                <w:bottom w:val="none" w:sz="0" w:space="0" w:color="auto"/>
                <w:right w:val="none" w:sz="0" w:space="0" w:color="auto"/>
              </w:divBdr>
            </w:div>
            <w:div w:id="800877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30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98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154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32112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7786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06109">
              <w:blockQuote w:val="1"/>
              <w:marLeft w:val="720"/>
              <w:marRight w:val="720"/>
              <w:marTop w:val="100"/>
              <w:marBottom w:val="100"/>
              <w:divBdr>
                <w:top w:val="none" w:sz="0" w:space="0" w:color="auto"/>
                <w:left w:val="none" w:sz="0" w:space="0" w:color="auto"/>
                <w:bottom w:val="none" w:sz="0" w:space="0" w:color="auto"/>
                <w:right w:val="none" w:sz="0" w:space="0" w:color="auto"/>
              </w:divBdr>
            </w:div>
            <w:div w:id="840896087">
              <w:blockQuote w:val="1"/>
              <w:marLeft w:val="720"/>
              <w:marRight w:val="720"/>
              <w:marTop w:val="100"/>
              <w:marBottom w:val="100"/>
              <w:divBdr>
                <w:top w:val="none" w:sz="0" w:space="0" w:color="auto"/>
                <w:left w:val="none" w:sz="0" w:space="0" w:color="auto"/>
                <w:bottom w:val="none" w:sz="0" w:space="0" w:color="auto"/>
                <w:right w:val="none" w:sz="0" w:space="0" w:color="auto"/>
              </w:divBdr>
            </w:div>
            <w:div w:id="45764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85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594939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298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186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91086">
              <w:blockQuote w:val="1"/>
              <w:marLeft w:val="720"/>
              <w:marRight w:val="720"/>
              <w:marTop w:val="100"/>
              <w:marBottom w:val="100"/>
              <w:divBdr>
                <w:top w:val="none" w:sz="0" w:space="0" w:color="auto"/>
                <w:left w:val="none" w:sz="0" w:space="0" w:color="auto"/>
                <w:bottom w:val="none" w:sz="0" w:space="0" w:color="auto"/>
                <w:right w:val="none" w:sz="0" w:space="0" w:color="auto"/>
              </w:divBdr>
            </w:div>
            <w:div w:id="828789416">
              <w:blockQuote w:val="1"/>
              <w:marLeft w:val="720"/>
              <w:marRight w:val="720"/>
              <w:marTop w:val="100"/>
              <w:marBottom w:val="100"/>
              <w:divBdr>
                <w:top w:val="none" w:sz="0" w:space="0" w:color="auto"/>
                <w:left w:val="none" w:sz="0" w:space="0" w:color="auto"/>
                <w:bottom w:val="none" w:sz="0" w:space="0" w:color="auto"/>
                <w:right w:val="none" w:sz="0" w:space="0" w:color="auto"/>
              </w:divBdr>
            </w:div>
            <w:div w:id="473715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975379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351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165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39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8748">
              <w:blockQuote w:val="1"/>
              <w:marLeft w:val="720"/>
              <w:marRight w:val="720"/>
              <w:marTop w:val="100"/>
              <w:marBottom w:val="100"/>
              <w:divBdr>
                <w:top w:val="none" w:sz="0" w:space="0" w:color="auto"/>
                <w:left w:val="none" w:sz="0" w:space="0" w:color="auto"/>
                <w:bottom w:val="none" w:sz="0" w:space="0" w:color="auto"/>
                <w:right w:val="none" w:sz="0" w:space="0" w:color="auto"/>
              </w:divBdr>
            </w:div>
            <w:div w:id="713383159">
              <w:blockQuote w:val="1"/>
              <w:marLeft w:val="720"/>
              <w:marRight w:val="720"/>
              <w:marTop w:val="100"/>
              <w:marBottom w:val="100"/>
              <w:divBdr>
                <w:top w:val="none" w:sz="0" w:space="0" w:color="auto"/>
                <w:left w:val="none" w:sz="0" w:space="0" w:color="auto"/>
                <w:bottom w:val="none" w:sz="0" w:space="0" w:color="auto"/>
                <w:right w:val="none" w:sz="0" w:space="0" w:color="auto"/>
              </w:divBdr>
            </w:div>
            <w:div w:id="568925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21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21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66748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84987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657001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241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01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71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653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49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642587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3237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5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57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10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70781">
              <w:blockQuote w:val="1"/>
              <w:marLeft w:val="720"/>
              <w:marRight w:val="720"/>
              <w:marTop w:val="100"/>
              <w:marBottom w:val="100"/>
              <w:divBdr>
                <w:top w:val="none" w:sz="0" w:space="0" w:color="auto"/>
                <w:left w:val="none" w:sz="0" w:space="0" w:color="auto"/>
                <w:bottom w:val="none" w:sz="0" w:space="0" w:color="auto"/>
                <w:right w:val="none" w:sz="0" w:space="0" w:color="auto"/>
              </w:divBdr>
            </w:div>
            <w:div w:id="7279969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366564">
              <w:blockQuote w:val="1"/>
              <w:marLeft w:val="720"/>
              <w:marRight w:val="720"/>
              <w:marTop w:val="100"/>
              <w:marBottom w:val="100"/>
              <w:divBdr>
                <w:top w:val="none" w:sz="0" w:space="0" w:color="auto"/>
                <w:left w:val="none" w:sz="0" w:space="0" w:color="auto"/>
                <w:bottom w:val="none" w:sz="0" w:space="0" w:color="auto"/>
                <w:right w:val="none" w:sz="0" w:space="0" w:color="auto"/>
              </w:divBdr>
            </w:div>
            <w:div w:id="642735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363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368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298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71391">
              <w:blockQuote w:val="1"/>
              <w:marLeft w:val="720"/>
              <w:marRight w:val="720"/>
              <w:marTop w:val="100"/>
              <w:marBottom w:val="100"/>
              <w:divBdr>
                <w:top w:val="none" w:sz="0" w:space="0" w:color="auto"/>
                <w:left w:val="none" w:sz="0" w:space="0" w:color="auto"/>
                <w:bottom w:val="none" w:sz="0" w:space="0" w:color="auto"/>
                <w:right w:val="none" w:sz="0" w:space="0" w:color="auto"/>
              </w:divBdr>
            </w:div>
            <w:div w:id="89860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94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79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322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852">
              <w:blockQuote w:val="1"/>
              <w:marLeft w:val="720"/>
              <w:marRight w:val="720"/>
              <w:marTop w:val="100"/>
              <w:marBottom w:val="100"/>
              <w:divBdr>
                <w:top w:val="none" w:sz="0" w:space="0" w:color="auto"/>
                <w:left w:val="none" w:sz="0" w:space="0" w:color="auto"/>
                <w:bottom w:val="none" w:sz="0" w:space="0" w:color="auto"/>
                <w:right w:val="none" w:sz="0" w:space="0" w:color="auto"/>
              </w:divBdr>
            </w:div>
            <w:div w:id="796023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322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2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8302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4890165">
              <w:blockQuote w:val="1"/>
              <w:marLeft w:val="720"/>
              <w:marRight w:val="720"/>
              <w:marTop w:val="100"/>
              <w:marBottom w:val="100"/>
              <w:divBdr>
                <w:top w:val="none" w:sz="0" w:space="0" w:color="auto"/>
                <w:left w:val="none" w:sz="0" w:space="0" w:color="auto"/>
                <w:bottom w:val="none" w:sz="0" w:space="0" w:color="auto"/>
                <w:right w:val="none" w:sz="0" w:space="0" w:color="auto"/>
              </w:divBdr>
            </w:div>
            <w:div w:id="30077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60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00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61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7650158">
              <w:blockQuote w:val="1"/>
              <w:marLeft w:val="720"/>
              <w:marRight w:val="720"/>
              <w:marTop w:val="100"/>
              <w:marBottom w:val="100"/>
              <w:divBdr>
                <w:top w:val="none" w:sz="0" w:space="0" w:color="auto"/>
                <w:left w:val="none" w:sz="0" w:space="0" w:color="auto"/>
                <w:bottom w:val="none" w:sz="0" w:space="0" w:color="auto"/>
                <w:right w:val="none" w:sz="0" w:space="0" w:color="auto"/>
              </w:divBdr>
            </w:div>
            <w:div w:id="291985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115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414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96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46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constituicao/emendas/emc/emc103.htm" TargetMode="External"/><Relationship Id="rId21"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constituicao/Constituicao.htm" TargetMode="External"/><Relationship Id="rId42" Type="http://schemas.openxmlformats.org/officeDocument/2006/relationships/theme" Target="theme/theme1.xml"/><Relationship Id="rId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gislacao.planalto.gov.br/legisla/legislacao.nsf/Viw_Identificacao/emc%2020-1998?OpenDocument"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constituicao/emendas/emc/emc103.htm" TargetMode="External"/><Relationship Id="rId37" Type="http://schemas.openxmlformats.org/officeDocument/2006/relationships/hyperlink" Target="http://www.planalto.gov.br/ccivil_03/constituicao/emendas/emc/emc103.htm" TargetMode="External"/><Relationship Id="rId40" Type="http://schemas.openxmlformats.org/officeDocument/2006/relationships/hyperlink" Target="http://www.planalto.gov.br/ccivil_03/constituicao/Constituicao.htm" TargetMode="External"/><Relationship Id="rId5" Type="http://schemas.openxmlformats.org/officeDocument/2006/relationships/endnotes" Target="endnotes.xm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Constituicao.htm" TargetMode="External"/><Relationship Id="rId36"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constituicao/emendas/emc/emc41.htm" TargetMode="External"/><Relationship Id="rId4" Type="http://schemas.openxmlformats.org/officeDocument/2006/relationships/footnotes" Target="footnote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constituicao/Constituicao.htm" TargetMode="External"/><Relationship Id="rId35" Type="http://schemas.openxmlformats.org/officeDocument/2006/relationships/hyperlink" Target="http://www.planalto.gov.br/ccivil_03/constituicao/Constituicao.htm" TargetMode="External"/><Relationship Id="rId8" Type="http://schemas.openxmlformats.org/officeDocument/2006/relationships/hyperlink" Target="http://www.planalto.gov.br/ccivil_03/constituicao/Constituicao.htm" TargetMode="External"/><Relationship Id="rId3" Type="http://schemas.openxmlformats.org/officeDocument/2006/relationships/webSettings" Target="webSetting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constituicao/emendas/emc/emc41.htm" TargetMode="External"/><Relationship Id="rId38"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4672</Words>
  <Characters>25232</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2022-10-28T18:28:00Z</dcterms:created>
  <dcterms:modified xsi:type="dcterms:W3CDTF">2024-09-01T19:28:00Z</dcterms:modified>
</cp:coreProperties>
</file>