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D861E9" w:rsidRPr="00D53415" w:rsidRDefault="000E3E50" w:rsidP="00D861E9">
      <w:pPr>
        <w:spacing w:before="300" w:after="30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begin"/>
      </w:r>
      <w:r w:rsidRPr="00D53415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instrText xml:space="preserve"> HYPERLINK "http://legislacao.planalto.gov.br/legisla/legislacao.nsf/Viw_Identificacao/lei%2013.170-2015?OpenDocument" </w:instrText>
      </w:r>
      <w:r w:rsidRPr="00D53415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separate"/>
      </w:r>
      <w:r w:rsidR="00D861E9" w:rsidRPr="00D53415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t>LEI Nº 13.170, DE 16 DE OUTUBRO DE 2015.</w:t>
      </w:r>
      <w:r w:rsidRPr="00D53415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D861E9" w:rsidRPr="00D53415" w:rsidTr="00D861E9">
        <w:trPr>
          <w:tblCellSpacing w:w="0" w:type="dxa"/>
        </w:trPr>
        <w:tc>
          <w:tcPr>
            <w:tcW w:w="2550" w:type="pct"/>
            <w:vAlign w:val="center"/>
            <w:hideMark/>
          </w:tcPr>
          <w:p w:rsidR="00D861E9" w:rsidRPr="00D53415" w:rsidRDefault="000E3E50" w:rsidP="00D861E9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hyperlink r:id="rId6" w:anchor="art12" w:history="1">
              <w:r w:rsidR="00D861E9" w:rsidRPr="00D53415">
                <w:rPr>
                  <w:rFonts w:ascii="Book Antiqua" w:eastAsia="Times New Roman" w:hAnsi="Book Antiqua" w:cs="Times New Roman"/>
                  <w:color w:val="0000FF"/>
                  <w:u w:val="single"/>
                  <w:lang w:eastAsia="pt-BR"/>
                </w:rPr>
                <w:t>Vigência</w:t>
              </w:r>
            </w:hyperlink>
          </w:p>
        </w:tc>
        <w:tc>
          <w:tcPr>
            <w:tcW w:w="2450" w:type="pct"/>
            <w:vAlign w:val="center"/>
            <w:hideMark/>
          </w:tcPr>
          <w:p w:rsidR="00D861E9" w:rsidRPr="00D53415" w:rsidRDefault="00D861E9" w:rsidP="00D861E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D53415">
              <w:rPr>
                <w:rFonts w:ascii="Book Antiqua" w:eastAsia="Times New Roman" w:hAnsi="Book Antiqua" w:cs="Times New Roman"/>
                <w:color w:val="800000"/>
                <w:lang w:eastAsia="pt-BR"/>
              </w:rPr>
              <w:t>Disciplina a ação de indisponibilidade de bens, direitos ou valores em decorrência de resolução do Conselho de Segurança das Nações Unidas - CSNU.</w:t>
            </w:r>
          </w:p>
        </w:tc>
      </w:tr>
    </w:tbl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b/>
          <w:bCs/>
          <w:color w:val="000000"/>
          <w:lang w:eastAsia="pt-BR"/>
        </w:rPr>
        <w:t xml:space="preserve">A PRESIDENTA DA REPÚBLICA 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Faço saber que o Congresso Nacional decreta e eu sanciono a seguinte Lei: 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CAPÍTULO I 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DISPOSIÇÕES GERAIS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1" w:name="art1"/>
      <w:bookmarkEnd w:id="1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Esta Lei dispõe sobre a ação de indisponibilidade de bens, valores e direitos de posse ou propriedade e de todos os demais direitos, reais ou pessoais, de titularidade, direta ou indireta, das pessoas físicas ou jurídicas submetidas a esse tipo de sanção por resoluções do Conselho de Segurança das Nações Unidas - CSNU.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 ação de que trata esta Lei decorre do ato que incorporar ao ordenamento jurídico nacional a resolução do CSNU.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 declaração de indisponibilidade de bens, valores e direitos implicará a nulidade de quaisquer atos de disposição, ressalvados os direitos de terceiro de boa-fé.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3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Os recursos declarados indisponíveis poderão ser parcialmente liberados para o pagamento de despesas pessoais necessárias à subsistência do interessado e de sua família, para a garantia dos direitos individuais assegurados pela Constituição Federal ou para o cumprimento de disposições previstas em resoluções do CSNU.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4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As disposições desta Lei poderão ser usadas para atender a demandas de cooperação jurídica internacional advindas de outras jurisdições, em conformidade com a legislação nacional vigente.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2" w:name="art2"/>
      <w:bookmarkEnd w:id="2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Os órgãos e as entidades fiscalizadores ou reguladores adotarão imediatamente as providências necessárias ao cumprimento das ordens judiciais relativas à indisponibilidade de bens, valores e direitos de que trata esta Lei perante as instituições e pessoas físicas sujeitas à sua regulação e à sua supervisão.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Para efeito do disposto neste artigo, consideram-se instituições sujeitas à regulação e à supervisão as instituições a que se refere o </w:t>
      </w:r>
      <w:hyperlink r:id="rId7" w:anchor="art9" w:history="1">
        <w:r w:rsidRPr="00D53415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9</w:t>
        </w:r>
        <w:r w:rsidRPr="00D53415">
          <w:rPr>
            <w:rFonts w:ascii="Book Antiqua" w:eastAsia="Times New Roman" w:hAnsi="Book Antiqua" w:cs="Times New Roman"/>
            <w:color w:val="0000FF"/>
            <w:u w:val="single"/>
            <w:vertAlign w:val="superscript"/>
            <w:lang w:eastAsia="pt-BR"/>
          </w:rPr>
          <w:t>o</w:t>
        </w:r>
        <w:r w:rsidRPr="00D53415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da Lei n</w:t>
        </w:r>
        <w:r w:rsidRPr="00D53415">
          <w:rPr>
            <w:rFonts w:ascii="Book Antiqua" w:eastAsia="Times New Roman" w:hAnsi="Book Antiqua" w:cs="Times New Roman"/>
            <w:color w:val="0000FF"/>
            <w:u w:val="single"/>
            <w:vertAlign w:val="superscript"/>
            <w:lang w:eastAsia="pt-BR"/>
          </w:rPr>
          <w:t>o</w:t>
        </w:r>
        <w:r w:rsidRPr="00D53415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9.613, de 3 de março de 1998</w:t>
        </w:r>
      </w:hyperlink>
      <w:r w:rsidRPr="00D53415">
        <w:rPr>
          <w:rFonts w:ascii="Book Antiqua" w:eastAsia="Times New Roman" w:hAnsi="Book Antiqua" w:cs="Times New Roman"/>
          <w:color w:val="000000"/>
          <w:lang w:eastAsia="pt-BR"/>
        </w:rPr>
        <w:t>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As medidas previstas neste artigo também deverão ser adotadas, no que couber, pelas Corregedorias de Justiça dos Estados e do Distrito Federal, pela Agência Nacional de Aviação Civil - ANAC, pelo Departamento Nacional de Trânsito - DENATRAN, pelas Capitanias dos Portos, pela Agência Nacional de Telecomunicações - ANATEL e por outros órgãos de registro público competentes.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3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Os órgãos e as entidades fiscalizadores ou reguladores a que se refere o </w:t>
      </w:r>
      <w:r w:rsidRPr="00D53415">
        <w:rPr>
          <w:rFonts w:ascii="Book Antiqua" w:eastAsia="Times New Roman" w:hAnsi="Book Antiqua" w:cs="Times New Roman"/>
          <w:b/>
          <w:bCs/>
          <w:color w:val="000000"/>
          <w:lang w:eastAsia="pt-BR"/>
        </w:rPr>
        <w:t xml:space="preserve">caput 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poderão, no âmbito das suas competências, editar as normas necessárias ao cumprimento das disposições desta Lei.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3" w:name="art3"/>
      <w:bookmarkEnd w:id="3"/>
      <w:r w:rsidRPr="00D53415">
        <w:rPr>
          <w:rFonts w:ascii="Book Antiqua" w:eastAsia="Times New Roman" w:hAnsi="Book Antiqua" w:cs="Times New Roman"/>
          <w:color w:val="000000"/>
          <w:lang w:eastAsia="pt-BR"/>
        </w:rPr>
        <w:lastRenderedPageBreak/>
        <w:t>Art. 3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 Ministério da Justiça comunicará ao Ministério das Relações Exteriores as providências adotadas no território nacional para cumprimento das sanções impostas por resoluções do CSNU.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Parágrafo único.  O Ministério das Relações Exteriores comunicará ao CSNU as providências adotadas para o cumprimento das sanções a que se refere o </w:t>
      </w:r>
      <w:r w:rsidRPr="00D53415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caput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CAPÍTULO II 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DO PROCEDIMENTO E DA ADMINISTRAÇÃO DO BLOQUEIO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4" w:name="art4"/>
      <w:bookmarkEnd w:id="4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4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Incorporada a resolução do CSNU, o Ministério da Justiça comunicará à Advocacia-Geral da União que proporá, no prazo de vinte e quatro horas, ação de indisponibilidade de bens, valores e direitos.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Parágrafo único. Proposta a ação, que tramitará sob segredo de justiça, a Advocacia-Geral da União comunicará ao Ministério da Justiça.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5" w:name="art5"/>
      <w:bookmarkEnd w:id="5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5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Recebida a petição inicial, o juiz decidirá a tutela provisória no prazo de vinte e quatro horas.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Executadas as medidas, o juiz determinará a intimação do interessado para, em dez dias, apresentar razões de fato e de direito que possam levar ao convencimento de que o bloqueio foi efetivado irregularmente.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 juiz comunicará imediatamente a todas as entidades previstas no art.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, sem prejuízo de outras indicadas pelo autor, para que procedam ao imediato bloqueio dos bens, valores e direitos por elas identificados.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3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Efetivado o bloqueio, as instituições e pessoas físicas responsáveis deverão comunicar o fato, de imediato, ao órgão ou entidade fiscalizador ou regulador da sua atividade, ao juiz que determinou a medida, à Advocacia-Geral da União e ao Ministério da Justiça.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6" w:name="art6"/>
      <w:bookmarkEnd w:id="6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6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Será procedida a alienação antecipada dos bens declarados indisponíveis para preservação do seu valor sempre que estes estiverem sujeitos a qualquer grau de deterioração ou depreciação ou quando houver dificuldade para sua manutenção.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O interessado será intimado da avaliação dos bens para, querendo, manifestar-se no prazo de dez dias.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Feita a avaliação e dirimidas eventuais divergências sobre o valor atribuído aos bens, será determinada a sua alienação em leilão ou pregão, preferencialmente eletrônico, por valor não inferior a 75% (setenta e cinco por cento) do valor atribuído pela avaliação.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3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Realizado o leilão ou pregão, a quantia apurada será depositada em conta bancária remunerada.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4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Serão deduzidos da quantia apurada no leilão ou pregão os tributos e multas incidentes sobre o bem alienado.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7" w:name="art7"/>
      <w:bookmarkEnd w:id="7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7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Será designada pessoa qualificada para a administração, guarda ou custódia dos bens, valores e direitos bloqueados, quando necessário.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lastRenderedPageBreak/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Aplicam-se à pessoa designada, no que couber, as disposições legais relativas ao administrador judicial.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Tratando-se de ativos financeiros, a sua administração caberá às instituições em que se encontrem, incidindo o bloqueio também dos juros e quaisquer outros frutos civis e rendimentos decorrentes do contrato.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8" w:name="art8"/>
      <w:bookmarkEnd w:id="8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8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Será decretado o perdimento definitivo dos bens, valores e direitos em virtude de decisão condenatória transitada em julgado, em processo nacional ou estrangeiro.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Parágrafo único.  A decisão transitada em julgado em processo estrangeiro que decretar o perdimento definitivo de bens ficará sujeita à homologação pelo Superior Tribunal de Justiça, nos termos da alínea </w:t>
      </w:r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i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do inciso I do art. 105 da Constituição Federal.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9" w:name="art9"/>
      <w:bookmarkEnd w:id="9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9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Em caso de expiração ou revogação da sanção pelo CSNU, a União solicitará imediatamente ao juiz o levantamento dos bens, valores ou direitos.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Para efeitos do disposto neste artigo, considera-se também como revogação da sanção a comunicação oficial emitida pelo Ministério das Relações Exteriores de que o nome de pessoa física ou jurídica foi excluído das resoluções do CSNU.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A efetivação do desbloqueio dos bens, valores ou direitos será comunicada imediatamente à autoridade judicial competente pelas instituições e pessoas físicas responsáveis.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CAPÍTULO III 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DAS DESIGNAÇÕES NACIONAIS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10" w:name="art10"/>
      <w:bookmarkEnd w:id="10"/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Art. 10.  O juiz providenciará a imediata intimação da União quanto ao cumprimento do disposto nos </w:t>
      </w:r>
      <w:proofErr w:type="spellStart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arts</w:t>
      </w:r>
      <w:proofErr w:type="spellEnd"/>
      <w:r w:rsidRPr="00D53415">
        <w:rPr>
          <w:rFonts w:ascii="Book Antiqua" w:eastAsia="Times New Roman" w:hAnsi="Book Antiqua" w:cs="Times New Roman"/>
          <w:color w:val="000000"/>
          <w:lang w:eastAsia="pt-BR"/>
        </w:rPr>
        <w:t>. 5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, 7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, 8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e 9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desta Lei, bem como de sentenças condenatórias relacionadas à prática de atos terroristas.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Parágrafo único.  O Ministério da Justiça transmitirá o rol das informações de que trata o </w:t>
      </w:r>
      <w:r w:rsidRPr="00D53415">
        <w:rPr>
          <w:rFonts w:ascii="Book Antiqua" w:eastAsia="Times New Roman" w:hAnsi="Book Antiqua" w:cs="Times New Roman"/>
          <w:b/>
          <w:bCs/>
          <w:color w:val="000000"/>
          <w:lang w:eastAsia="pt-BR"/>
        </w:rPr>
        <w:t xml:space="preserve">caput 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ao Ministério das Relações Exteriores, para que sejam encaminhadas ao CSNU, quando necessário.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CAPÍTULO IV </w:t>
      </w:r>
    </w:p>
    <w:p w:rsidR="00D861E9" w:rsidRPr="00D53415" w:rsidRDefault="00D861E9" w:rsidP="00D861E9">
      <w:pPr>
        <w:spacing w:before="225" w:after="225" w:line="240" w:lineRule="auto"/>
        <w:ind w:firstLine="567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DISPOSIÇÕES FINAIS 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11" w:name="art11"/>
      <w:bookmarkEnd w:id="11"/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Art. 11. Aplicam-se ao disposto nesta Lei, subsidiariamente, as normas do </w:t>
      </w:r>
      <w:hyperlink r:id="rId8" w:history="1">
        <w:r w:rsidRPr="00D53415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Código de Processo Civil</w:t>
        </w:r>
      </w:hyperlink>
      <w:r w:rsidRPr="00D53415">
        <w:rPr>
          <w:rFonts w:ascii="Book Antiqua" w:eastAsia="Times New Roman" w:hAnsi="Book Antiqua" w:cs="Times New Roman"/>
          <w:color w:val="000000"/>
          <w:lang w:eastAsia="pt-BR"/>
        </w:rPr>
        <w:t>.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bookmarkStart w:id="12" w:name="art12"/>
      <w:bookmarkEnd w:id="12"/>
      <w:r w:rsidRPr="00D53415">
        <w:rPr>
          <w:rFonts w:ascii="Book Antiqua" w:eastAsia="Times New Roman" w:hAnsi="Book Antiqua" w:cs="Times New Roman"/>
          <w:color w:val="000000"/>
          <w:lang w:eastAsia="pt-BR"/>
        </w:rPr>
        <w:t>Art. 12. Esta Lei entra em vigor após decorridos noventa dias de sua publicação oficial. </w:t>
      </w:r>
    </w:p>
    <w:p w:rsidR="00D861E9" w:rsidRPr="00D53415" w:rsidRDefault="00D861E9" w:rsidP="00D861E9">
      <w:pPr>
        <w:spacing w:before="225" w:after="225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Brasília, 16 de outubro de 2015; 194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da Independência e 127</w:t>
      </w:r>
      <w:r w:rsidRPr="00D53415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 xml:space="preserve"> da República. </w:t>
      </w:r>
    </w:p>
    <w:p w:rsidR="00D861E9" w:rsidRPr="00D53415" w:rsidRDefault="00D861E9" w:rsidP="00D861E9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000000"/>
          <w:lang w:eastAsia="pt-BR"/>
        </w:rPr>
        <w:t>DILMA ROUSSEFF</w:t>
      </w:r>
    </w:p>
    <w:p w:rsidR="00D861E9" w:rsidRPr="00D53415" w:rsidRDefault="00D861E9" w:rsidP="00D861E9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José Eduardo Cardozo</w:t>
      </w:r>
    </w:p>
    <w:p w:rsidR="00D861E9" w:rsidRPr="00D53415" w:rsidRDefault="00D861E9" w:rsidP="00D861E9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Mauro Luiz </w:t>
      </w:r>
      <w:proofErr w:type="spellStart"/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Iecker</w:t>
      </w:r>
      <w:proofErr w:type="spellEnd"/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 Vieira</w:t>
      </w:r>
    </w:p>
    <w:p w:rsidR="00D861E9" w:rsidRPr="00D53415" w:rsidRDefault="00D861E9" w:rsidP="00D861E9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Joaquim Vieira Ferreira Levy</w:t>
      </w:r>
    </w:p>
    <w:p w:rsidR="00D861E9" w:rsidRPr="00D53415" w:rsidRDefault="00D861E9" w:rsidP="00D861E9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Alexandre </w:t>
      </w:r>
      <w:proofErr w:type="spellStart"/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Antonio</w:t>
      </w:r>
      <w:proofErr w:type="spellEnd"/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 </w:t>
      </w:r>
      <w:proofErr w:type="spellStart"/>
      <w:r w:rsidRPr="00D53415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Tombini</w:t>
      </w:r>
      <w:proofErr w:type="spellEnd"/>
    </w:p>
    <w:p w:rsidR="00D861E9" w:rsidRPr="00D53415" w:rsidRDefault="00D861E9" w:rsidP="00D861E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FF0000"/>
          <w:lang w:eastAsia="pt-BR"/>
        </w:rPr>
        <w:lastRenderedPageBreak/>
        <w:t>Este texto não substitui o publicado no DOU de 19.10.2015</w:t>
      </w:r>
      <w:r w:rsidRPr="00D53415">
        <w:rPr>
          <w:rFonts w:ascii="Book Antiqua" w:eastAsia="Times New Roman" w:hAnsi="Book Antiqua" w:cs="Times New Roman"/>
          <w:color w:val="000000"/>
          <w:lang w:eastAsia="pt-BR"/>
        </w:rPr>
        <w:t>  </w:t>
      </w:r>
    </w:p>
    <w:p w:rsidR="00D861E9" w:rsidRPr="00D53415" w:rsidRDefault="00D861E9" w:rsidP="00D861E9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color w:val="FF0000"/>
          <w:lang w:eastAsia="pt-BR"/>
        </w:rPr>
        <w:t>*</w:t>
      </w:r>
    </w:p>
    <w:p w:rsidR="00D861E9" w:rsidRPr="00D53415" w:rsidRDefault="00D861E9" w:rsidP="00D861E9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lang w:eastAsia="pt-BR"/>
        </w:rPr>
        <w:t> </w:t>
      </w:r>
    </w:p>
    <w:p w:rsidR="00D861E9" w:rsidRPr="00D53415" w:rsidRDefault="00D861E9" w:rsidP="00D861E9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D53415">
        <w:rPr>
          <w:rFonts w:ascii="Book Antiqua" w:eastAsia="Times New Roman" w:hAnsi="Book Antiqua" w:cs="Times New Roman"/>
          <w:lang w:eastAsia="pt-BR"/>
        </w:rPr>
        <w:t> </w:t>
      </w:r>
    </w:p>
    <w:p w:rsidR="00FA5B5D" w:rsidRPr="00D53415" w:rsidRDefault="00FA5B5D" w:rsidP="00D861E9">
      <w:pPr>
        <w:spacing w:before="300" w:after="300" w:line="240" w:lineRule="auto"/>
        <w:ind w:firstLine="570"/>
        <w:rPr>
          <w:rFonts w:ascii="Book Antiqua" w:eastAsia="Times New Roman" w:hAnsi="Book Antiqua" w:cs="Times New Roman"/>
          <w:lang w:eastAsia="pt-BR"/>
        </w:rPr>
      </w:pPr>
    </w:p>
    <w:sectPr w:rsidR="00FA5B5D" w:rsidRPr="00D53415" w:rsidSect="00D53415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3E50" w:rsidRDefault="000E3E50" w:rsidP="00D53415">
      <w:pPr>
        <w:spacing w:after="0" w:line="240" w:lineRule="auto"/>
      </w:pPr>
      <w:r>
        <w:separator/>
      </w:r>
    </w:p>
  </w:endnote>
  <w:endnote w:type="continuationSeparator" w:id="0">
    <w:p w:rsidR="000E3E50" w:rsidRDefault="000E3E50" w:rsidP="00D53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3E50" w:rsidRDefault="000E3E50" w:rsidP="00D53415">
      <w:pPr>
        <w:spacing w:after="0" w:line="240" w:lineRule="auto"/>
      </w:pPr>
      <w:r>
        <w:separator/>
      </w:r>
    </w:p>
  </w:footnote>
  <w:footnote w:type="continuationSeparator" w:id="0">
    <w:p w:rsidR="000E3E50" w:rsidRDefault="000E3E50" w:rsidP="00D53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44"/>
    <w:rsid w:val="000E3E50"/>
    <w:rsid w:val="00CF7444"/>
    <w:rsid w:val="00D53415"/>
    <w:rsid w:val="00D861E9"/>
    <w:rsid w:val="00FA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E912EE5-0AC7-4DC0-8847-FCF7CFD6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3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3415"/>
  </w:style>
  <w:style w:type="paragraph" w:styleId="Rodap">
    <w:name w:val="footer"/>
    <w:basedOn w:val="Normal"/>
    <w:link w:val="RodapChar"/>
    <w:uiPriority w:val="99"/>
    <w:unhideWhenUsed/>
    <w:rsid w:val="00D53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3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9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586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961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5/Lei/L13170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1209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3</cp:revision>
  <dcterms:created xsi:type="dcterms:W3CDTF">2015-10-27T20:11:00Z</dcterms:created>
  <dcterms:modified xsi:type="dcterms:W3CDTF">2018-12-08T19:35:00Z</dcterms:modified>
</cp:coreProperties>
</file>