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52B3" w14:textId="6E95C11F" w:rsidR="0072784F" w:rsidRPr="0072784F" w:rsidRDefault="0072784F" w:rsidP="003C225B">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72784F">
        <w:rPr>
          <w:rFonts w:ascii="Book Antiqua" w:eastAsia="Times New Roman" w:hAnsi="Book Antiqua" w:cs="Times New Roman"/>
          <w:b/>
          <w:bCs/>
          <w:color w:val="FF0000"/>
          <w:sz w:val="19"/>
          <w:szCs w:val="19"/>
          <w:lang w:eastAsia="pt-BR"/>
        </w:rPr>
        <w:t xml:space="preserve">(Atualização em </w:t>
      </w:r>
      <w:r w:rsidR="00D569DD">
        <w:rPr>
          <w:rFonts w:ascii="Book Antiqua" w:eastAsia="Times New Roman" w:hAnsi="Book Antiqua" w:cs="Times New Roman"/>
          <w:b/>
          <w:bCs/>
          <w:color w:val="FF0000"/>
          <w:sz w:val="19"/>
          <w:szCs w:val="19"/>
          <w:lang w:eastAsia="pt-BR"/>
        </w:rPr>
        <w:t>17/07</w:t>
      </w:r>
      <w:r w:rsidR="006D7887">
        <w:rPr>
          <w:rFonts w:ascii="Book Antiqua" w:eastAsia="Times New Roman" w:hAnsi="Book Antiqua" w:cs="Times New Roman"/>
          <w:b/>
          <w:bCs/>
          <w:color w:val="FF0000"/>
          <w:sz w:val="19"/>
          <w:szCs w:val="19"/>
          <w:lang w:eastAsia="pt-BR"/>
        </w:rPr>
        <w:t>/2025</w:t>
      </w:r>
      <w:r w:rsidRPr="0072784F">
        <w:rPr>
          <w:rFonts w:ascii="Book Antiqua" w:eastAsia="Times New Roman" w:hAnsi="Book Antiqua" w:cs="Times New Roman"/>
          <w:b/>
          <w:bCs/>
          <w:color w:val="FF0000"/>
          <w:sz w:val="19"/>
          <w:szCs w:val="19"/>
          <w:lang w:eastAsia="pt-BR"/>
        </w:rPr>
        <w:t>: questões de concurso)</w:t>
      </w:r>
    </w:p>
    <w:p w14:paraId="0B918EC8" w14:textId="364D1BEE" w:rsidR="003C225B" w:rsidRPr="000C08D3" w:rsidRDefault="003C225B" w:rsidP="003C225B">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0C08D3">
          <w:rPr>
            <w:rFonts w:ascii="Book Antiqua" w:eastAsia="Times New Roman" w:hAnsi="Book Antiqua" w:cs="Arial"/>
            <w:b/>
            <w:bCs/>
            <w:color w:val="000080"/>
            <w:sz w:val="19"/>
            <w:szCs w:val="19"/>
            <w:lang w:eastAsia="pt-BR"/>
          </w:rPr>
          <w:t>LEI N</w:t>
        </w:r>
        <w:r w:rsidRPr="000C08D3">
          <w:rPr>
            <w:rFonts w:ascii="Book Antiqua" w:eastAsia="Times New Roman" w:hAnsi="Book Antiqua" w:cs="Arial"/>
            <w:b/>
            <w:bCs/>
            <w:color w:val="000080"/>
            <w:sz w:val="19"/>
            <w:szCs w:val="19"/>
            <w:vertAlign w:val="superscript"/>
            <w:lang w:eastAsia="pt-BR"/>
          </w:rPr>
          <w:t>o</w:t>
        </w:r>
        <w:r w:rsidRPr="000C08D3">
          <w:rPr>
            <w:rFonts w:ascii="Book Antiqua" w:eastAsia="Times New Roman" w:hAnsi="Book Antiqua" w:cs="Arial"/>
            <w:b/>
            <w:bCs/>
            <w:color w:val="000080"/>
            <w:sz w:val="19"/>
            <w:szCs w:val="19"/>
            <w:lang w:eastAsia="pt-BR"/>
          </w:rPr>
          <w:t xml:space="preserve"> 6.383, DE 7 DE DEZEMBRO DE 1976.</w:t>
        </w:r>
      </w:hyperlink>
    </w:p>
    <w:tbl>
      <w:tblPr>
        <w:tblW w:w="5000" w:type="pct"/>
        <w:tblCellMar>
          <w:left w:w="0" w:type="dxa"/>
          <w:right w:w="0" w:type="dxa"/>
        </w:tblCellMar>
        <w:tblLook w:val="04A0" w:firstRow="1" w:lastRow="0" w:firstColumn="1" w:lastColumn="0" w:noHBand="0" w:noVBand="1"/>
      </w:tblPr>
      <w:tblGrid>
        <w:gridCol w:w="2267"/>
        <w:gridCol w:w="6237"/>
      </w:tblGrid>
      <w:tr w:rsidR="003C225B" w:rsidRPr="000C08D3" w14:paraId="3AF0AC58" w14:textId="77777777" w:rsidTr="00782F2C">
        <w:tc>
          <w:tcPr>
            <w:tcW w:w="1333" w:type="pct"/>
            <w:tcBorders>
              <w:top w:val="nil"/>
              <w:left w:val="nil"/>
              <w:bottom w:val="nil"/>
              <w:right w:val="nil"/>
            </w:tcBorders>
            <w:vAlign w:val="center"/>
            <w:hideMark/>
          </w:tcPr>
          <w:p w14:paraId="6A1F48A7" w14:textId="77777777" w:rsidR="003C225B" w:rsidRPr="000C08D3" w:rsidRDefault="003C225B" w:rsidP="003C225B">
            <w:pPr>
              <w:spacing w:after="0" w:line="240" w:lineRule="auto"/>
              <w:rPr>
                <w:rFonts w:ascii="Book Antiqua" w:eastAsia="Times New Roman" w:hAnsi="Book Antiqua" w:cs="Times New Roman"/>
                <w:sz w:val="19"/>
                <w:szCs w:val="19"/>
                <w:lang w:eastAsia="pt-BR"/>
              </w:rPr>
            </w:pPr>
          </w:p>
        </w:tc>
        <w:tc>
          <w:tcPr>
            <w:tcW w:w="3667" w:type="pct"/>
            <w:tcBorders>
              <w:top w:val="nil"/>
              <w:left w:val="nil"/>
              <w:bottom w:val="nil"/>
              <w:right w:val="nil"/>
            </w:tcBorders>
            <w:vAlign w:val="center"/>
            <w:hideMark/>
          </w:tcPr>
          <w:p w14:paraId="4D330FC4" w14:textId="77777777" w:rsidR="003C225B" w:rsidRPr="000C08D3" w:rsidRDefault="003C225B" w:rsidP="003C225B">
            <w:pPr>
              <w:spacing w:before="100" w:beforeAutospacing="1" w:after="100" w:afterAutospacing="1" w:line="240" w:lineRule="auto"/>
              <w:jc w:val="both"/>
              <w:rPr>
                <w:rFonts w:ascii="Book Antiqua" w:eastAsia="Times New Roman" w:hAnsi="Book Antiqua" w:cs="Times New Roman"/>
                <w:sz w:val="19"/>
                <w:szCs w:val="19"/>
                <w:lang w:eastAsia="pt-BR"/>
              </w:rPr>
            </w:pPr>
            <w:r w:rsidRPr="000C08D3">
              <w:rPr>
                <w:rFonts w:ascii="Book Antiqua" w:eastAsia="Times New Roman" w:hAnsi="Book Antiqua" w:cs="Arial"/>
                <w:color w:val="800000"/>
                <w:sz w:val="18"/>
                <w:szCs w:val="18"/>
                <w:lang w:eastAsia="pt-BR"/>
              </w:rPr>
              <w:t xml:space="preserve">Dispõe sobre o Processo Discriminatório de Terras Devolutas da União, e dá outras Providências. </w:t>
            </w:r>
          </w:p>
        </w:tc>
      </w:tr>
    </w:tbl>
    <w:p w14:paraId="3E107327"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08D3">
        <w:rPr>
          <w:rFonts w:ascii="Book Antiqua" w:eastAsia="Times New Roman" w:hAnsi="Book Antiqua" w:cs="Arial"/>
          <w:b/>
          <w:bCs/>
          <w:sz w:val="19"/>
          <w:szCs w:val="19"/>
          <w:lang w:eastAsia="pt-BR"/>
        </w:rPr>
        <w:t xml:space="preserve">O PRESIDENTE DA REPÚBLICA: </w:t>
      </w:r>
      <w:r w:rsidRPr="000C08D3">
        <w:rPr>
          <w:rFonts w:ascii="Book Antiqua" w:eastAsia="Times New Roman" w:hAnsi="Book Antiqua" w:cs="Arial"/>
          <w:sz w:val="19"/>
          <w:szCs w:val="19"/>
          <w:lang w:eastAsia="pt-BR"/>
        </w:rPr>
        <w:t>Faço saber que o Congresso Nacional decreta e eu sanciono a seguinte Lei:</w:t>
      </w:r>
    </w:p>
    <w:p w14:paraId="181E6813"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CAPÍTULO I</w:t>
      </w:r>
    </w:p>
    <w:p w14:paraId="618B70A0"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Das Disposições Preliminares </w:t>
      </w:r>
    </w:p>
    <w:p w14:paraId="3D6C8E28" w14:textId="37716BEC" w:rsidR="003C225B" w:rsidRDefault="003C225B" w:rsidP="003C225B">
      <w:pPr>
        <w:spacing w:before="100" w:beforeAutospacing="1" w:after="100" w:afterAutospacing="1" w:line="240" w:lineRule="auto"/>
        <w:ind w:firstLine="525"/>
        <w:jc w:val="both"/>
        <w:rPr>
          <w:rFonts w:ascii="Book Antiqua" w:hAnsi="Book Antiqua"/>
          <w:b/>
          <w:bCs/>
          <w:color w:val="FF0000"/>
          <w:sz w:val="16"/>
          <w:szCs w:val="16"/>
        </w:rPr>
      </w:pPr>
      <w:bookmarkStart w:id="0" w:name="art1"/>
      <w:bookmarkEnd w:id="0"/>
      <w:r w:rsidRPr="000C08D3">
        <w:rPr>
          <w:rFonts w:ascii="Book Antiqua" w:eastAsia="Times New Roman" w:hAnsi="Book Antiqua" w:cs="Arial"/>
          <w:b/>
          <w:bCs/>
          <w:sz w:val="19"/>
          <w:szCs w:val="19"/>
          <w:highlight w:val="magenta"/>
          <w:lang w:eastAsia="pt-BR"/>
        </w:rPr>
        <w:t>Art. 1º</w:t>
      </w:r>
      <w:r w:rsidR="00D569DD">
        <w:rPr>
          <w:rFonts w:ascii="Book Antiqua" w:eastAsia="Times New Roman" w:hAnsi="Book Antiqua" w:cs="Arial"/>
          <w:b/>
          <w:bCs/>
          <w:sz w:val="19"/>
          <w:szCs w:val="19"/>
          <w:lang w:eastAsia="pt-BR"/>
        </w:rPr>
        <w:t>.</w:t>
      </w:r>
      <w:r w:rsidRPr="000C08D3">
        <w:rPr>
          <w:rFonts w:ascii="Book Antiqua" w:eastAsia="Times New Roman" w:hAnsi="Book Antiqua" w:cs="Arial"/>
          <w:sz w:val="19"/>
          <w:szCs w:val="19"/>
          <w:lang w:eastAsia="pt-BR"/>
        </w:rPr>
        <w:t xml:space="preserve"> </w:t>
      </w:r>
      <w:r w:rsidRPr="00CD2918">
        <w:rPr>
          <w:rFonts w:ascii="Book Antiqua" w:eastAsia="Times New Roman" w:hAnsi="Book Antiqua" w:cs="Arial"/>
          <w:b/>
          <w:bCs/>
          <w:sz w:val="19"/>
          <w:szCs w:val="19"/>
          <w:lang w:eastAsia="pt-BR"/>
        </w:rPr>
        <w:t>O processo discriminatório das terras devolutas da União será regulado por esta Lei</w:t>
      </w:r>
      <w:r w:rsidRPr="00274FBD">
        <w:rPr>
          <w:rFonts w:ascii="Book Antiqua" w:eastAsia="Times New Roman" w:hAnsi="Book Antiqua" w:cs="Arial"/>
          <w:b/>
          <w:bCs/>
          <w:sz w:val="16"/>
          <w:szCs w:val="16"/>
          <w:lang w:eastAsia="pt-BR"/>
        </w:rPr>
        <w:t xml:space="preserve">. </w:t>
      </w:r>
      <w:r w:rsidR="000C08D3" w:rsidRPr="00274FBD">
        <w:rPr>
          <w:rFonts w:ascii="Book Antiqua" w:hAnsi="Book Antiqua"/>
          <w:b/>
          <w:bCs/>
          <w:color w:val="FF0000"/>
          <w:sz w:val="16"/>
          <w:szCs w:val="16"/>
          <w:u w:val="single"/>
        </w:rPr>
        <w:t>(TRF1-2011)</w:t>
      </w:r>
      <w:r w:rsidR="0081789F" w:rsidRPr="00274FBD">
        <w:rPr>
          <w:rFonts w:ascii="Book Antiqua" w:hAnsi="Book Antiqua"/>
          <w:b/>
          <w:bCs/>
          <w:color w:val="FF0000"/>
          <w:sz w:val="16"/>
          <w:szCs w:val="16"/>
        </w:rPr>
        <w:t xml:space="preserve"> </w:t>
      </w:r>
      <w:r w:rsidR="0081789F" w:rsidRPr="00274FBD">
        <w:rPr>
          <w:rFonts w:ascii="Book Antiqua" w:hAnsi="Book Antiqua"/>
          <w:b/>
          <w:bCs/>
          <w:color w:val="FF0000"/>
          <w:sz w:val="16"/>
          <w:szCs w:val="16"/>
          <w:u w:val="single"/>
        </w:rPr>
        <w:t>(MPRR-2012)</w:t>
      </w:r>
      <w:r w:rsidR="00D569DD">
        <w:rPr>
          <w:rFonts w:ascii="Book Antiqua" w:hAnsi="Book Antiqua"/>
          <w:b/>
          <w:bCs/>
          <w:color w:val="FF0000"/>
          <w:sz w:val="16"/>
          <w:szCs w:val="16"/>
        </w:rPr>
        <w:t xml:space="preserve"> </w:t>
      </w:r>
      <w:bookmarkStart w:id="1" w:name="_Hlk203658894"/>
      <w:r w:rsidR="00D569DD">
        <w:rPr>
          <w:rFonts w:ascii="Book Antiqua" w:hAnsi="Book Antiqua"/>
          <w:b/>
          <w:bCs/>
          <w:color w:val="FF0000"/>
          <w:sz w:val="16"/>
          <w:szCs w:val="16"/>
          <w:u w:val="single"/>
        </w:rPr>
        <w:t>(PGESP-2024)</w:t>
      </w:r>
      <w:bookmarkEnd w:id="1"/>
    </w:p>
    <w:tbl>
      <w:tblPr>
        <w:tblStyle w:val="Tabelacomgrade"/>
        <w:tblW w:w="0" w:type="auto"/>
        <w:tblLook w:val="04A0" w:firstRow="1" w:lastRow="0" w:firstColumn="1" w:lastColumn="0" w:noHBand="0" w:noVBand="1"/>
      </w:tblPr>
      <w:tblGrid>
        <w:gridCol w:w="8494"/>
      </w:tblGrid>
      <w:tr w:rsidR="00D569DD" w14:paraId="1A151CEF" w14:textId="77777777" w:rsidTr="00876EFC">
        <w:tc>
          <w:tcPr>
            <w:tcW w:w="8494" w:type="dxa"/>
            <w:shd w:val="clear" w:color="auto" w:fill="CCFFFF"/>
          </w:tcPr>
          <w:p w14:paraId="0FD70645" w14:textId="77777777" w:rsidR="00D569DD" w:rsidRDefault="00D569DD" w:rsidP="00D569DD">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PGESP-2024-VUNESP</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569DD">
              <w:rPr>
                <w:rFonts w:ascii="Book Antiqua" w:eastAsia="Times New Roman" w:hAnsi="Book Antiqua" w:cs="Arial"/>
                <w:sz w:val="19"/>
                <w:szCs w:val="19"/>
                <w:lang w:eastAsia="pt-BR"/>
              </w:rPr>
              <w:t>O Serviço de Patrimônio do Estado “X” constata que, em determinado perímetro territorial, há glebas de terras que considera devolutas, havendo incerteza dominial, decorrente da possível sobreposição de terras privadas na mesma área, cuja titulação é de legitimidade duvidosa, em virtude do histórico de “grilagem” da região. Diante dessa situação e caso tenha se revelado inviável a solução administrativa da questão, a Procuradoria Geral do Estado deverá ajuizar ação</w:t>
            </w:r>
            <w:r>
              <w:rPr>
                <w:rFonts w:ascii="Book Antiqua" w:eastAsia="Times New Roman" w:hAnsi="Book Antiqua" w:cs="Arial"/>
                <w:sz w:val="19"/>
                <w:szCs w:val="19"/>
                <w:lang w:eastAsia="pt-BR"/>
              </w:rPr>
              <w:t xml:space="preserve"> </w:t>
            </w:r>
            <w:r w:rsidRPr="00D569DD">
              <w:rPr>
                <w:rFonts w:ascii="Book Antiqua" w:eastAsia="Times New Roman" w:hAnsi="Book Antiqua" w:cs="Arial"/>
                <w:sz w:val="19"/>
                <w:szCs w:val="19"/>
                <w:lang w:eastAsia="pt-BR"/>
              </w:rPr>
              <w:t>discriminatória</w:t>
            </w:r>
            <w:r w:rsidRPr="00B12E3B">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w:t>
            </w:r>
            <w:r>
              <w:rPr>
                <w:rFonts w:ascii="Book Antiqua" w:eastAsia="Times New Roman" w:hAnsi="Book Antiqua" w:cs="Arial"/>
                <w:b/>
                <w:bCs/>
                <w:sz w:val="19"/>
                <w:szCs w:val="19"/>
                <w:lang w:eastAsia="pt-BR"/>
              </w:rPr>
              <w:t>º</w:t>
            </w:r>
            <w:r>
              <w:rPr>
                <w:rFonts w:ascii="Book Antiqua" w:eastAsia="Times New Roman" w:hAnsi="Book Antiqua" w:cs="Arial"/>
                <w:b/>
                <w:bCs/>
                <w:sz w:val="19"/>
                <w:szCs w:val="19"/>
                <w:lang w:eastAsia="pt-BR"/>
              </w:rPr>
              <w:t>, Lei 6383.</w:t>
            </w:r>
            <w:r>
              <w:rPr>
                <w:rFonts w:ascii="Book Antiqua" w:eastAsia="Times New Roman" w:hAnsi="Book Antiqua" w:cs="Arial"/>
                <w:b/>
                <w:bCs/>
                <w:sz w:val="19"/>
                <w:szCs w:val="19"/>
                <w:lang w:eastAsia="pt-BR"/>
              </w:rPr>
              <w:t xml:space="preserve"> </w:t>
            </w:r>
          </w:p>
          <w:p w14:paraId="54ECC381" w14:textId="75852485" w:rsidR="00D569DD" w:rsidRPr="00D569DD" w:rsidRDefault="00D569DD" w:rsidP="00D569DD">
            <w:pPr>
              <w:spacing w:before="100" w:beforeAutospacing="1" w:after="100" w:afterAutospacing="1"/>
              <w:jc w:val="both"/>
              <w:rPr>
                <w:rFonts w:ascii="Book Antiqua" w:eastAsia="Times New Roman" w:hAnsi="Book Antiqua" w:cs="Arial"/>
                <w:sz w:val="19"/>
                <w:szCs w:val="19"/>
                <w:lang w:eastAsia="pt-BR"/>
              </w:rPr>
            </w:pPr>
            <w:r w:rsidRPr="00D569DD">
              <w:rPr>
                <w:rFonts w:ascii="Book Antiqua" w:eastAsia="Times New Roman" w:hAnsi="Book Antiqua" w:cs="Arial"/>
                <w:b/>
                <w:bCs/>
                <w:i/>
                <w:iCs/>
                <w:color w:val="EE0000"/>
                <w:sz w:val="19"/>
                <w:szCs w:val="19"/>
                <w:lang w:eastAsia="pt-BR"/>
              </w:rPr>
              <w:t>#</w:t>
            </w:r>
            <w:r w:rsidRPr="00D569DD">
              <w:rPr>
                <w:rFonts w:ascii="Book Antiqua" w:eastAsia="Times New Roman" w:hAnsi="Book Antiqua" w:cs="Arial"/>
                <w:b/>
                <w:bCs/>
                <w:i/>
                <w:iCs/>
                <w:color w:val="EE0000"/>
                <w:sz w:val="19"/>
                <w:szCs w:val="19"/>
                <w:highlight w:val="green"/>
                <w:lang w:eastAsia="pt-BR"/>
              </w:rPr>
              <w:t>Atenção</w:t>
            </w:r>
            <w:r>
              <w:rPr>
                <w:rFonts w:ascii="Book Antiqua" w:eastAsia="Times New Roman" w:hAnsi="Book Antiqua" w:cs="Arial"/>
                <w:sz w:val="19"/>
                <w:szCs w:val="19"/>
                <w:lang w:eastAsia="pt-BR"/>
              </w:rPr>
              <w:t xml:space="preserve">: </w:t>
            </w:r>
            <w:r w:rsidRPr="00D569DD">
              <w:rPr>
                <w:rFonts w:ascii="Book Antiqua" w:eastAsia="Times New Roman" w:hAnsi="Book Antiqua" w:cs="Arial"/>
                <w:sz w:val="19"/>
                <w:szCs w:val="19"/>
                <w:lang w:eastAsia="pt-BR"/>
              </w:rPr>
              <w:t>O processo discriminatório das terras devolutas, regulado pela lei 6.383/76, tem por objetivo estabelecer a linha divisória entre as terras públicas e privadas. No âmbito federal, a ação discriminatória é proposta pelo INCRA (Rafael Oliveira, 2024).</w:t>
            </w:r>
          </w:p>
        </w:tc>
      </w:tr>
    </w:tbl>
    <w:p w14:paraId="08965AD1" w14:textId="7692FA86"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CD2918">
        <w:rPr>
          <w:rFonts w:ascii="Book Antiqua" w:eastAsia="Times New Roman" w:hAnsi="Book Antiqua" w:cs="Arial"/>
          <w:b/>
          <w:bCs/>
          <w:sz w:val="19"/>
          <w:szCs w:val="19"/>
          <w:highlight w:val="magenta"/>
          <w:lang w:eastAsia="pt-BR"/>
        </w:rPr>
        <w:t>Parágrafo único</w:t>
      </w:r>
      <w:r w:rsidRPr="00CD2918">
        <w:rPr>
          <w:rFonts w:ascii="Book Antiqua" w:eastAsia="Times New Roman" w:hAnsi="Book Antiqua" w:cs="Arial"/>
          <w:b/>
          <w:bCs/>
          <w:sz w:val="19"/>
          <w:szCs w:val="19"/>
          <w:lang w:eastAsia="pt-BR"/>
        </w:rPr>
        <w:t>. O processo discriminatório será administrativo ou judicial</w:t>
      </w:r>
      <w:r w:rsidRPr="00274FBD">
        <w:rPr>
          <w:rFonts w:ascii="Book Antiqua" w:eastAsia="Times New Roman" w:hAnsi="Book Antiqua" w:cs="Arial"/>
          <w:b/>
          <w:bCs/>
          <w:sz w:val="16"/>
          <w:szCs w:val="16"/>
          <w:lang w:eastAsia="pt-BR"/>
        </w:rPr>
        <w:t xml:space="preserve">. </w:t>
      </w:r>
      <w:r w:rsidR="000C08D3" w:rsidRPr="00274FBD">
        <w:rPr>
          <w:rFonts w:ascii="Book Antiqua" w:hAnsi="Book Antiqua"/>
          <w:b/>
          <w:bCs/>
          <w:color w:val="FF0000"/>
          <w:sz w:val="16"/>
          <w:szCs w:val="16"/>
          <w:u w:val="single"/>
        </w:rPr>
        <w:t>(TRF1-2011)</w:t>
      </w:r>
      <w:r w:rsidR="0081789F" w:rsidRPr="00274FBD">
        <w:rPr>
          <w:rFonts w:ascii="Book Antiqua" w:hAnsi="Book Antiqua"/>
          <w:b/>
          <w:bCs/>
          <w:color w:val="FF0000"/>
          <w:sz w:val="16"/>
          <w:szCs w:val="16"/>
        </w:rPr>
        <w:t xml:space="preserve"> </w:t>
      </w:r>
      <w:r w:rsidR="0081789F" w:rsidRPr="00274FBD">
        <w:rPr>
          <w:rFonts w:ascii="Book Antiqua" w:hAnsi="Book Antiqua"/>
          <w:b/>
          <w:bCs/>
          <w:color w:val="FF0000"/>
          <w:sz w:val="16"/>
          <w:szCs w:val="16"/>
          <w:u w:val="single"/>
        </w:rPr>
        <w:t>(MPRR-2012)</w:t>
      </w:r>
    </w:p>
    <w:p w14:paraId="0B26C5F1"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CAPÍTULO II</w:t>
      </w:r>
    </w:p>
    <w:p w14:paraId="69846300"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Do Processo Administrativo </w:t>
      </w:r>
    </w:p>
    <w:p w14:paraId="16D6D689"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 w:name="art2"/>
      <w:bookmarkEnd w:id="2"/>
      <w:r w:rsidRPr="000C08D3">
        <w:rPr>
          <w:rFonts w:ascii="Book Antiqua" w:eastAsia="Times New Roman" w:hAnsi="Book Antiqua" w:cs="Arial"/>
          <w:sz w:val="19"/>
          <w:szCs w:val="19"/>
          <w:lang w:eastAsia="pt-BR"/>
        </w:rPr>
        <w:t xml:space="preserve">Art. 2º - O processo discriminatório administrativo será instaurado por Comissões Especiais constituídas de três membros, a saber: um bacharel em direito do Serviço Jurídico do Instituto Nacional de Colonização e Reforma Agrária - INCRA, que a presidirá; um engenheiro agrônomo e um outro funcionário que exercerá as funções de secretário. </w:t>
      </w:r>
    </w:p>
    <w:p w14:paraId="4AF10FF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1º - As Comissões Especiais serão criadas por ato do presidente do Instituto Nacional de Colonização e Reforma Agrária </w:t>
      </w:r>
    </w:p>
    <w:p w14:paraId="1CFDB060"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INCRA, e terão jurisdição e sede estabelecidas no respectivo ato de criação, ficando os seus presidentes investidos de poderes de representação da União, para promover o processo discriminatório administrativo previsto nesta Lei. </w:t>
      </w:r>
    </w:p>
    <w:p w14:paraId="4B64173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O Instituto Nacional de Colonização e Reforma Agrária - INCRA, no prazo de 30 (trinta) dias após a vigência desta Lei, baixará Instruções Normativas, dispondo, inclusive, sobre o apoio administrativo às Comissões Especiais. </w:t>
      </w:r>
    </w:p>
    <w:p w14:paraId="59DB3F45"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 w:name="art3"/>
      <w:bookmarkEnd w:id="3"/>
      <w:r w:rsidRPr="000C08D3">
        <w:rPr>
          <w:rFonts w:ascii="Book Antiqua" w:eastAsia="Times New Roman" w:hAnsi="Book Antiqua" w:cs="Arial"/>
          <w:sz w:val="19"/>
          <w:szCs w:val="19"/>
          <w:lang w:eastAsia="pt-BR"/>
        </w:rPr>
        <w:t xml:space="preserve">Art. 3º - A Comissão Especial instruirá inicialmente o processo com memorial descritivo da área, no qual constará: </w:t>
      </w:r>
    </w:p>
    <w:p w14:paraId="4B170CF0"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 - </w:t>
      </w:r>
      <w:proofErr w:type="gramStart"/>
      <w:r w:rsidRPr="000C08D3">
        <w:rPr>
          <w:rFonts w:ascii="Book Antiqua" w:eastAsia="Times New Roman" w:hAnsi="Book Antiqua" w:cs="Arial"/>
          <w:sz w:val="19"/>
          <w:szCs w:val="19"/>
          <w:lang w:eastAsia="pt-BR"/>
        </w:rPr>
        <w:t>o</w:t>
      </w:r>
      <w:proofErr w:type="gramEnd"/>
      <w:r w:rsidRPr="000C08D3">
        <w:rPr>
          <w:rFonts w:ascii="Book Antiqua" w:eastAsia="Times New Roman" w:hAnsi="Book Antiqua" w:cs="Arial"/>
          <w:sz w:val="19"/>
          <w:szCs w:val="19"/>
          <w:lang w:eastAsia="pt-BR"/>
        </w:rPr>
        <w:t xml:space="preserve"> perímetro com suas características e </w:t>
      </w:r>
      <w:proofErr w:type="spellStart"/>
      <w:r w:rsidRPr="000C08D3">
        <w:rPr>
          <w:rFonts w:ascii="Book Antiqua" w:eastAsia="Times New Roman" w:hAnsi="Book Antiqua" w:cs="Arial"/>
          <w:sz w:val="19"/>
          <w:szCs w:val="19"/>
          <w:lang w:eastAsia="pt-BR"/>
        </w:rPr>
        <w:t>confinância</w:t>
      </w:r>
      <w:proofErr w:type="spellEnd"/>
      <w:r w:rsidRPr="000C08D3">
        <w:rPr>
          <w:rFonts w:ascii="Book Antiqua" w:eastAsia="Times New Roman" w:hAnsi="Book Antiqua" w:cs="Arial"/>
          <w:sz w:val="19"/>
          <w:szCs w:val="19"/>
          <w:lang w:eastAsia="pt-BR"/>
        </w:rPr>
        <w:t xml:space="preserve">, certa ou aproximada, aproveitando, em princípio, os acidentes naturais; </w:t>
      </w:r>
    </w:p>
    <w:p w14:paraId="4E5828FB"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II - </w:t>
      </w:r>
      <w:proofErr w:type="gramStart"/>
      <w:r w:rsidRPr="000C08D3">
        <w:rPr>
          <w:rFonts w:ascii="Book Antiqua" w:eastAsia="Times New Roman" w:hAnsi="Book Antiqua" w:cs="Arial"/>
          <w:sz w:val="19"/>
          <w:szCs w:val="19"/>
          <w:lang w:eastAsia="pt-BR"/>
        </w:rPr>
        <w:t>a</w:t>
      </w:r>
      <w:proofErr w:type="gramEnd"/>
      <w:r w:rsidRPr="000C08D3">
        <w:rPr>
          <w:rFonts w:ascii="Book Antiqua" w:eastAsia="Times New Roman" w:hAnsi="Book Antiqua" w:cs="Arial"/>
          <w:sz w:val="19"/>
          <w:szCs w:val="19"/>
          <w:lang w:eastAsia="pt-BR"/>
        </w:rPr>
        <w:t xml:space="preserve"> indicação de registro da transcrição das propriedades; </w:t>
      </w:r>
    </w:p>
    <w:p w14:paraId="2728FE3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lastRenderedPageBreak/>
        <w:t xml:space="preserve">III - o rol das ocupações conhecidas; </w:t>
      </w:r>
    </w:p>
    <w:p w14:paraId="6AACBC4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IV - </w:t>
      </w:r>
      <w:proofErr w:type="gramStart"/>
      <w:r w:rsidRPr="000C08D3">
        <w:rPr>
          <w:rFonts w:ascii="Book Antiqua" w:eastAsia="Times New Roman" w:hAnsi="Book Antiqua" w:cs="Arial"/>
          <w:sz w:val="19"/>
          <w:szCs w:val="19"/>
          <w:lang w:eastAsia="pt-BR"/>
        </w:rPr>
        <w:t>o</w:t>
      </w:r>
      <w:proofErr w:type="gramEnd"/>
      <w:r w:rsidRPr="000C08D3">
        <w:rPr>
          <w:rFonts w:ascii="Book Antiqua" w:eastAsia="Times New Roman" w:hAnsi="Book Antiqua" w:cs="Arial"/>
          <w:sz w:val="19"/>
          <w:szCs w:val="19"/>
          <w:lang w:eastAsia="pt-BR"/>
        </w:rPr>
        <w:t xml:space="preserve"> esboço circunstanciado da gleba a ser discriminada ou seu levantamento aerofotogramétrico; </w:t>
      </w:r>
    </w:p>
    <w:p w14:paraId="7FBFA9C9"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V - </w:t>
      </w:r>
      <w:proofErr w:type="gramStart"/>
      <w:r w:rsidRPr="000C08D3">
        <w:rPr>
          <w:rFonts w:ascii="Book Antiqua" w:eastAsia="Times New Roman" w:hAnsi="Book Antiqua" w:cs="Arial"/>
          <w:sz w:val="19"/>
          <w:szCs w:val="19"/>
          <w:lang w:eastAsia="pt-BR"/>
        </w:rPr>
        <w:t>outras</w:t>
      </w:r>
      <w:proofErr w:type="gramEnd"/>
      <w:r w:rsidRPr="000C08D3">
        <w:rPr>
          <w:rFonts w:ascii="Book Antiqua" w:eastAsia="Times New Roman" w:hAnsi="Book Antiqua" w:cs="Arial"/>
          <w:sz w:val="19"/>
          <w:szCs w:val="19"/>
          <w:lang w:eastAsia="pt-BR"/>
        </w:rPr>
        <w:t xml:space="preserve"> informações de interesse. </w:t>
      </w:r>
    </w:p>
    <w:p w14:paraId="76E1747C"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 w:name="art4"/>
      <w:bookmarkEnd w:id="4"/>
      <w:r w:rsidRPr="000C08D3">
        <w:rPr>
          <w:rFonts w:ascii="Book Antiqua" w:eastAsia="Times New Roman" w:hAnsi="Book Antiqua" w:cs="Arial"/>
          <w:sz w:val="19"/>
          <w:szCs w:val="19"/>
          <w:lang w:eastAsia="pt-BR"/>
        </w:rPr>
        <w:t xml:space="preserve">Art. 4º - O presidente da Comissão Especial convocará os interessados para apresentarem, no prazo de 60 (sessenta) dias e em local a ser fixado no edital de convocação, seus títulos, documentos, informações de interesse e, se for o caso, testemunhas. </w:t>
      </w:r>
    </w:p>
    <w:p w14:paraId="423EAB9D"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1º - Consideram-se de interesse as informações relativas à origem e </w:t>
      </w:r>
      <w:proofErr w:type="spellStart"/>
      <w:r w:rsidRPr="000C08D3">
        <w:rPr>
          <w:rFonts w:ascii="Book Antiqua" w:eastAsia="Times New Roman" w:hAnsi="Book Antiqua" w:cs="Arial"/>
          <w:sz w:val="19"/>
          <w:szCs w:val="19"/>
          <w:lang w:eastAsia="pt-BR"/>
        </w:rPr>
        <w:t>seqüência</w:t>
      </w:r>
      <w:proofErr w:type="spellEnd"/>
      <w:r w:rsidRPr="000C08D3">
        <w:rPr>
          <w:rFonts w:ascii="Book Antiqua" w:eastAsia="Times New Roman" w:hAnsi="Book Antiqua" w:cs="Arial"/>
          <w:sz w:val="19"/>
          <w:szCs w:val="19"/>
          <w:lang w:eastAsia="pt-BR"/>
        </w:rPr>
        <w:t xml:space="preserve"> dos títulos, localização, valor estimado e área certa ou aproximada das terras de quem se julgar legítimo proprietário ou ocupante; suas confrontações e nome dos confrontantes; natureza, qualidade e valor das benfeitorias; culturas e criações nelas existentes; financiamento e ônus incidentes sobre o imóvel e comprovantes de impostos pagos, se houver. </w:t>
      </w:r>
    </w:p>
    <w:p w14:paraId="794A7588"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O edital de convocação conterá a delimitação perimétrica da área a ser discriminada com suas características e será dirigido, nominalmente, a todos os interessados, proprietários, ocupantes, confinantes certos e respectivos cônjuges, bem como aos demais interessados incertos ou desconhecidos. </w:t>
      </w:r>
    </w:p>
    <w:p w14:paraId="388BD7E5"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3º - O edital deverá ter a maior divulgação possível, observado o seguinte procedimento: </w:t>
      </w:r>
    </w:p>
    <w:p w14:paraId="67E63ED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a) afixação em lugar público na sede dos municípios e distritos, onde se situar a área nele indicada; </w:t>
      </w:r>
    </w:p>
    <w:p w14:paraId="07057EFF"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b) publicação simultânea, por duas vezes, no Diário Oficial da União, nos órgãos oficiais do Estado ou Território Federal e na imprensa local, onde houver, com intervalo mínimo de 8 (oito) e máximo de 15 (quinze) dias entre a primeira e a segunda. </w:t>
      </w:r>
    </w:p>
    <w:p w14:paraId="78E5BBA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4º - O prazo de apresentação dos interessados será contado a partir da segunda publicação no Diário Oficial da União. </w:t>
      </w:r>
    </w:p>
    <w:p w14:paraId="205CC64B"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 w:name="art5"/>
      <w:bookmarkEnd w:id="5"/>
      <w:r w:rsidRPr="000C08D3">
        <w:rPr>
          <w:rFonts w:ascii="Book Antiqua" w:eastAsia="Times New Roman" w:hAnsi="Book Antiqua" w:cs="Arial"/>
          <w:sz w:val="19"/>
          <w:szCs w:val="19"/>
          <w:lang w:eastAsia="pt-BR"/>
        </w:rPr>
        <w:t xml:space="preserve">Art. 5º - A Comissão Especial autuará e processará a documentação recebida de cada interessado, em separado, de modo a ficar bem caracterizado o domínio ou a ocupação com suas respectivas confrontações. </w:t>
      </w:r>
    </w:p>
    <w:p w14:paraId="222FEFCF"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1º - Quando se apresentarem dois ou mais interessados no mesmo imóvel, ou parte dele, a Comissão Especial procederá à </w:t>
      </w:r>
      <w:proofErr w:type="spellStart"/>
      <w:r w:rsidRPr="000C08D3">
        <w:rPr>
          <w:rFonts w:ascii="Book Antiqua" w:eastAsia="Times New Roman" w:hAnsi="Book Antiqua" w:cs="Arial"/>
          <w:sz w:val="19"/>
          <w:szCs w:val="19"/>
          <w:lang w:eastAsia="pt-BR"/>
        </w:rPr>
        <w:t>apensação</w:t>
      </w:r>
      <w:proofErr w:type="spellEnd"/>
      <w:r w:rsidRPr="000C08D3">
        <w:rPr>
          <w:rFonts w:ascii="Book Antiqua" w:eastAsia="Times New Roman" w:hAnsi="Book Antiqua" w:cs="Arial"/>
          <w:sz w:val="19"/>
          <w:szCs w:val="19"/>
          <w:lang w:eastAsia="pt-BR"/>
        </w:rPr>
        <w:t xml:space="preserve"> dos processos. </w:t>
      </w:r>
    </w:p>
    <w:p w14:paraId="240F9365"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Serão tomadas por termo as declarações dos interessados e, se for o caso, os depoimentos de testemunhas previamente arroladas. </w:t>
      </w:r>
    </w:p>
    <w:p w14:paraId="04965034"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 w:name="art6"/>
      <w:bookmarkEnd w:id="6"/>
      <w:r w:rsidRPr="000C08D3">
        <w:rPr>
          <w:rFonts w:ascii="Book Antiqua" w:eastAsia="Times New Roman" w:hAnsi="Book Antiqua" w:cs="Arial"/>
          <w:sz w:val="19"/>
          <w:szCs w:val="19"/>
          <w:lang w:eastAsia="pt-BR"/>
        </w:rPr>
        <w:t xml:space="preserve">Art. 6º - Constituído o processo, deverá ser realizada, desde logo, obrigatoriamente, a vistoria para identificação dos imóveis e, se forem necessárias, outras diligências. </w:t>
      </w:r>
    </w:p>
    <w:p w14:paraId="158F8B72"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 w:name="art7"/>
      <w:bookmarkEnd w:id="7"/>
      <w:r w:rsidRPr="000C08D3">
        <w:rPr>
          <w:rFonts w:ascii="Book Antiqua" w:eastAsia="Times New Roman" w:hAnsi="Book Antiqua" w:cs="Arial"/>
          <w:sz w:val="19"/>
          <w:szCs w:val="19"/>
          <w:lang w:eastAsia="pt-BR"/>
        </w:rPr>
        <w:t xml:space="preserve">Art. 7º - Encerrado o prazo estabelecido no edital de convocação, o presidente da Comissão Especial, dentro de 30 (trinta) dias improrrogáveis, deverá pronunciar-se sobre as alegações, títulos de domínio, documentos dos interessados e boa-fé das ocupações, mandando lavrar os respectivos termos. </w:t>
      </w:r>
    </w:p>
    <w:p w14:paraId="3EE562DD" w14:textId="0F8751BF"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8" w:name="art8"/>
      <w:bookmarkEnd w:id="8"/>
      <w:r w:rsidRPr="00CD2918">
        <w:rPr>
          <w:rFonts w:ascii="Book Antiqua" w:eastAsia="Times New Roman" w:hAnsi="Book Antiqua" w:cs="Arial"/>
          <w:b/>
          <w:bCs/>
          <w:sz w:val="19"/>
          <w:szCs w:val="19"/>
          <w:highlight w:val="magenta"/>
          <w:lang w:eastAsia="pt-BR"/>
        </w:rPr>
        <w:t>Art. 8º</w:t>
      </w:r>
      <w:r w:rsidRPr="000C08D3">
        <w:rPr>
          <w:rFonts w:ascii="Book Antiqua" w:eastAsia="Times New Roman" w:hAnsi="Book Antiqua" w:cs="Arial"/>
          <w:sz w:val="19"/>
          <w:szCs w:val="19"/>
          <w:lang w:eastAsia="pt-BR"/>
        </w:rPr>
        <w:t xml:space="preserve"> </w:t>
      </w:r>
      <w:r w:rsidRPr="00CD2918">
        <w:rPr>
          <w:rFonts w:ascii="Book Antiqua" w:eastAsia="Times New Roman" w:hAnsi="Book Antiqua" w:cs="Arial"/>
          <w:b/>
          <w:bCs/>
          <w:sz w:val="19"/>
          <w:szCs w:val="19"/>
          <w:lang w:eastAsia="pt-BR"/>
        </w:rPr>
        <w:t>- Reconhecida a existência de dúvida sobre a legitimidade do título, o presidente da Comissão Especial reduzirá a termo as irregularidades encontradas, encaminhando-o à Procuradoria do Instituto Nacional de Colonização e Reforma Agrária - INCRA, para propositura da ação competente</w:t>
      </w:r>
      <w:r w:rsidRPr="00274FBD">
        <w:rPr>
          <w:rFonts w:ascii="Book Antiqua" w:eastAsia="Times New Roman" w:hAnsi="Book Antiqua" w:cs="Arial"/>
          <w:sz w:val="18"/>
          <w:szCs w:val="18"/>
          <w:lang w:eastAsia="pt-BR"/>
        </w:rPr>
        <w:t xml:space="preserve">. </w:t>
      </w:r>
      <w:r w:rsidR="00CD2918" w:rsidRPr="00274FBD">
        <w:rPr>
          <w:rFonts w:ascii="Book Antiqua" w:hAnsi="Book Antiqua"/>
          <w:b/>
          <w:bCs/>
          <w:color w:val="FF0000"/>
          <w:sz w:val="16"/>
          <w:szCs w:val="16"/>
          <w:u w:val="single"/>
        </w:rPr>
        <w:t>(PGEPA-2012)</w:t>
      </w:r>
    </w:p>
    <w:p w14:paraId="010E98F2"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 w:name="art9"/>
      <w:bookmarkEnd w:id="9"/>
      <w:r w:rsidRPr="000C08D3">
        <w:rPr>
          <w:rFonts w:ascii="Book Antiqua" w:eastAsia="Times New Roman" w:hAnsi="Book Antiqua" w:cs="Arial"/>
          <w:sz w:val="19"/>
          <w:szCs w:val="19"/>
          <w:lang w:eastAsia="pt-BR"/>
        </w:rPr>
        <w:t xml:space="preserve">Art. 9º - Encontradas ocupações, legitimáveis ou não, serão lavrados os respectivos termos de identificação, que serão encaminhados ao órgão competente do Instituto Nacional de Colonização e Reforma Agrária - INCRA, para as providências cabíveis. </w:t>
      </w:r>
    </w:p>
    <w:p w14:paraId="280E3B88"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 w:name="art10"/>
      <w:bookmarkEnd w:id="10"/>
      <w:r w:rsidRPr="000C08D3">
        <w:rPr>
          <w:rFonts w:ascii="Book Antiqua" w:eastAsia="Times New Roman" w:hAnsi="Book Antiqua" w:cs="Arial"/>
          <w:sz w:val="19"/>
          <w:szCs w:val="19"/>
          <w:lang w:eastAsia="pt-BR"/>
        </w:rPr>
        <w:lastRenderedPageBreak/>
        <w:t xml:space="preserve">Art. 10 - Serão notificados, por ofício, os interessados e seus cônjuges para, no prazo não inferior a 8 (oito) nem superior a 30 (trinta) dias, a contar da juntada ao processo do recibo de notificação, celebrarem com a União os termos cabíveis. </w:t>
      </w:r>
    </w:p>
    <w:p w14:paraId="450E8C0D"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 w:name="art11"/>
      <w:bookmarkEnd w:id="11"/>
      <w:r w:rsidRPr="000C08D3">
        <w:rPr>
          <w:rFonts w:ascii="Book Antiqua" w:eastAsia="Times New Roman" w:hAnsi="Book Antiqua" w:cs="Arial"/>
          <w:sz w:val="19"/>
          <w:szCs w:val="19"/>
          <w:lang w:eastAsia="pt-BR"/>
        </w:rPr>
        <w:t xml:space="preserve">Art. 11 - Celebrado, em cada caso, o termo que couber, o presidente da Comissão Especial designará agrimensor para, em dia e hora avençados com os interessados, iniciar o levantamento geodésico e topográfico das terras objeto de discriminação, ao fim da qual determinará a demarcação das terras devolutas, bem como, se for o caso, das retificações objeto de acordo. </w:t>
      </w:r>
    </w:p>
    <w:p w14:paraId="5A1FA42D"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1º - Aos interessados será permitido indicar um perito para colaborar com o agrimensor designado. </w:t>
      </w:r>
    </w:p>
    <w:p w14:paraId="0AEA4597"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A designação do perito, a que se refere o parágrafo anterior, deverá ser feita até a véspera do dia fixado para início do levantamento geodésico e topográfico. </w:t>
      </w:r>
    </w:p>
    <w:p w14:paraId="587C7344"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 w:name="art12"/>
      <w:bookmarkEnd w:id="12"/>
      <w:r w:rsidRPr="000C08D3">
        <w:rPr>
          <w:rFonts w:ascii="Book Antiqua" w:eastAsia="Times New Roman" w:hAnsi="Book Antiqua" w:cs="Arial"/>
          <w:sz w:val="19"/>
          <w:szCs w:val="19"/>
          <w:lang w:eastAsia="pt-BR"/>
        </w:rPr>
        <w:t xml:space="preserve">Art. 12 - Concluídos os trabalhos demarcatórios, o presidente da Comissão Especial mandará lavrar o termo de encerramento da discriminação administrativa, do qual constarão, obrigatoriamente: </w:t>
      </w:r>
    </w:p>
    <w:p w14:paraId="395EE77F"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 - </w:t>
      </w:r>
      <w:proofErr w:type="gramStart"/>
      <w:r w:rsidRPr="000C08D3">
        <w:rPr>
          <w:rFonts w:ascii="Book Antiqua" w:eastAsia="Times New Roman" w:hAnsi="Book Antiqua" w:cs="Arial"/>
          <w:sz w:val="19"/>
          <w:szCs w:val="19"/>
          <w:lang w:eastAsia="pt-BR"/>
        </w:rPr>
        <w:t>o</w:t>
      </w:r>
      <w:proofErr w:type="gramEnd"/>
      <w:r w:rsidRPr="000C08D3">
        <w:rPr>
          <w:rFonts w:ascii="Book Antiqua" w:eastAsia="Times New Roman" w:hAnsi="Book Antiqua" w:cs="Arial"/>
          <w:sz w:val="19"/>
          <w:szCs w:val="19"/>
          <w:lang w:eastAsia="pt-BR"/>
        </w:rPr>
        <w:t xml:space="preserve"> mapa detalhado da área discriminada; </w:t>
      </w:r>
    </w:p>
    <w:p w14:paraId="08E3CD47"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II - </w:t>
      </w:r>
      <w:proofErr w:type="gramStart"/>
      <w:r w:rsidRPr="000C08D3">
        <w:rPr>
          <w:rFonts w:ascii="Book Antiqua" w:eastAsia="Times New Roman" w:hAnsi="Book Antiqua" w:cs="Arial"/>
          <w:sz w:val="19"/>
          <w:szCs w:val="19"/>
          <w:lang w:eastAsia="pt-BR"/>
        </w:rPr>
        <w:t>o</w:t>
      </w:r>
      <w:proofErr w:type="gramEnd"/>
      <w:r w:rsidRPr="000C08D3">
        <w:rPr>
          <w:rFonts w:ascii="Book Antiqua" w:eastAsia="Times New Roman" w:hAnsi="Book Antiqua" w:cs="Arial"/>
          <w:sz w:val="19"/>
          <w:szCs w:val="19"/>
          <w:lang w:eastAsia="pt-BR"/>
        </w:rPr>
        <w:t xml:space="preserve"> rol de terras devolutas apuradas, com suas respectivas confrontações; </w:t>
      </w:r>
    </w:p>
    <w:p w14:paraId="2646E3FA"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III - a descrição dos acordos realizados; </w:t>
      </w:r>
    </w:p>
    <w:p w14:paraId="08A4B6BB"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IV - </w:t>
      </w:r>
      <w:proofErr w:type="gramStart"/>
      <w:r w:rsidRPr="000C08D3">
        <w:rPr>
          <w:rFonts w:ascii="Book Antiqua" w:eastAsia="Times New Roman" w:hAnsi="Book Antiqua" w:cs="Arial"/>
          <w:sz w:val="19"/>
          <w:szCs w:val="19"/>
          <w:lang w:eastAsia="pt-BR"/>
        </w:rPr>
        <w:t>a</w:t>
      </w:r>
      <w:proofErr w:type="gramEnd"/>
      <w:r w:rsidRPr="000C08D3">
        <w:rPr>
          <w:rFonts w:ascii="Book Antiqua" w:eastAsia="Times New Roman" w:hAnsi="Book Antiqua" w:cs="Arial"/>
          <w:sz w:val="19"/>
          <w:szCs w:val="19"/>
          <w:lang w:eastAsia="pt-BR"/>
        </w:rPr>
        <w:t xml:space="preserve"> relação das áreas com titulação transcrita no Registro de Imóveis, cujos presumidos proprietários ou ocupantes não atenderam ao edital de convocação ou à notificação (artigos 4º e 10 desta Lei); </w:t>
      </w:r>
    </w:p>
    <w:p w14:paraId="3202CD4C"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V - </w:t>
      </w:r>
      <w:proofErr w:type="gramStart"/>
      <w:r w:rsidRPr="000C08D3">
        <w:rPr>
          <w:rFonts w:ascii="Book Antiqua" w:eastAsia="Times New Roman" w:hAnsi="Book Antiqua" w:cs="Arial"/>
          <w:sz w:val="19"/>
          <w:szCs w:val="19"/>
          <w:lang w:eastAsia="pt-BR"/>
        </w:rPr>
        <w:t>o</w:t>
      </w:r>
      <w:proofErr w:type="gramEnd"/>
      <w:r w:rsidRPr="000C08D3">
        <w:rPr>
          <w:rFonts w:ascii="Book Antiqua" w:eastAsia="Times New Roman" w:hAnsi="Book Antiqua" w:cs="Arial"/>
          <w:sz w:val="19"/>
          <w:szCs w:val="19"/>
          <w:lang w:eastAsia="pt-BR"/>
        </w:rPr>
        <w:t xml:space="preserve"> rol das ocupações legitimáveis; </w:t>
      </w:r>
    </w:p>
    <w:p w14:paraId="308A9A47"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VI - </w:t>
      </w:r>
      <w:proofErr w:type="gramStart"/>
      <w:r w:rsidRPr="000C08D3">
        <w:rPr>
          <w:rFonts w:ascii="Book Antiqua" w:eastAsia="Times New Roman" w:hAnsi="Book Antiqua" w:cs="Arial"/>
          <w:sz w:val="19"/>
          <w:szCs w:val="19"/>
          <w:lang w:eastAsia="pt-BR"/>
        </w:rPr>
        <w:t>o</w:t>
      </w:r>
      <w:proofErr w:type="gramEnd"/>
      <w:r w:rsidRPr="000C08D3">
        <w:rPr>
          <w:rFonts w:ascii="Book Antiqua" w:eastAsia="Times New Roman" w:hAnsi="Book Antiqua" w:cs="Arial"/>
          <w:sz w:val="19"/>
          <w:szCs w:val="19"/>
          <w:lang w:eastAsia="pt-BR"/>
        </w:rPr>
        <w:t xml:space="preserve"> rol das propriedades reconhecidas; e </w:t>
      </w:r>
    </w:p>
    <w:p w14:paraId="504D5C1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VII - a relação dos imóveis cujos títulos suscitaram dúvidas. </w:t>
      </w:r>
    </w:p>
    <w:p w14:paraId="42D22D47" w14:textId="62B243B7" w:rsidR="003C225B" w:rsidRPr="00DF0AF3" w:rsidRDefault="003C225B" w:rsidP="003C225B">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3" w:name="art13"/>
      <w:bookmarkEnd w:id="13"/>
      <w:r w:rsidRPr="000C08D3">
        <w:rPr>
          <w:rFonts w:ascii="Book Antiqua" w:eastAsia="Times New Roman" w:hAnsi="Book Antiqua" w:cs="Arial"/>
          <w:b/>
          <w:bCs/>
          <w:sz w:val="19"/>
          <w:szCs w:val="19"/>
          <w:highlight w:val="magenta"/>
          <w:lang w:eastAsia="pt-BR"/>
        </w:rPr>
        <w:t>Art. 13</w:t>
      </w:r>
      <w:r w:rsidRPr="000C08D3">
        <w:rPr>
          <w:rFonts w:ascii="Book Antiqua" w:eastAsia="Times New Roman" w:hAnsi="Book Antiqua" w:cs="Arial"/>
          <w:sz w:val="19"/>
          <w:szCs w:val="19"/>
          <w:lang w:eastAsia="pt-BR"/>
        </w:rPr>
        <w:t xml:space="preserve"> - </w:t>
      </w:r>
      <w:r w:rsidRPr="00CD2918">
        <w:rPr>
          <w:rFonts w:ascii="Book Antiqua" w:eastAsia="Times New Roman" w:hAnsi="Book Antiqua" w:cs="Arial"/>
          <w:b/>
          <w:bCs/>
          <w:sz w:val="19"/>
          <w:szCs w:val="19"/>
          <w:lang w:eastAsia="pt-BR"/>
        </w:rPr>
        <w:t>Encerrado o processo discriminatório, o Instituto Nacional de Colonização e Reforma Agrária - INCRA providenciará o registro, em nome da União, das terras devolutas discriminadas, definidas em lei, como bens da União</w:t>
      </w:r>
      <w:r w:rsidRPr="00274FBD">
        <w:rPr>
          <w:rFonts w:ascii="Book Antiqua" w:eastAsia="Times New Roman" w:hAnsi="Book Antiqua" w:cs="Arial"/>
          <w:sz w:val="16"/>
          <w:szCs w:val="16"/>
          <w:lang w:eastAsia="pt-BR"/>
        </w:rPr>
        <w:t xml:space="preserve">. </w:t>
      </w:r>
      <w:r w:rsidR="00587349" w:rsidRPr="00274FBD">
        <w:rPr>
          <w:rFonts w:ascii="Book Antiqua" w:eastAsia="Times New Roman" w:hAnsi="Book Antiqua" w:cs="Times New Roman"/>
          <w:b/>
          <w:color w:val="FF0000"/>
          <w:sz w:val="16"/>
          <w:szCs w:val="16"/>
          <w:u w:val="single"/>
          <w:lang w:eastAsia="pt-BR"/>
        </w:rPr>
        <w:t>(TRF</w:t>
      </w:r>
      <w:r w:rsidR="00587349" w:rsidRPr="00274FBD">
        <w:rPr>
          <w:rFonts w:ascii="Book Antiqua" w:hAnsi="Book Antiqua"/>
          <w:b/>
          <w:color w:val="FF0000"/>
          <w:sz w:val="16"/>
          <w:szCs w:val="16"/>
          <w:u w:val="single"/>
        </w:rPr>
        <w:t>5</w:t>
      </w:r>
      <w:r w:rsidR="00587349" w:rsidRPr="00274FBD">
        <w:rPr>
          <w:rFonts w:ascii="Book Antiqua" w:eastAsia="Times New Roman" w:hAnsi="Book Antiqua" w:cs="Times New Roman"/>
          <w:b/>
          <w:color w:val="FF0000"/>
          <w:sz w:val="16"/>
          <w:szCs w:val="16"/>
          <w:u w:val="single"/>
          <w:lang w:eastAsia="pt-BR"/>
        </w:rPr>
        <w:t>-2009)</w:t>
      </w:r>
      <w:r w:rsidR="00DF0AF3">
        <w:rPr>
          <w:rFonts w:ascii="Book Antiqua" w:eastAsia="Times New Roman" w:hAnsi="Book Antiqua" w:cs="Times New Roman"/>
          <w:b/>
          <w:color w:val="FF0000"/>
          <w:sz w:val="16"/>
          <w:szCs w:val="16"/>
          <w:lang w:eastAsia="pt-BR"/>
        </w:rPr>
        <w:t xml:space="preserve"> </w:t>
      </w:r>
      <w:r w:rsidR="00DF0AF3" w:rsidRPr="00804E95">
        <w:rPr>
          <w:rFonts w:ascii="Book Antiqua" w:hAnsi="Book Antiqua"/>
          <w:b/>
          <w:color w:val="FF0000"/>
          <w:sz w:val="16"/>
          <w:szCs w:val="16"/>
          <w:u w:val="single"/>
        </w:rPr>
        <w:t>(PGEGO-20</w:t>
      </w:r>
      <w:r w:rsidR="00DF0AF3">
        <w:rPr>
          <w:rFonts w:ascii="Book Antiqua" w:hAnsi="Book Antiqua"/>
          <w:b/>
          <w:color w:val="FF0000"/>
          <w:sz w:val="16"/>
          <w:szCs w:val="16"/>
          <w:u w:val="single"/>
        </w:rPr>
        <w:t>21</w:t>
      </w:r>
      <w:r w:rsidR="00DF0AF3" w:rsidRPr="00804E95">
        <w:rPr>
          <w:rFonts w:ascii="Book Antiqua" w:hAnsi="Book Antiqua"/>
          <w:b/>
          <w:color w:val="FF0000"/>
          <w:sz w:val="16"/>
          <w:szCs w:val="16"/>
          <w:u w:val="single"/>
        </w:rPr>
        <w:t>)</w:t>
      </w:r>
    </w:p>
    <w:p w14:paraId="141FD79C" w14:textId="77777777" w:rsidR="003C225B"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Parágrafo único. Caberá ao oficial do Registro de Imóveis proceder à matrícula e ao registro da área devoluta discriminada em nome da União. </w:t>
      </w:r>
    </w:p>
    <w:tbl>
      <w:tblPr>
        <w:tblStyle w:val="Tabelacomgrade"/>
        <w:tblW w:w="0" w:type="auto"/>
        <w:shd w:val="clear" w:color="auto" w:fill="CCFFFF"/>
        <w:tblLook w:val="04A0" w:firstRow="1" w:lastRow="0" w:firstColumn="1" w:lastColumn="0" w:noHBand="0" w:noVBand="1"/>
      </w:tblPr>
      <w:tblGrid>
        <w:gridCol w:w="8494"/>
      </w:tblGrid>
      <w:tr w:rsidR="00DF0AF3" w:rsidRPr="000C08D3" w14:paraId="1D725D36" w14:textId="77777777" w:rsidTr="00EB3678">
        <w:tc>
          <w:tcPr>
            <w:tcW w:w="8494" w:type="dxa"/>
            <w:shd w:val="clear" w:color="auto" w:fill="CCFFFF"/>
          </w:tcPr>
          <w:p w14:paraId="6B184740" w14:textId="6C9E933A" w:rsidR="00DF0AF3" w:rsidRPr="000C08D3" w:rsidRDefault="00DF0AF3" w:rsidP="00EB3678">
            <w:pPr>
              <w:spacing w:before="100" w:beforeAutospacing="1" w:after="100" w:afterAutospacing="1"/>
              <w:jc w:val="both"/>
              <w:rPr>
                <w:rFonts w:ascii="Book Antiqua" w:eastAsia="Times New Roman" w:hAnsi="Book Antiqua" w:cs="Arial"/>
                <w:sz w:val="19"/>
                <w:szCs w:val="19"/>
                <w:lang w:eastAsia="pt-BR"/>
              </w:rPr>
            </w:pPr>
            <w:r w:rsidRPr="00DF0AF3">
              <w:rPr>
                <w:rFonts w:ascii="Book Antiqua" w:eastAsia="Times New Roman" w:hAnsi="Book Antiqua" w:cs="Arial"/>
                <w:b/>
                <w:i/>
                <w:iCs/>
                <w:color w:val="FF0000"/>
                <w:sz w:val="19"/>
                <w:szCs w:val="19"/>
                <w:lang w:eastAsia="pt-BR"/>
              </w:rPr>
              <w:t>#</w:t>
            </w:r>
            <w:r w:rsidRPr="00DF0AF3">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DF0AF3">
              <w:rPr>
                <w:rFonts w:ascii="Book Antiqua" w:eastAsia="Times New Roman" w:hAnsi="Book Antiqua" w:cs="Arial"/>
                <w:b/>
                <w:i/>
                <w:iCs/>
                <w:color w:val="FF0000"/>
                <w:sz w:val="19"/>
                <w:szCs w:val="19"/>
                <w:highlight w:val="green"/>
                <w:lang w:eastAsia="pt-BR"/>
              </w:rPr>
              <w:t>STJ</w:t>
            </w:r>
            <w:r>
              <w:rPr>
                <w:rFonts w:ascii="Book Antiqua" w:eastAsia="Times New Roman" w:hAnsi="Book Antiqua" w:cs="Arial"/>
                <w:b/>
                <w:i/>
                <w:iCs/>
                <w:color w:val="FF0000"/>
                <w:sz w:val="19"/>
                <w:szCs w:val="19"/>
                <w:lang w:eastAsia="pt-BR"/>
              </w:rPr>
              <w:t>: #</w:t>
            </w:r>
            <w:r w:rsidRPr="00DF0AF3">
              <w:rPr>
                <w:rFonts w:ascii="Book Antiqua" w:eastAsia="Times New Roman" w:hAnsi="Book Antiqua" w:cs="Arial"/>
                <w:b/>
                <w:i/>
                <w:iCs/>
                <w:color w:val="FF0000"/>
                <w:sz w:val="19"/>
                <w:szCs w:val="19"/>
                <w:highlight w:val="green"/>
                <w:lang w:eastAsia="pt-BR"/>
              </w:rPr>
              <w:t>PGEGO-2021</w:t>
            </w:r>
            <w:r>
              <w:rPr>
                <w:rFonts w:ascii="Book Antiqua" w:eastAsia="Times New Roman" w:hAnsi="Book Antiqua" w:cs="Arial"/>
                <w:b/>
                <w:i/>
                <w:iCs/>
                <w:color w:val="FF0000"/>
                <w:sz w:val="19"/>
                <w:szCs w:val="19"/>
                <w:lang w:eastAsia="pt-BR"/>
              </w:rPr>
              <w:t>: #</w:t>
            </w:r>
            <w:r w:rsidRPr="00DF0AF3">
              <w:rPr>
                <w:rFonts w:ascii="Book Antiqua" w:eastAsia="Times New Roman" w:hAnsi="Book Antiqua" w:cs="Arial"/>
                <w:b/>
                <w:i/>
                <w:iCs/>
                <w:color w:val="FF0000"/>
                <w:sz w:val="19"/>
                <w:szCs w:val="19"/>
                <w:highlight w:val="green"/>
                <w:lang w:eastAsia="pt-BR"/>
              </w:rPr>
              <w:t>FCC</w:t>
            </w:r>
            <w:r w:rsidRPr="000C08D3">
              <w:rPr>
                <w:rFonts w:ascii="Book Antiqua" w:eastAsia="Times New Roman" w:hAnsi="Book Antiqua" w:cs="Arial"/>
                <w:sz w:val="19"/>
                <w:szCs w:val="19"/>
                <w:lang w:eastAsia="pt-BR"/>
              </w:rPr>
              <w:t xml:space="preserve">: </w:t>
            </w:r>
            <w:r w:rsidRPr="00DF0AF3">
              <w:rPr>
                <w:rFonts w:ascii="Book Antiqua" w:eastAsia="Times New Roman" w:hAnsi="Book Antiqua" w:cs="Arial"/>
                <w:sz w:val="19"/>
                <w:szCs w:val="19"/>
                <w:lang w:eastAsia="pt-BR"/>
              </w:rPr>
              <w:t xml:space="preserve">PROCESSUAL CIVIL E ADMINISTRATIVO. AÇÃO DISCRIMINATÓRIA. TERRAS DEVOLUTAS DO ESTADO DO PIAUÍ. COMPETÊNCIA ABSOLUTA. FORO DA SITUAÇÃO DA COISA. REGISTROS IMOBILIÁRIOS EM NOME DE PARTICULARES. PRESUNÇÃO RELATIVA DO DIREITO DE PROPRIEDADE. FALSIDADE DOS TÍTULOS. ÔNUS PROBATÓRIO DO AUTOR. LEGITIMIDADE DA POSSE. CONCESSÃO DE DIREITO DE USO. PRODUÇÃO DE PROVA. OCUPANTE DE TERRA PÚBLICA. OBRIGAÇÃO. (...) 4. </w:t>
            </w:r>
            <w:r w:rsidRPr="00DF0AF3">
              <w:rPr>
                <w:rFonts w:ascii="Book Antiqua" w:eastAsia="Times New Roman" w:hAnsi="Book Antiqua" w:cs="Arial"/>
                <w:b/>
                <w:bCs/>
                <w:sz w:val="19"/>
                <w:szCs w:val="19"/>
                <w:highlight w:val="yellow"/>
                <w:lang w:eastAsia="pt-BR"/>
              </w:rPr>
              <w:t xml:space="preserve">A ação discriminatória é o procedimento judicial adequado para separar as terras devolutas </w:t>
            </w:r>
            <w:proofErr w:type="gramStart"/>
            <w:r w:rsidRPr="00DF0AF3">
              <w:rPr>
                <w:rFonts w:ascii="Book Antiqua" w:eastAsia="Times New Roman" w:hAnsi="Book Antiqua" w:cs="Arial"/>
                <w:b/>
                <w:bCs/>
                <w:sz w:val="19"/>
                <w:szCs w:val="19"/>
                <w:highlight w:val="yellow"/>
                <w:lang w:eastAsia="pt-BR"/>
              </w:rPr>
              <w:t>das particulares</w:t>
            </w:r>
            <w:proofErr w:type="gramEnd"/>
            <w:r w:rsidRPr="00DF0AF3">
              <w:rPr>
                <w:rFonts w:ascii="Book Antiqua" w:eastAsia="Times New Roman" w:hAnsi="Book Antiqua" w:cs="Arial"/>
                <w:b/>
                <w:bCs/>
                <w:sz w:val="19"/>
                <w:szCs w:val="19"/>
                <w:highlight w:val="yellow"/>
                <w:lang w:eastAsia="pt-BR"/>
              </w:rPr>
              <w:t xml:space="preserve"> e também se presta ao cancelamento dos títulos de domínio, não havendo necessidade da propositura de ação exclusiva para a regularidade ou nulidade dos registros imobiliários (</w:t>
            </w:r>
            <w:proofErr w:type="spellStart"/>
            <w:r w:rsidRPr="00DF0AF3">
              <w:rPr>
                <w:rFonts w:ascii="Book Antiqua" w:eastAsia="Times New Roman" w:hAnsi="Book Antiqua" w:cs="Arial"/>
                <w:b/>
                <w:bCs/>
                <w:sz w:val="19"/>
                <w:szCs w:val="19"/>
                <w:highlight w:val="yellow"/>
                <w:lang w:eastAsia="pt-BR"/>
              </w:rPr>
              <w:t>ex</w:t>
            </w:r>
            <w:proofErr w:type="spellEnd"/>
            <w:r w:rsidRPr="00DF0AF3">
              <w:rPr>
                <w:rFonts w:ascii="Book Antiqua" w:eastAsia="Times New Roman" w:hAnsi="Book Antiqua" w:cs="Arial"/>
                <w:b/>
                <w:bCs/>
                <w:sz w:val="19"/>
                <w:szCs w:val="19"/>
                <w:highlight w:val="yellow"/>
                <w:lang w:eastAsia="pt-BR"/>
              </w:rPr>
              <w:t xml:space="preserve"> vi do art. 27, c/c o art. 13 da Lei 6.383/76, 214, 249 e 250 da Lei 6.015/73)</w:t>
            </w:r>
            <w:r w:rsidRPr="00DF0AF3">
              <w:rPr>
                <w:rFonts w:ascii="Book Antiqua" w:eastAsia="Times New Roman" w:hAnsi="Book Antiqua" w:cs="Arial"/>
                <w:sz w:val="19"/>
                <w:szCs w:val="19"/>
                <w:lang w:eastAsia="pt-BR"/>
              </w:rPr>
              <w:t xml:space="preserve">. 5."O registro do título translativo no cartório de imóveis não gera presunção absoluta do direito real de propriedade, mas relativa, vale dizer, admite prova em sentido contrário (CC/16, art. 527; CC/02, art. 1.231)." REsp 466.500/RS, relatora Ministra DENISE ARRUDA, Órgão Julgador T1 - PRIMEIRA TURMA, Data da Publicação/Fonte DJ 03/04/06). 6. </w:t>
            </w:r>
            <w:r w:rsidRPr="00DF0AF3">
              <w:rPr>
                <w:rFonts w:ascii="Book Antiqua" w:eastAsia="Times New Roman" w:hAnsi="Book Antiqua" w:cs="Arial"/>
                <w:b/>
                <w:bCs/>
                <w:sz w:val="19"/>
                <w:szCs w:val="19"/>
                <w:highlight w:val="yellow"/>
                <w:lang w:eastAsia="pt-BR"/>
              </w:rPr>
              <w:t xml:space="preserve">A Corte Especial do Superior Tribunal de Justiça, ao julgar o </w:t>
            </w:r>
            <w:proofErr w:type="spellStart"/>
            <w:r w:rsidRPr="00DF0AF3">
              <w:rPr>
                <w:rFonts w:ascii="Book Antiqua" w:eastAsia="Times New Roman" w:hAnsi="Book Antiqua" w:cs="Arial"/>
                <w:b/>
                <w:bCs/>
                <w:sz w:val="19"/>
                <w:szCs w:val="19"/>
                <w:highlight w:val="yellow"/>
                <w:lang w:eastAsia="pt-BR"/>
              </w:rPr>
              <w:t>EREsp</w:t>
            </w:r>
            <w:proofErr w:type="spellEnd"/>
            <w:r w:rsidRPr="00DF0AF3">
              <w:rPr>
                <w:rFonts w:ascii="Book Antiqua" w:eastAsia="Times New Roman" w:hAnsi="Book Antiqua" w:cs="Arial"/>
                <w:b/>
                <w:bCs/>
                <w:sz w:val="19"/>
                <w:szCs w:val="19"/>
                <w:highlight w:val="yellow"/>
                <w:lang w:eastAsia="pt-BR"/>
              </w:rPr>
              <w:t xml:space="preserve"> 617.428/SP (</w:t>
            </w:r>
            <w:proofErr w:type="spellStart"/>
            <w:r w:rsidRPr="00DF0AF3">
              <w:rPr>
                <w:rFonts w:ascii="Book Antiqua" w:eastAsia="Times New Roman" w:hAnsi="Book Antiqua" w:cs="Arial"/>
                <w:b/>
                <w:bCs/>
                <w:sz w:val="19"/>
                <w:szCs w:val="19"/>
                <w:highlight w:val="yellow"/>
                <w:lang w:eastAsia="pt-BR"/>
              </w:rPr>
              <w:t>DJe</w:t>
            </w:r>
            <w:proofErr w:type="spellEnd"/>
            <w:r w:rsidRPr="00DF0AF3">
              <w:rPr>
                <w:rFonts w:ascii="Book Antiqua" w:eastAsia="Times New Roman" w:hAnsi="Book Antiqua" w:cs="Arial"/>
                <w:b/>
                <w:bCs/>
                <w:sz w:val="19"/>
                <w:szCs w:val="19"/>
                <w:highlight w:val="yellow"/>
                <w:lang w:eastAsia="pt-BR"/>
              </w:rPr>
              <w:t xml:space="preserve"> 17/06/14), firmou o entendimento de que, "se as terras devolutas são definidas pelo critério de exclusão, cabe ao Estado na ação discriminatória demonstrar que a terra não se encontra no domínio de particular, podendo fazê-lo por meio de certidão cartorária" ou outros meios em direito permitidos (</w:t>
            </w:r>
            <w:proofErr w:type="spellStart"/>
            <w:r w:rsidRPr="00DF0AF3">
              <w:rPr>
                <w:rFonts w:ascii="Book Antiqua" w:eastAsia="Times New Roman" w:hAnsi="Book Antiqua" w:cs="Arial"/>
                <w:b/>
                <w:bCs/>
                <w:sz w:val="19"/>
                <w:szCs w:val="19"/>
                <w:highlight w:val="yellow"/>
                <w:lang w:eastAsia="pt-BR"/>
              </w:rPr>
              <w:t>ex</w:t>
            </w:r>
            <w:proofErr w:type="spellEnd"/>
            <w:r w:rsidRPr="00DF0AF3">
              <w:rPr>
                <w:rFonts w:ascii="Book Antiqua" w:eastAsia="Times New Roman" w:hAnsi="Book Antiqua" w:cs="Arial"/>
                <w:b/>
                <w:bCs/>
                <w:sz w:val="19"/>
                <w:szCs w:val="19"/>
                <w:highlight w:val="yellow"/>
                <w:lang w:eastAsia="pt-BR"/>
              </w:rPr>
              <w:t xml:space="preserve"> vi dos </w:t>
            </w:r>
            <w:proofErr w:type="spellStart"/>
            <w:r w:rsidRPr="00DF0AF3">
              <w:rPr>
                <w:rFonts w:ascii="Book Antiqua" w:eastAsia="Times New Roman" w:hAnsi="Book Antiqua" w:cs="Arial"/>
                <w:b/>
                <w:bCs/>
                <w:sz w:val="19"/>
                <w:szCs w:val="19"/>
                <w:highlight w:val="yellow"/>
                <w:lang w:eastAsia="pt-BR"/>
              </w:rPr>
              <w:t>arts</w:t>
            </w:r>
            <w:proofErr w:type="spellEnd"/>
            <w:r w:rsidRPr="00DF0AF3">
              <w:rPr>
                <w:rFonts w:ascii="Book Antiqua" w:eastAsia="Times New Roman" w:hAnsi="Book Antiqua" w:cs="Arial"/>
                <w:b/>
                <w:bCs/>
                <w:sz w:val="19"/>
                <w:szCs w:val="19"/>
                <w:highlight w:val="yellow"/>
                <w:lang w:eastAsia="pt-BR"/>
              </w:rPr>
              <w:t>. 333, I, e 390 do CPC/73)</w:t>
            </w:r>
            <w:r w:rsidRPr="00DF0AF3">
              <w:rPr>
                <w:rFonts w:ascii="Book Antiqua" w:eastAsia="Times New Roman" w:hAnsi="Book Antiqua" w:cs="Arial"/>
                <w:sz w:val="19"/>
                <w:szCs w:val="19"/>
                <w:lang w:eastAsia="pt-BR"/>
              </w:rPr>
              <w:t xml:space="preserve">. </w:t>
            </w:r>
            <w:r w:rsidRPr="00DF0AF3">
              <w:rPr>
                <w:rFonts w:ascii="Book Antiqua" w:eastAsia="Times New Roman" w:hAnsi="Book Antiqua" w:cs="Arial"/>
                <w:sz w:val="19"/>
                <w:szCs w:val="19"/>
                <w:lang w:eastAsia="pt-BR"/>
              </w:rPr>
              <w:lastRenderedPageBreak/>
              <w:t xml:space="preserve">(...) . (STJ - </w:t>
            </w:r>
            <w:proofErr w:type="spellStart"/>
            <w:r w:rsidRPr="00DF0AF3">
              <w:rPr>
                <w:rFonts w:ascii="Book Antiqua" w:eastAsia="Times New Roman" w:hAnsi="Book Antiqua" w:cs="Arial"/>
                <w:sz w:val="19"/>
                <w:szCs w:val="19"/>
                <w:lang w:eastAsia="pt-BR"/>
              </w:rPr>
              <w:t>AREsp</w:t>
            </w:r>
            <w:proofErr w:type="spellEnd"/>
            <w:r w:rsidRPr="00DF0AF3">
              <w:rPr>
                <w:rFonts w:ascii="Book Antiqua" w:eastAsia="Times New Roman" w:hAnsi="Book Antiqua" w:cs="Arial"/>
                <w:sz w:val="19"/>
                <w:szCs w:val="19"/>
                <w:lang w:eastAsia="pt-BR"/>
              </w:rPr>
              <w:t xml:space="preserve">: 888195 PI 2016/0073417-0, Relator: Ministro GURGEL DE FARIA, Data de Julgamento: 18/02/20, T1 - PRIMEIRA TURMA, Data de Publicação: </w:t>
            </w:r>
            <w:proofErr w:type="spellStart"/>
            <w:r w:rsidRPr="00DF0AF3">
              <w:rPr>
                <w:rFonts w:ascii="Book Antiqua" w:eastAsia="Times New Roman" w:hAnsi="Book Antiqua" w:cs="Arial"/>
                <w:sz w:val="19"/>
                <w:szCs w:val="19"/>
                <w:lang w:eastAsia="pt-BR"/>
              </w:rPr>
              <w:t>DJe</w:t>
            </w:r>
            <w:proofErr w:type="spellEnd"/>
            <w:r w:rsidRPr="00DF0AF3">
              <w:rPr>
                <w:rFonts w:ascii="Book Antiqua" w:eastAsia="Times New Roman" w:hAnsi="Book Antiqua" w:cs="Arial"/>
                <w:sz w:val="19"/>
                <w:szCs w:val="19"/>
                <w:lang w:eastAsia="pt-BR"/>
              </w:rPr>
              <w:t xml:space="preserve"> 28/02/2020)</w:t>
            </w:r>
          </w:p>
        </w:tc>
      </w:tr>
    </w:tbl>
    <w:p w14:paraId="249F34D8" w14:textId="61FE54AB"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4" w:name="art14"/>
      <w:bookmarkEnd w:id="14"/>
      <w:r w:rsidRPr="00B12E3B">
        <w:rPr>
          <w:rFonts w:ascii="Book Antiqua" w:eastAsia="Times New Roman" w:hAnsi="Book Antiqua" w:cs="Arial"/>
          <w:b/>
          <w:bCs/>
          <w:sz w:val="19"/>
          <w:szCs w:val="19"/>
          <w:highlight w:val="magenta"/>
          <w:lang w:eastAsia="pt-BR"/>
        </w:rPr>
        <w:lastRenderedPageBreak/>
        <w:t>Art. 14</w:t>
      </w:r>
      <w:r w:rsidR="00B12E3B">
        <w:rPr>
          <w:rFonts w:ascii="Book Antiqua" w:eastAsia="Times New Roman" w:hAnsi="Book Antiqua" w:cs="Arial"/>
          <w:sz w:val="19"/>
          <w:szCs w:val="19"/>
          <w:lang w:eastAsia="pt-BR"/>
        </w:rPr>
        <w:t>.</w:t>
      </w:r>
      <w:r w:rsidRPr="000C08D3">
        <w:rPr>
          <w:rFonts w:ascii="Book Antiqua" w:eastAsia="Times New Roman" w:hAnsi="Book Antiqua" w:cs="Arial"/>
          <w:sz w:val="19"/>
          <w:szCs w:val="19"/>
          <w:lang w:eastAsia="pt-BR"/>
        </w:rPr>
        <w:t xml:space="preserve"> </w:t>
      </w:r>
      <w:r w:rsidRPr="00B12E3B">
        <w:rPr>
          <w:rFonts w:ascii="Book Antiqua" w:eastAsia="Times New Roman" w:hAnsi="Book Antiqua" w:cs="Arial"/>
          <w:b/>
          <w:bCs/>
          <w:sz w:val="19"/>
          <w:szCs w:val="19"/>
          <w:lang w:eastAsia="pt-BR"/>
        </w:rPr>
        <w:t>O não-atendimento ao edital de convocação ou à notificação (artigos 4º e 10 da presente Lei) estabelece a presunção de discordância e acarretará imediata propositura da ação judicial prevista no art. 19, II</w:t>
      </w:r>
      <w:r w:rsidRPr="00274FBD">
        <w:rPr>
          <w:rFonts w:ascii="Book Antiqua" w:eastAsia="Times New Roman" w:hAnsi="Book Antiqua" w:cs="Arial"/>
          <w:sz w:val="16"/>
          <w:szCs w:val="16"/>
          <w:lang w:eastAsia="pt-BR"/>
        </w:rPr>
        <w:t xml:space="preserve">. </w:t>
      </w:r>
      <w:r w:rsidR="00B12E3B" w:rsidRPr="00274FBD">
        <w:rPr>
          <w:rFonts w:ascii="Book Antiqua" w:eastAsia="Times New Roman" w:hAnsi="Book Antiqua" w:cs="Arial"/>
          <w:b/>
          <w:bCs/>
          <w:color w:val="FF0000"/>
          <w:sz w:val="16"/>
          <w:szCs w:val="16"/>
          <w:u w:val="single"/>
          <w:lang w:eastAsia="pt-BR"/>
        </w:rPr>
        <w:t>(TRF5-2017)</w:t>
      </w:r>
    </w:p>
    <w:p w14:paraId="0ABB0CA7"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Parágrafo único. Os presumíveis proprietários e ocupantes, nas condições do presente artigo, não terão acesso ao crédito oficial ou aos benefícios de incentivos fiscais, bem como terão cancelados os respectivos cadastros rurais junto ao órgão competente. </w:t>
      </w:r>
    </w:p>
    <w:p w14:paraId="44E10F66" w14:textId="4C5DFAED"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5" w:name="art15"/>
      <w:bookmarkEnd w:id="15"/>
      <w:r w:rsidRPr="000C08D3">
        <w:rPr>
          <w:rFonts w:ascii="Book Antiqua" w:eastAsia="Times New Roman" w:hAnsi="Book Antiqua" w:cs="Arial"/>
          <w:sz w:val="19"/>
          <w:szCs w:val="19"/>
          <w:lang w:eastAsia="pt-BR"/>
        </w:rPr>
        <w:t>Art. 15</w:t>
      </w:r>
      <w:r w:rsidR="00B12E3B">
        <w:rPr>
          <w:rFonts w:ascii="Book Antiqua" w:eastAsia="Times New Roman" w:hAnsi="Book Antiqua" w:cs="Arial"/>
          <w:sz w:val="19"/>
          <w:szCs w:val="19"/>
          <w:lang w:eastAsia="pt-BR"/>
        </w:rPr>
        <w:t xml:space="preserve">. </w:t>
      </w:r>
      <w:r w:rsidRPr="000C08D3">
        <w:rPr>
          <w:rFonts w:ascii="Book Antiqua" w:eastAsia="Times New Roman" w:hAnsi="Book Antiqua" w:cs="Arial"/>
          <w:sz w:val="19"/>
          <w:szCs w:val="19"/>
          <w:lang w:eastAsia="pt-BR"/>
        </w:rPr>
        <w:t xml:space="preserve">O presidente da Comissão Especial comunicará a instauração do processo discriminatório administrativo a todos os oficiais de Registro de Imóveis da jurisdição. </w:t>
      </w:r>
    </w:p>
    <w:p w14:paraId="0918A6C2" w14:textId="1C0CA6AB"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6" w:name="art16"/>
      <w:bookmarkEnd w:id="16"/>
      <w:r w:rsidRPr="000C08D3">
        <w:rPr>
          <w:rFonts w:ascii="Book Antiqua" w:eastAsia="Times New Roman" w:hAnsi="Book Antiqua" w:cs="Arial"/>
          <w:sz w:val="19"/>
          <w:szCs w:val="19"/>
          <w:lang w:eastAsia="pt-BR"/>
        </w:rPr>
        <w:t>Art. 16</w:t>
      </w:r>
      <w:r w:rsidR="00B12E3B">
        <w:rPr>
          <w:rFonts w:ascii="Book Antiqua" w:eastAsia="Times New Roman" w:hAnsi="Book Antiqua" w:cs="Arial"/>
          <w:sz w:val="19"/>
          <w:szCs w:val="19"/>
          <w:lang w:eastAsia="pt-BR"/>
        </w:rPr>
        <w:t>.</w:t>
      </w:r>
      <w:r w:rsidRPr="000C08D3">
        <w:rPr>
          <w:rFonts w:ascii="Book Antiqua" w:eastAsia="Times New Roman" w:hAnsi="Book Antiqua" w:cs="Arial"/>
          <w:sz w:val="19"/>
          <w:szCs w:val="19"/>
          <w:lang w:eastAsia="pt-BR"/>
        </w:rPr>
        <w:t xml:space="preserve"> Uma vez instaurado o processo discriminatório administrativo, o oficial do Registro de Imóveis não efetuará matrícula, registro, inscrição ou averbação estranhas à discriminação, relativamente aos imóveis situados, total ou parcialmente, dentro da área discriminada, sem que desses atos tome prévio conhecimento o presidente da Comissão Especial. </w:t>
      </w:r>
    </w:p>
    <w:p w14:paraId="11C206C5"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Parágrafo único. Contra os atos praticados com infração do disposto no presente artigo, o presidente da Comissão Especial solicitará que a Procuradoria do Instituto Nacional de Colonização e Reforma Agrária - INCRA utilize os instrumentos previstos no Código de Processo Civil, incorrendo o oficial do Registro de Imóveis infrator nas penas do crime de prevaricação. </w:t>
      </w:r>
    </w:p>
    <w:p w14:paraId="5B8A6013" w14:textId="39C91F7A"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 w:name="art17"/>
      <w:bookmarkEnd w:id="17"/>
      <w:r w:rsidRPr="000C08D3">
        <w:rPr>
          <w:rFonts w:ascii="Book Antiqua" w:eastAsia="Times New Roman" w:hAnsi="Book Antiqua" w:cs="Arial"/>
          <w:sz w:val="19"/>
          <w:szCs w:val="19"/>
          <w:lang w:eastAsia="pt-BR"/>
        </w:rPr>
        <w:t>Art. 17</w:t>
      </w:r>
      <w:r w:rsidR="00B12E3B">
        <w:rPr>
          <w:rFonts w:ascii="Book Antiqua" w:eastAsia="Times New Roman" w:hAnsi="Book Antiqua" w:cs="Arial"/>
          <w:sz w:val="19"/>
          <w:szCs w:val="19"/>
          <w:lang w:eastAsia="pt-BR"/>
        </w:rPr>
        <w:t>.</w:t>
      </w:r>
      <w:r w:rsidRPr="000C08D3">
        <w:rPr>
          <w:rFonts w:ascii="Book Antiqua" w:eastAsia="Times New Roman" w:hAnsi="Book Antiqua" w:cs="Arial"/>
          <w:sz w:val="19"/>
          <w:szCs w:val="19"/>
          <w:lang w:eastAsia="pt-BR"/>
        </w:rPr>
        <w:t xml:space="preserve"> Os particulares não pagam custas no processo administrativo, salvo para serviços de demarcação e diligências a seu exclusivo interesse. </w:t>
      </w:r>
    </w:p>
    <w:p w14:paraId="66948EB1"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CAPÍTULO III</w:t>
      </w:r>
    </w:p>
    <w:p w14:paraId="6C331BAD"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Do Processo Judicial </w:t>
      </w:r>
    </w:p>
    <w:p w14:paraId="7FB9B3F4" w14:textId="4CEC43D3"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18" w:name="art18"/>
      <w:bookmarkEnd w:id="18"/>
      <w:r w:rsidRPr="00B12E3B">
        <w:rPr>
          <w:rFonts w:ascii="Book Antiqua" w:eastAsia="Times New Roman" w:hAnsi="Book Antiqua" w:cs="Arial"/>
          <w:b/>
          <w:bCs/>
          <w:sz w:val="19"/>
          <w:szCs w:val="19"/>
          <w:highlight w:val="magenta"/>
          <w:lang w:eastAsia="pt-BR"/>
        </w:rPr>
        <w:t>Art. 18</w:t>
      </w:r>
      <w:r w:rsidR="00B12E3B">
        <w:rPr>
          <w:rFonts w:ascii="Book Antiqua" w:eastAsia="Times New Roman" w:hAnsi="Book Antiqua" w:cs="Arial"/>
          <w:sz w:val="19"/>
          <w:szCs w:val="19"/>
          <w:lang w:eastAsia="pt-BR"/>
        </w:rPr>
        <w:t>.</w:t>
      </w:r>
      <w:r w:rsidRPr="000C08D3">
        <w:rPr>
          <w:rFonts w:ascii="Book Antiqua" w:eastAsia="Times New Roman" w:hAnsi="Book Antiqua" w:cs="Arial"/>
          <w:sz w:val="19"/>
          <w:szCs w:val="19"/>
          <w:lang w:eastAsia="pt-BR"/>
        </w:rPr>
        <w:t xml:space="preserve"> </w:t>
      </w:r>
      <w:r w:rsidRPr="00B12E3B">
        <w:rPr>
          <w:rFonts w:ascii="Book Antiqua" w:eastAsia="Times New Roman" w:hAnsi="Book Antiqua" w:cs="Arial"/>
          <w:b/>
          <w:bCs/>
          <w:sz w:val="19"/>
          <w:szCs w:val="19"/>
          <w:lang w:eastAsia="pt-BR"/>
        </w:rPr>
        <w:t>O Instituto Nacional de Colonização e Reforma Agrária - INCRA fica investido de poderes de representação da União, para promover a discriminação judicial das terras devolutas da União</w:t>
      </w:r>
      <w:r w:rsidRPr="00274FBD">
        <w:rPr>
          <w:rFonts w:ascii="Book Antiqua" w:eastAsia="Times New Roman" w:hAnsi="Book Antiqua" w:cs="Arial"/>
          <w:b/>
          <w:bCs/>
          <w:sz w:val="18"/>
          <w:szCs w:val="18"/>
          <w:lang w:eastAsia="pt-BR"/>
        </w:rPr>
        <w:t xml:space="preserve">. </w:t>
      </w:r>
      <w:r w:rsidR="00CD2918" w:rsidRPr="00274FBD">
        <w:rPr>
          <w:rFonts w:ascii="Book Antiqua" w:hAnsi="Book Antiqua"/>
          <w:b/>
          <w:bCs/>
          <w:color w:val="FF0000"/>
          <w:sz w:val="16"/>
          <w:szCs w:val="16"/>
          <w:u w:val="single"/>
        </w:rPr>
        <w:t>(TRF5-2017)</w:t>
      </w:r>
    </w:p>
    <w:tbl>
      <w:tblPr>
        <w:tblStyle w:val="Tabelacomgrade"/>
        <w:tblW w:w="0" w:type="auto"/>
        <w:tblLook w:val="04A0" w:firstRow="1" w:lastRow="0" w:firstColumn="1" w:lastColumn="0" w:noHBand="0" w:noVBand="1"/>
      </w:tblPr>
      <w:tblGrid>
        <w:gridCol w:w="8494"/>
      </w:tblGrid>
      <w:tr w:rsidR="00B12E3B" w14:paraId="18A18E50" w14:textId="77777777" w:rsidTr="00B12E3B">
        <w:tc>
          <w:tcPr>
            <w:tcW w:w="8494" w:type="dxa"/>
            <w:shd w:val="clear" w:color="auto" w:fill="CCFFFF"/>
          </w:tcPr>
          <w:p w14:paraId="727F4C5D" w14:textId="730800F4" w:rsidR="00B12E3B" w:rsidRPr="00B12E3B" w:rsidRDefault="00B12E3B" w:rsidP="00B12E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12E3B">
              <w:rPr>
                <w:rFonts w:ascii="Book Antiqua" w:eastAsia="Times New Roman" w:hAnsi="Book Antiqua" w:cs="Arial"/>
                <w:b/>
                <w:bCs/>
                <w:sz w:val="19"/>
                <w:szCs w:val="19"/>
                <w:highlight w:val="yellow"/>
                <w:lang w:eastAsia="pt-BR"/>
              </w:rPr>
              <w:t>TRF5-2017-CESPE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12E3B">
              <w:rPr>
                <w:rFonts w:ascii="Book Antiqua" w:eastAsia="Times New Roman" w:hAnsi="Book Antiqua" w:cs="Arial"/>
                <w:sz w:val="19"/>
                <w:szCs w:val="19"/>
                <w:lang w:eastAsia="pt-BR"/>
              </w:rPr>
              <w:t>Em um processo administrativo instaurado com a finalidade de separar terras devolutas da União de imóveis particulares, a comissão especial responsável pela instauração do procedimento realizou, na forma da lei, convocação dos interessados para a apresentação de título e documentos. Entretanto, diversos interessados não atenderam nem ao edital de convocação, nem à notificação para celebrar termo com a União.</w:t>
            </w:r>
            <w:r>
              <w:rPr>
                <w:rFonts w:ascii="Book Antiqua" w:eastAsia="Times New Roman" w:hAnsi="Book Antiqua" w:cs="Arial"/>
                <w:sz w:val="19"/>
                <w:szCs w:val="19"/>
                <w:lang w:eastAsia="pt-BR"/>
              </w:rPr>
              <w:t xml:space="preserve"> </w:t>
            </w:r>
            <w:r w:rsidRPr="00B12E3B">
              <w:rPr>
                <w:rFonts w:ascii="Book Antiqua" w:eastAsia="Times New Roman" w:hAnsi="Book Antiqua" w:cs="Arial"/>
                <w:sz w:val="19"/>
                <w:szCs w:val="19"/>
                <w:lang w:eastAsia="pt-BR"/>
              </w:rPr>
              <w:t>Nessa situação hipotética, de acordo com a legislação vigente, para que ocorra a devida identificação do imóvel da União, com efeito de registro como título de propriedade,</w:t>
            </w:r>
            <w:r>
              <w:rPr>
                <w:rFonts w:ascii="Book Antiqua" w:eastAsia="Times New Roman" w:hAnsi="Book Antiqua" w:cs="Arial"/>
                <w:sz w:val="19"/>
                <w:szCs w:val="19"/>
                <w:lang w:eastAsia="pt-BR"/>
              </w:rPr>
              <w:t xml:space="preserve"> </w:t>
            </w:r>
            <w:r w:rsidRPr="00B12E3B">
              <w:rPr>
                <w:rFonts w:ascii="Book Antiqua" w:eastAsia="Times New Roman" w:hAnsi="Book Antiqua" w:cs="Arial"/>
                <w:sz w:val="19"/>
                <w:szCs w:val="19"/>
                <w:lang w:eastAsia="pt-BR"/>
              </w:rPr>
              <w:t>o Instituto Nacional de Colonização e Reforma Agrária deverá ajuizar ação discriminatória.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14 c/c art. 18 c/c art. 19, II, Lei 6383.</w:t>
            </w:r>
          </w:p>
        </w:tc>
      </w:tr>
    </w:tbl>
    <w:p w14:paraId="12399E71" w14:textId="364712C4" w:rsidR="003C225B" w:rsidRPr="00B12E3B" w:rsidRDefault="003C225B" w:rsidP="003C225B">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9" w:name="art19"/>
      <w:bookmarkEnd w:id="19"/>
      <w:r w:rsidRPr="000C08D3">
        <w:rPr>
          <w:rFonts w:ascii="Book Antiqua" w:eastAsia="Times New Roman" w:hAnsi="Book Antiqua" w:cs="Arial"/>
          <w:b/>
          <w:sz w:val="19"/>
          <w:szCs w:val="19"/>
          <w:highlight w:val="magenta"/>
          <w:lang w:eastAsia="pt-BR"/>
        </w:rPr>
        <w:t>Art. 19</w:t>
      </w:r>
      <w:r w:rsidR="00B12E3B">
        <w:rPr>
          <w:rFonts w:ascii="Book Antiqua" w:eastAsia="Times New Roman" w:hAnsi="Book Antiqua" w:cs="Arial"/>
          <w:b/>
          <w:sz w:val="19"/>
          <w:szCs w:val="19"/>
          <w:lang w:eastAsia="pt-BR"/>
        </w:rPr>
        <w:t>.</w:t>
      </w:r>
      <w:r w:rsidRPr="000C08D3">
        <w:rPr>
          <w:rFonts w:ascii="Book Antiqua" w:eastAsia="Times New Roman" w:hAnsi="Book Antiqua" w:cs="Arial"/>
          <w:sz w:val="19"/>
          <w:szCs w:val="19"/>
          <w:lang w:eastAsia="pt-BR"/>
        </w:rPr>
        <w:t xml:space="preserve"> </w:t>
      </w:r>
      <w:r w:rsidRPr="00B12E3B">
        <w:rPr>
          <w:rFonts w:ascii="Book Antiqua" w:eastAsia="Times New Roman" w:hAnsi="Book Antiqua" w:cs="Arial"/>
          <w:b/>
          <w:bCs/>
          <w:sz w:val="19"/>
          <w:szCs w:val="19"/>
          <w:lang w:eastAsia="pt-BR"/>
        </w:rPr>
        <w:t xml:space="preserve">O processo discriminatório </w:t>
      </w:r>
      <w:r w:rsidRPr="00B12E3B">
        <w:rPr>
          <w:rFonts w:ascii="Book Antiqua" w:eastAsia="Times New Roman" w:hAnsi="Book Antiqua" w:cs="Arial"/>
          <w:b/>
          <w:bCs/>
          <w:sz w:val="19"/>
          <w:szCs w:val="19"/>
          <w:highlight w:val="cyan"/>
          <w:lang w:eastAsia="pt-BR"/>
        </w:rPr>
        <w:t>judicial</w:t>
      </w:r>
      <w:r w:rsidRPr="00B12E3B">
        <w:rPr>
          <w:rFonts w:ascii="Book Antiqua" w:eastAsia="Times New Roman" w:hAnsi="Book Antiqua" w:cs="Arial"/>
          <w:b/>
          <w:bCs/>
          <w:sz w:val="19"/>
          <w:szCs w:val="19"/>
          <w:lang w:eastAsia="pt-BR"/>
        </w:rPr>
        <w:t xml:space="preserve"> </w:t>
      </w:r>
      <w:r w:rsidRPr="00B12E3B">
        <w:rPr>
          <w:rFonts w:ascii="Book Antiqua" w:eastAsia="Times New Roman" w:hAnsi="Book Antiqua" w:cs="Arial"/>
          <w:b/>
          <w:bCs/>
          <w:caps/>
          <w:sz w:val="19"/>
          <w:szCs w:val="19"/>
          <w:highlight w:val="green"/>
          <w:lang w:eastAsia="pt-BR"/>
        </w:rPr>
        <w:t>será promovido</w:t>
      </w:r>
      <w:r w:rsidRPr="00B12E3B">
        <w:rPr>
          <w:rFonts w:ascii="Book Antiqua" w:eastAsia="Times New Roman" w:hAnsi="Book Antiqua" w:cs="Arial"/>
          <w:b/>
          <w:bCs/>
          <w:sz w:val="19"/>
          <w:szCs w:val="19"/>
          <w:lang w:eastAsia="pt-BR"/>
        </w:rPr>
        <w:t xml:space="preserve">: </w:t>
      </w:r>
    </w:p>
    <w:p w14:paraId="477FFFD6" w14:textId="1113295E"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B12E3B">
        <w:rPr>
          <w:rFonts w:ascii="Book Antiqua" w:eastAsia="Times New Roman" w:hAnsi="Book Antiqua" w:cs="Arial"/>
          <w:b/>
          <w:bCs/>
          <w:sz w:val="19"/>
          <w:szCs w:val="19"/>
          <w:lang w:eastAsia="pt-BR"/>
        </w:rPr>
        <w:t xml:space="preserve">I - </w:t>
      </w:r>
      <w:proofErr w:type="gramStart"/>
      <w:r w:rsidRPr="00B12E3B">
        <w:rPr>
          <w:rFonts w:ascii="Book Antiqua" w:eastAsia="Times New Roman" w:hAnsi="Book Antiqua" w:cs="Arial"/>
          <w:b/>
          <w:bCs/>
          <w:sz w:val="19"/>
          <w:szCs w:val="19"/>
          <w:lang w:eastAsia="pt-BR"/>
        </w:rPr>
        <w:t>quando</w:t>
      </w:r>
      <w:proofErr w:type="gramEnd"/>
      <w:r w:rsidRPr="00B12E3B">
        <w:rPr>
          <w:rFonts w:ascii="Book Antiqua" w:eastAsia="Times New Roman" w:hAnsi="Book Antiqua" w:cs="Arial"/>
          <w:b/>
          <w:bCs/>
          <w:sz w:val="19"/>
          <w:szCs w:val="19"/>
          <w:lang w:eastAsia="pt-BR"/>
        </w:rPr>
        <w:t xml:space="preserve"> o processo discriminatório </w:t>
      </w:r>
      <w:r w:rsidRPr="00B12E3B">
        <w:rPr>
          <w:rFonts w:ascii="Book Antiqua" w:eastAsia="Times New Roman" w:hAnsi="Book Antiqua" w:cs="Arial"/>
          <w:b/>
          <w:bCs/>
          <w:sz w:val="19"/>
          <w:szCs w:val="19"/>
          <w:highlight w:val="cyan"/>
          <w:lang w:eastAsia="pt-BR"/>
        </w:rPr>
        <w:t>administrativo</w:t>
      </w:r>
      <w:r w:rsidRPr="00B12E3B">
        <w:rPr>
          <w:rFonts w:ascii="Book Antiqua" w:eastAsia="Times New Roman" w:hAnsi="Book Antiqua" w:cs="Arial"/>
          <w:b/>
          <w:bCs/>
          <w:sz w:val="19"/>
          <w:szCs w:val="19"/>
          <w:lang w:eastAsia="pt-BR"/>
        </w:rPr>
        <w:t xml:space="preserve"> for dispensado ou interrompido por presumida ineficácia</w:t>
      </w:r>
      <w:r w:rsidRPr="00274FBD">
        <w:rPr>
          <w:rFonts w:ascii="Book Antiqua" w:eastAsia="Times New Roman" w:hAnsi="Book Antiqua" w:cs="Arial"/>
          <w:b/>
          <w:bCs/>
          <w:sz w:val="18"/>
          <w:szCs w:val="18"/>
          <w:lang w:eastAsia="pt-BR"/>
        </w:rPr>
        <w:t xml:space="preserve">; </w:t>
      </w:r>
      <w:r w:rsidR="006F07A3" w:rsidRPr="00274FBD">
        <w:rPr>
          <w:rFonts w:ascii="Book Antiqua" w:eastAsia="Times New Roman" w:hAnsi="Book Antiqua" w:cs="Arial"/>
          <w:b/>
          <w:bCs/>
          <w:color w:val="FF0000"/>
          <w:sz w:val="16"/>
          <w:szCs w:val="16"/>
          <w:u w:val="single"/>
          <w:lang w:eastAsia="pt-BR"/>
        </w:rPr>
        <w:t>(Cartórios/TJMG-2018)</w:t>
      </w:r>
    </w:p>
    <w:p w14:paraId="148683B8" w14:textId="112B8BA1"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B12E3B">
        <w:rPr>
          <w:rFonts w:ascii="Book Antiqua" w:eastAsia="Times New Roman" w:hAnsi="Book Antiqua" w:cs="Arial"/>
          <w:b/>
          <w:bCs/>
          <w:sz w:val="19"/>
          <w:szCs w:val="19"/>
          <w:lang w:eastAsia="pt-BR"/>
        </w:rPr>
        <w:t xml:space="preserve">II - </w:t>
      </w:r>
      <w:proofErr w:type="gramStart"/>
      <w:r w:rsidRPr="00B12E3B">
        <w:rPr>
          <w:rFonts w:ascii="Book Antiqua" w:eastAsia="Times New Roman" w:hAnsi="Book Antiqua" w:cs="Arial"/>
          <w:b/>
          <w:bCs/>
          <w:sz w:val="19"/>
          <w:szCs w:val="19"/>
          <w:lang w:eastAsia="pt-BR"/>
        </w:rPr>
        <w:t>contra</w:t>
      </w:r>
      <w:proofErr w:type="gramEnd"/>
      <w:r w:rsidRPr="00B12E3B">
        <w:rPr>
          <w:rFonts w:ascii="Book Antiqua" w:eastAsia="Times New Roman" w:hAnsi="Book Antiqua" w:cs="Arial"/>
          <w:b/>
          <w:bCs/>
          <w:sz w:val="19"/>
          <w:szCs w:val="19"/>
          <w:lang w:eastAsia="pt-BR"/>
        </w:rPr>
        <w:t xml:space="preserve"> aqueles que não atenderem ao edital de convocação ou à notificação (artigos 4º e 10 da presente Lei); e </w:t>
      </w:r>
      <w:bookmarkStart w:id="20" w:name="_Hlk82000938"/>
      <w:r w:rsidR="00B12E3B" w:rsidRPr="00274FBD">
        <w:rPr>
          <w:rFonts w:ascii="Book Antiqua" w:eastAsia="Times New Roman" w:hAnsi="Book Antiqua" w:cs="Arial"/>
          <w:b/>
          <w:bCs/>
          <w:color w:val="FF0000"/>
          <w:sz w:val="16"/>
          <w:szCs w:val="16"/>
          <w:u w:val="single"/>
          <w:lang w:eastAsia="pt-BR"/>
        </w:rPr>
        <w:t>(TRF5-2017)</w:t>
      </w:r>
      <w:bookmarkEnd w:id="20"/>
      <w:r w:rsidR="006F07A3" w:rsidRPr="00274FBD">
        <w:rPr>
          <w:rFonts w:ascii="Book Antiqua" w:eastAsia="Times New Roman" w:hAnsi="Book Antiqua" w:cs="Arial"/>
          <w:b/>
          <w:bCs/>
          <w:color w:val="FF0000"/>
          <w:sz w:val="16"/>
          <w:szCs w:val="16"/>
          <w:lang w:eastAsia="pt-BR"/>
        </w:rPr>
        <w:t xml:space="preserve"> </w:t>
      </w:r>
      <w:r w:rsidR="006F07A3" w:rsidRPr="00274FBD">
        <w:rPr>
          <w:rFonts w:ascii="Book Antiqua" w:eastAsia="Times New Roman" w:hAnsi="Book Antiqua" w:cs="Arial"/>
          <w:b/>
          <w:bCs/>
          <w:color w:val="FF0000"/>
          <w:sz w:val="16"/>
          <w:szCs w:val="16"/>
          <w:u w:val="single"/>
          <w:lang w:eastAsia="pt-BR"/>
        </w:rPr>
        <w:t>(Cartórios/TJMG-2018)</w:t>
      </w:r>
    </w:p>
    <w:p w14:paraId="0777EE8F"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III - quando configurada a hipótese do art. 25 desta Lei. </w:t>
      </w:r>
    </w:p>
    <w:p w14:paraId="1F0786B8" w14:textId="4073DD0A"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B12E3B">
        <w:rPr>
          <w:rFonts w:ascii="Book Antiqua" w:eastAsia="Times New Roman" w:hAnsi="Book Antiqua" w:cs="Arial"/>
          <w:b/>
          <w:bCs/>
          <w:sz w:val="19"/>
          <w:szCs w:val="19"/>
          <w:highlight w:val="magenta"/>
          <w:lang w:eastAsia="pt-BR"/>
        </w:rPr>
        <w:t>Parágrafo único</w:t>
      </w:r>
      <w:r w:rsidRPr="00B12E3B">
        <w:rPr>
          <w:rFonts w:ascii="Book Antiqua" w:eastAsia="Times New Roman" w:hAnsi="Book Antiqua" w:cs="Arial"/>
          <w:b/>
          <w:bCs/>
          <w:sz w:val="19"/>
          <w:szCs w:val="19"/>
          <w:lang w:eastAsia="pt-BR"/>
        </w:rPr>
        <w:t>. Compete à Justiça Federal processar e julgar o processo discriminatório judicial regulado nesta Lei</w:t>
      </w:r>
      <w:r w:rsidRPr="00274FBD">
        <w:rPr>
          <w:rFonts w:ascii="Book Antiqua" w:eastAsia="Times New Roman" w:hAnsi="Book Antiqua" w:cs="Arial"/>
          <w:sz w:val="16"/>
          <w:szCs w:val="16"/>
          <w:lang w:eastAsia="pt-BR"/>
        </w:rPr>
        <w:t xml:space="preserve">. </w:t>
      </w:r>
      <w:r w:rsidR="00B12E3B" w:rsidRPr="00274FBD">
        <w:rPr>
          <w:rFonts w:ascii="Book Antiqua" w:eastAsia="Times New Roman" w:hAnsi="Book Antiqua" w:cs="Arial"/>
          <w:b/>
          <w:bCs/>
          <w:color w:val="FF0000"/>
          <w:sz w:val="16"/>
          <w:szCs w:val="16"/>
          <w:u w:val="single"/>
          <w:lang w:eastAsia="pt-BR"/>
        </w:rPr>
        <w:t>(TRF5-2017)</w:t>
      </w:r>
    </w:p>
    <w:p w14:paraId="7EC7FF1B" w14:textId="4D94BB18" w:rsidR="003C225B" w:rsidRPr="006D7887" w:rsidRDefault="003C225B" w:rsidP="003C225B">
      <w:pPr>
        <w:spacing w:before="100" w:beforeAutospacing="1" w:after="100" w:afterAutospacing="1" w:line="240" w:lineRule="auto"/>
        <w:ind w:firstLine="525"/>
        <w:jc w:val="both"/>
        <w:rPr>
          <w:rFonts w:ascii="Book Antiqua" w:eastAsia="Times New Roman" w:hAnsi="Book Antiqua" w:cs="Arial"/>
          <w:sz w:val="16"/>
          <w:szCs w:val="16"/>
          <w:u w:val="single"/>
          <w:lang w:eastAsia="pt-BR"/>
        </w:rPr>
      </w:pPr>
      <w:bookmarkStart w:id="21" w:name="art20"/>
      <w:bookmarkEnd w:id="21"/>
      <w:r w:rsidRPr="000C08D3">
        <w:rPr>
          <w:rFonts w:ascii="Book Antiqua" w:eastAsia="Times New Roman" w:hAnsi="Book Antiqua" w:cs="Arial"/>
          <w:b/>
          <w:sz w:val="19"/>
          <w:szCs w:val="19"/>
          <w:highlight w:val="magenta"/>
          <w:lang w:eastAsia="pt-BR"/>
        </w:rPr>
        <w:t>Art. 20</w:t>
      </w:r>
      <w:r w:rsidR="00B12E3B">
        <w:rPr>
          <w:rFonts w:ascii="Book Antiqua" w:eastAsia="Times New Roman" w:hAnsi="Book Antiqua" w:cs="Arial"/>
          <w:b/>
          <w:sz w:val="19"/>
          <w:szCs w:val="19"/>
          <w:lang w:eastAsia="pt-BR"/>
        </w:rPr>
        <w:t>.</w:t>
      </w:r>
      <w:r w:rsidRPr="000C08D3">
        <w:rPr>
          <w:rFonts w:ascii="Book Antiqua" w:eastAsia="Times New Roman" w:hAnsi="Book Antiqua" w:cs="Arial"/>
          <w:sz w:val="19"/>
          <w:szCs w:val="19"/>
          <w:lang w:eastAsia="pt-BR"/>
        </w:rPr>
        <w:t xml:space="preserve"> </w:t>
      </w:r>
      <w:r w:rsidRPr="00B12E3B">
        <w:rPr>
          <w:rFonts w:ascii="Book Antiqua" w:eastAsia="Times New Roman" w:hAnsi="Book Antiqua" w:cs="Arial"/>
          <w:b/>
          <w:bCs/>
          <w:sz w:val="19"/>
          <w:szCs w:val="19"/>
          <w:lang w:eastAsia="pt-BR"/>
        </w:rPr>
        <w:t xml:space="preserve">No processo discriminatório judicial será observado o procedimento </w:t>
      </w:r>
      <w:r w:rsidRPr="00B12E3B">
        <w:rPr>
          <w:rFonts w:ascii="Book Antiqua" w:eastAsia="Times New Roman" w:hAnsi="Book Antiqua" w:cs="Arial"/>
          <w:b/>
          <w:bCs/>
          <w:sz w:val="19"/>
          <w:szCs w:val="19"/>
          <w:highlight w:val="cyan"/>
          <w:lang w:eastAsia="pt-BR"/>
        </w:rPr>
        <w:t>sumaríssimo</w:t>
      </w:r>
      <w:r w:rsidRPr="00B12E3B">
        <w:rPr>
          <w:rFonts w:ascii="Book Antiqua" w:eastAsia="Times New Roman" w:hAnsi="Book Antiqua" w:cs="Arial"/>
          <w:b/>
          <w:bCs/>
          <w:sz w:val="19"/>
          <w:szCs w:val="19"/>
          <w:lang w:eastAsia="pt-BR"/>
        </w:rPr>
        <w:t xml:space="preserve"> de que trata o </w:t>
      </w:r>
      <w:hyperlink r:id="rId5" w:history="1">
        <w:r w:rsidRPr="00B12E3B">
          <w:rPr>
            <w:rFonts w:ascii="Book Antiqua" w:eastAsia="Times New Roman" w:hAnsi="Book Antiqua" w:cs="Arial"/>
            <w:b/>
            <w:bCs/>
            <w:color w:val="0000FF"/>
            <w:sz w:val="19"/>
            <w:szCs w:val="19"/>
            <w:u w:val="single"/>
            <w:lang w:eastAsia="pt-BR"/>
          </w:rPr>
          <w:t>Código de Processo Civil</w:t>
        </w:r>
      </w:hyperlink>
      <w:r w:rsidRPr="00CD2918">
        <w:rPr>
          <w:rFonts w:ascii="Book Antiqua" w:eastAsia="Times New Roman" w:hAnsi="Book Antiqua" w:cs="Arial"/>
          <w:sz w:val="18"/>
          <w:szCs w:val="18"/>
          <w:lang w:eastAsia="pt-BR"/>
        </w:rPr>
        <w:t>.</w:t>
      </w:r>
      <w:r w:rsidR="00CD2918">
        <w:rPr>
          <w:rFonts w:ascii="Book Antiqua" w:eastAsia="Times New Roman" w:hAnsi="Book Antiqua" w:cs="Arial"/>
          <w:sz w:val="18"/>
          <w:szCs w:val="18"/>
          <w:lang w:eastAsia="pt-BR"/>
        </w:rPr>
        <w:t xml:space="preserve"> </w:t>
      </w:r>
      <w:r w:rsidR="00B12E3B" w:rsidRPr="00274FBD">
        <w:rPr>
          <w:rFonts w:ascii="Book Antiqua" w:eastAsia="Times New Roman" w:hAnsi="Book Antiqua" w:cs="Arial"/>
          <w:b/>
          <w:bCs/>
          <w:color w:val="FF0000"/>
          <w:sz w:val="16"/>
          <w:szCs w:val="16"/>
          <w:u w:val="single"/>
          <w:lang w:eastAsia="pt-BR"/>
        </w:rPr>
        <w:t>(TRF5-2017)</w:t>
      </w:r>
      <w:r w:rsidR="006D7887">
        <w:rPr>
          <w:rFonts w:ascii="Book Antiqua" w:eastAsia="Times New Roman" w:hAnsi="Book Antiqua" w:cs="Arial"/>
          <w:b/>
          <w:bCs/>
          <w:color w:val="FF0000"/>
          <w:sz w:val="16"/>
          <w:szCs w:val="16"/>
          <w:lang w:eastAsia="pt-BR"/>
        </w:rPr>
        <w:t xml:space="preserve"> </w:t>
      </w:r>
      <w:r w:rsidR="006D7887">
        <w:rPr>
          <w:rFonts w:ascii="Book Antiqua" w:eastAsia="Times New Roman" w:hAnsi="Book Antiqua" w:cs="Arial"/>
          <w:b/>
          <w:bCs/>
          <w:color w:val="FF0000"/>
          <w:sz w:val="16"/>
          <w:szCs w:val="16"/>
          <w:u w:val="single"/>
          <w:lang w:eastAsia="pt-BR"/>
        </w:rPr>
        <w:t>(AGU-2009/2023)</w:t>
      </w:r>
    </w:p>
    <w:p w14:paraId="5992ACD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lastRenderedPageBreak/>
        <w:t xml:space="preserve">§ 1º - A petição inicial será instruída com o memorial descritivo da área, de que trata o art. 3º desta Lei. </w:t>
      </w:r>
    </w:p>
    <w:p w14:paraId="6AFD7BA9"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A citação será feita por edital, observados os prazos e condições estabelecidos no art. 4º desta Lei. </w:t>
      </w:r>
    </w:p>
    <w:p w14:paraId="197DEE25" w14:textId="365B73F9"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22" w:name="art21"/>
      <w:bookmarkEnd w:id="22"/>
      <w:r w:rsidRPr="000C08D3">
        <w:rPr>
          <w:rFonts w:ascii="Book Antiqua" w:eastAsia="Times New Roman" w:hAnsi="Book Antiqua" w:cs="Arial"/>
          <w:b/>
          <w:sz w:val="19"/>
          <w:szCs w:val="19"/>
          <w:highlight w:val="magenta"/>
          <w:lang w:eastAsia="pt-BR"/>
        </w:rPr>
        <w:t>Art. 21</w:t>
      </w:r>
      <w:r w:rsidR="00B12E3B">
        <w:rPr>
          <w:rFonts w:ascii="Book Antiqua" w:eastAsia="Times New Roman" w:hAnsi="Book Antiqua" w:cs="Arial"/>
          <w:b/>
          <w:sz w:val="19"/>
          <w:szCs w:val="19"/>
          <w:lang w:eastAsia="pt-BR"/>
        </w:rPr>
        <w:t>.</w:t>
      </w:r>
      <w:r w:rsidRPr="000C08D3">
        <w:rPr>
          <w:rFonts w:ascii="Book Antiqua" w:eastAsia="Times New Roman" w:hAnsi="Book Antiqua" w:cs="Arial"/>
          <w:sz w:val="19"/>
          <w:szCs w:val="19"/>
          <w:lang w:eastAsia="pt-BR"/>
        </w:rPr>
        <w:t xml:space="preserve"> </w:t>
      </w:r>
      <w:r w:rsidRPr="00CD2918">
        <w:rPr>
          <w:rFonts w:ascii="Book Antiqua" w:eastAsia="Times New Roman" w:hAnsi="Book Antiqua" w:cs="Arial"/>
          <w:b/>
          <w:bCs/>
          <w:sz w:val="19"/>
          <w:szCs w:val="19"/>
          <w:lang w:eastAsia="pt-BR"/>
        </w:rPr>
        <w:t>Da sentença proferida caberá apelação somente no efeito devolutivo, facultada a execução provisória</w:t>
      </w:r>
      <w:r w:rsidRPr="00274FBD">
        <w:rPr>
          <w:rFonts w:ascii="Book Antiqua" w:eastAsia="Times New Roman" w:hAnsi="Book Antiqua" w:cs="Arial"/>
          <w:sz w:val="18"/>
          <w:szCs w:val="18"/>
          <w:lang w:eastAsia="pt-BR"/>
        </w:rPr>
        <w:t xml:space="preserve">. </w:t>
      </w:r>
      <w:r w:rsidR="00CD2918" w:rsidRPr="00274FBD">
        <w:rPr>
          <w:rFonts w:ascii="Book Antiqua" w:hAnsi="Book Antiqua"/>
          <w:b/>
          <w:bCs/>
          <w:color w:val="FF0000"/>
          <w:sz w:val="16"/>
          <w:szCs w:val="16"/>
          <w:u w:val="single"/>
        </w:rPr>
        <w:t>(AGU-2009)</w:t>
      </w:r>
    </w:p>
    <w:tbl>
      <w:tblPr>
        <w:tblStyle w:val="Tabelacomgrade"/>
        <w:tblW w:w="0" w:type="auto"/>
        <w:shd w:val="clear" w:color="auto" w:fill="CCFFFF"/>
        <w:tblLook w:val="04A0" w:firstRow="1" w:lastRow="0" w:firstColumn="1" w:lastColumn="0" w:noHBand="0" w:noVBand="1"/>
      </w:tblPr>
      <w:tblGrid>
        <w:gridCol w:w="8494"/>
      </w:tblGrid>
      <w:tr w:rsidR="003C225B" w:rsidRPr="000C08D3" w14:paraId="567FFD73" w14:textId="77777777" w:rsidTr="003C225B">
        <w:tc>
          <w:tcPr>
            <w:tcW w:w="8494" w:type="dxa"/>
            <w:shd w:val="clear" w:color="auto" w:fill="CCFFFF"/>
          </w:tcPr>
          <w:p w14:paraId="2090B9ED" w14:textId="77777777" w:rsidR="003C225B" w:rsidRPr="000C08D3" w:rsidRDefault="003C225B" w:rsidP="003C225B">
            <w:pPr>
              <w:spacing w:before="100" w:beforeAutospacing="1" w:after="100" w:afterAutospacing="1"/>
              <w:jc w:val="both"/>
              <w:rPr>
                <w:rFonts w:ascii="Book Antiqua" w:eastAsia="Times New Roman" w:hAnsi="Book Antiqua" w:cs="Arial"/>
                <w:b/>
                <w:sz w:val="19"/>
                <w:szCs w:val="19"/>
                <w:lang w:eastAsia="pt-BR"/>
              </w:rPr>
            </w:pPr>
            <w:r w:rsidRPr="000C08D3">
              <w:rPr>
                <w:rFonts w:ascii="Book Antiqua" w:eastAsia="Times New Roman" w:hAnsi="Book Antiqua" w:cs="Arial"/>
                <w:b/>
                <w:sz w:val="19"/>
                <w:szCs w:val="19"/>
                <w:lang w:eastAsia="pt-BR"/>
              </w:rPr>
              <w:t>(</w:t>
            </w:r>
            <w:r w:rsidRPr="000C08D3">
              <w:rPr>
                <w:rFonts w:ascii="Book Antiqua" w:eastAsia="Times New Roman" w:hAnsi="Book Antiqua" w:cs="Arial"/>
                <w:b/>
                <w:sz w:val="19"/>
                <w:szCs w:val="19"/>
                <w:highlight w:val="yellow"/>
                <w:lang w:eastAsia="pt-BR"/>
              </w:rPr>
              <w:t>AGU-2009-CESPE</w:t>
            </w:r>
            <w:r w:rsidRPr="000C08D3">
              <w:rPr>
                <w:rFonts w:ascii="Book Antiqua" w:eastAsia="Times New Roman" w:hAnsi="Book Antiqua" w:cs="Arial"/>
                <w:b/>
                <w:sz w:val="19"/>
                <w:szCs w:val="19"/>
                <w:lang w:eastAsia="pt-BR"/>
              </w:rPr>
              <w:t>)</w:t>
            </w:r>
            <w:r w:rsidRPr="000C08D3">
              <w:rPr>
                <w:rFonts w:ascii="Book Antiqua" w:eastAsia="Times New Roman" w:hAnsi="Book Antiqua" w:cs="Arial"/>
                <w:sz w:val="19"/>
                <w:szCs w:val="19"/>
                <w:lang w:eastAsia="pt-BR"/>
              </w:rPr>
              <w:t xml:space="preserve">: No que diz respeito à ação discriminatória, julgue o item subsequente: O processo discriminatório pode ser administrativo ou judicial, sendo certo que, frustrado o processo administrativo por presumida ineficácia, será intentada a ação discriminatória, que deverá seguir o rito sumário previsto no art. 275 do CPC e se encerrará por sentença cuja eventual apelação não será recebida com efeito suspensivo. </w:t>
            </w:r>
            <w:r w:rsidRPr="000C08D3">
              <w:rPr>
                <w:rFonts w:ascii="Book Antiqua" w:eastAsia="Times New Roman" w:hAnsi="Book Antiqua" w:cs="Arial"/>
                <w:b/>
                <w:sz w:val="19"/>
                <w:szCs w:val="19"/>
                <w:lang w:eastAsia="pt-BR"/>
              </w:rPr>
              <w:t xml:space="preserve">BL: </w:t>
            </w:r>
            <w:proofErr w:type="spellStart"/>
            <w:r w:rsidRPr="000C08D3">
              <w:rPr>
                <w:rFonts w:ascii="Book Antiqua" w:eastAsia="Times New Roman" w:hAnsi="Book Antiqua" w:cs="Arial"/>
                <w:b/>
                <w:sz w:val="19"/>
                <w:szCs w:val="19"/>
                <w:lang w:eastAsia="pt-BR"/>
              </w:rPr>
              <w:t>arts</w:t>
            </w:r>
            <w:proofErr w:type="spellEnd"/>
            <w:r w:rsidRPr="000C08D3">
              <w:rPr>
                <w:rFonts w:ascii="Book Antiqua" w:eastAsia="Times New Roman" w:hAnsi="Book Antiqua" w:cs="Arial"/>
                <w:b/>
                <w:sz w:val="19"/>
                <w:szCs w:val="19"/>
                <w:lang w:eastAsia="pt-BR"/>
              </w:rPr>
              <w:t>. 19, 20 e 21 da Lei 6383.</w:t>
            </w:r>
          </w:p>
          <w:p w14:paraId="6E9147E5" w14:textId="441B62F5" w:rsidR="003C225B" w:rsidRPr="000C08D3" w:rsidRDefault="00DF0AF3" w:rsidP="003C225B">
            <w:pPr>
              <w:spacing w:before="100" w:beforeAutospacing="1" w:after="100" w:afterAutospacing="1"/>
              <w:jc w:val="both"/>
              <w:rPr>
                <w:rFonts w:ascii="Book Antiqua" w:eastAsia="Times New Roman" w:hAnsi="Book Antiqua" w:cs="Arial"/>
                <w:sz w:val="19"/>
                <w:szCs w:val="19"/>
                <w:lang w:eastAsia="pt-BR"/>
              </w:rPr>
            </w:pPr>
            <w:r w:rsidRPr="00DF0AF3">
              <w:rPr>
                <w:rFonts w:ascii="Book Antiqua" w:eastAsia="Times New Roman" w:hAnsi="Book Antiqua" w:cs="Arial"/>
                <w:b/>
                <w:i/>
                <w:iCs/>
                <w:color w:val="FF0000"/>
                <w:sz w:val="19"/>
                <w:szCs w:val="19"/>
                <w:lang w:eastAsia="pt-BR"/>
              </w:rPr>
              <w:t>#</w:t>
            </w:r>
            <w:r w:rsidRPr="00DF0AF3">
              <w:rPr>
                <w:rFonts w:ascii="Book Antiqua" w:eastAsia="Times New Roman" w:hAnsi="Book Antiqua" w:cs="Arial"/>
                <w:b/>
                <w:i/>
                <w:iCs/>
                <w:color w:val="FF0000"/>
                <w:sz w:val="19"/>
                <w:szCs w:val="19"/>
                <w:highlight w:val="green"/>
                <w:lang w:eastAsia="pt-BR"/>
              </w:rPr>
              <w:t>Atenção</w:t>
            </w:r>
            <w:r w:rsidR="003C225B" w:rsidRPr="000C08D3">
              <w:rPr>
                <w:rFonts w:ascii="Book Antiqua" w:eastAsia="Times New Roman" w:hAnsi="Book Antiqua" w:cs="Arial"/>
                <w:sz w:val="19"/>
                <w:szCs w:val="19"/>
                <w:lang w:eastAsia="pt-BR"/>
              </w:rPr>
              <w:t xml:space="preserve">: O art. 20 da Lei 6.383/76 prevê rito SUMARÍSSIMO porque é anterior à Lei 8.952/94, que deu nova redação ao art. 272 do CPC/73. Em outras palavras, o rito sumaríssimo era o do art. 275 e </w:t>
            </w:r>
            <w:proofErr w:type="spellStart"/>
            <w:r w:rsidR="003C225B" w:rsidRPr="000C08D3">
              <w:rPr>
                <w:rFonts w:ascii="Book Antiqua" w:eastAsia="Times New Roman" w:hAnsi="Book Antiqua" w:cs="Arial"/>
                <w:sz w:val="19"/>
                <w:szCs w:val="19"/>
                <w:lang w:eastAsia="pt-BR"/>
              </w:rPr>
              <w:t>segs</w:t>
            </w:r>
            <w:proofErr w:type="spellEnd"/>
            <w:r w:rsidR="003C225B" w:rsidRPr="000C08D3">
              <w:rPr>
                <w:rFonts w:ascii="Book Antiqua" w:eastAsia="Times New Roman" w:hAnsi="Book Antiqua" w:cs="Arial"/>
                <w:sz w:val="19"/>
                <w:szCs w:val="19"/>
                <w:lang w:eastAsia="pt-BR"/>
              </w:rPr>
              <w:t xml:space="preserve"> do CPC/73, antes da Lei 9.245/95.</w:t>
            </w:r>
          </w:p>
        </w:tc>
      </w:tr>
    </w:tbl>
    <w:p w14:paraId="0F25BCB7" w14:textId="56CD423D"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23" w:name="art22"/>
      <w:bookmarkEnd w:id="23"/>
      <w:r w:rsidRPr="006F07A3">
        <w:rPr>
          <w:rFonts w:ascii="Book Antiqua" w:eastAsia="Times New Roman" w:hAnsi="Book Antiqua" w:cs="Arial"/>
          <w:b/>
          <w:bCs/>
          <w:sz w:val="19"/>
          <w:szCs w:val="19"/>
          <w:highlight w:val="magenta"/>
          <w:lang w:eastAsia="pt-BR"/>
        </w:rPr>
        <w:t>Art. 22</w:t>
      </w:r>
      <w:r w:rsidRPr="006F07A3">
        <w:rPr>
          <w:rFonts w:ascii="Book Antiqua" w:eastAsia="Times New Roman" w:hAnsi="Book Antiqua" w:cs="Arial"/>
          <w:b/>
          <w:bCs/>
          <w:sz w:val="19"/>
          <w:szCs w:val="19"/>
          <w:lang w:eastAsia="pt-BR"/>
        </w:rPr>
        <w:t xml:space="preserve"> - A demarcação da área será procedida, ainda que em execução provisória da sentença, valendo esta, para efeitos de registro, como título de propriedade</w:t>
      </w:r>
      <w:r w:rsidRPr="00274FBD">
        <w:rPr>
          <w:rFonts w:ascii="Book Antiqua" w:eastAsia="Times New Roman" w:hAnsi="Book Antiqua" w:cs="Arial"/>
          <w:sz w:val="18"/>
          <w:szCs w:val="18"/>
          <w:lang w:eastAsia="pt-BR"/>
        </w:rPr>
        <w:t xml:space="preserve">. </w:t>
      </w:r>
      <w:r w:rsidR="006F07A3" w:rsidRPr="00274FBD">
        <w:rPr>
          <w:rFonts w:ascii="Book Antiqua" w:eastAsia="Times New Roman" w:hAnsi="Book Antiqua" w:cs="Arial"/>
          <w:b/>
          <w:bCs/>
          <w:color w:val="FF0000"/>
          <w:sz w:val="16"/>
          <w:szCs w:val="16"/>
          <w:u w:val="single"/>
          <w:lang w:eastAsia="pt-BR"/>
        </w:rPr>
        <w:t>(Cartórios/TJMG-2018)</w:t>
      </w:r>
    </w:p>
    <w:p w14:paraId="35C55F98" w14:textId="0E00FBA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D7887">
        <w:rPr>
          <w:rFonts w:ascii="Book Antiqua" w:eastAsia="Times New Roman" w:hAnsi="Book Antiqua" w:cs="Arial"/>
          <w:b/>
          <w:bCs/>
          <w:sz w:val="19"/>
          <w:szCs w:val="19"/>
          <w:highlight w:val="magenta"/>
          <w:lang w:eastAsia="pt-BR"/>
        </w:rPr>
        <w:t>Parágrafo único</w:t>
      </w:r>
      <w:r w:rsidRPr="006D7887">
        <w:rPr>
          <w:rFonts w:ascii="Book Antiqua" w:eastAsia="Times New Roman" w:hAnsi="Book Antiqua" w:cs="Arial"/>
          <w:b/>
          <w:bCs/>
          <w:sz w:val="19"/>
          <w:szCs w:val="19"/>
          <w:lang w:eastAsia="pt-BR"/>
        </w:rPr>
        <w:t xml:space="preserve">. Na demarcação observar-se-á, no que couber, o procedimento prescrito nos </w:t>
      </w:r>
      <w:hyperlink r:id="rId6" w:anchor="art958" w:history="1">
        <w:r w:rsidRPr="006D7887">
          <w:rPr>
            <w:rFonts w:ascii="Book Antiqua" w:eastAsia="Times New Roman" w:hAnsi="Book Antiqua" w:cs="Arial"/>
            <w:b/>
            <w:bCs/>
            <w:color w:val="0000FF"/>
            <w:sz w:val="19"/>
            <w:szCs w:val="19"/>
            <w:u w:val="single"/>
            <w:lang w:eastAsia="pt-BR"/>
          </w:rPr>
          <w:t>artigos 959 a 966 do Código de Processo Civil.</w:t>
        </w:r>
        <w:r w:rsidRPr="006D7887">
          <w:rPr>
            <w:rFonts w:ascii="Book Antiqua" w:eastAsia="Times New Roman" w:hAnsi="Book Antiqua" w:cs="Arial"/>
            <w:color w:val="0000FF"/>
            <w:sz w:val="19"/>
            <w:szCs w:val="19"/>
            <w:lang w:eastAsia="pt-BR"/>
          </w:rPr>
          <w:t xml:space="preserve"> </w:t>
        </w:r>
      </w:hyperlink>
      <w:r w:rsidR="006D7887" w:rsidRPr="00274FBD">
        <w:rPr>
          <w:rFonts w:ascii="Book Antiqua" w:eastAsia="Times New Roman" w:hAnsi="Book Antiqua" w:cs="Arial"/>
          <w:b/>
          <w:bCs/>
          <w:color w:val="FF0000"/>
          <w:sz w:val="16"/>
          <w:szCs w:val="16"/>
          <w:u w:val="single"/>
          <w:lang w:eastAsia="pt-BR"/>
        </w:rPr>
        <w:t>(TRF5-2017)</w:t>
      </w:r>
      <w:r w:rsidR="006D7887">
        <w:rPr>
          <w:rFonts w:ascii="Book Antiqua" w:eastAsia="Times New Roman" w:hAnsi="Book Antiqua" w:cs="Arial"/>
          <w:b/>
          <w:bCs/>
          <w:color w:val="FF0000"/>
          <w:sz w:val="16"/>
          <w:szCs w:val="16"/>
          <w:lang w:eastAsia="pt-BR"/>
        </w:rPr>
        <w:t xml:space="preserve"> </w:t>
      </w:r>
      <w:r w:rsidR="006D7887">
        <w:rPr>
          <w:rFonts w:ascii="Book Antiqua" w:eastAsia="Times New Roman" w:hAnsi="Book Antiqua" w:cs="Arial"/>
          <w:b/>
          <w:bCs/>
          <w:color w:val="FF0000"/>
          <w:sz w:val="16"/>
          <w:szCs w:val="16"/>
          <w:u w:val="single"/>
          <w:lang w:eastAsia="pt-BR"/>
        </w:rPr>
        <w:t>(AGU-2009/2023)</w:t>
      </w:r>
    </w:p>
    <w:p w14:paraId="6FF11D0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4" w:name="art23"/>
      <w:bookmarkEnd w:id="24"/>
      <w:r w:rsidRPr="000C08D3">
        <w:rPr>
          <w:rFonts w:ascii="Book Antiqua" w:eastAsia="Times New Roman" w:hAnsi="Book Antiqua" w:cs="Arial"/>
          <w:sz w:val="19"/>
          <w:szCs w:val="19"/>
          <w:lang w:eastAsia="pt-BR"/>
        </w:rPr>
        <w:t xml:space="preserve">Art. 23 - O processo discriminatório judicial tem caráter preferencial e prejudicial em relação às ações em andamento, referentes a domínio ou posse de imóveis situados, no todo ou em parte, na área discriminada, determinando o imediato deslocamento da competência para a Justiça Federal. </w:t>
      </w:r>
    </w:p>
    <w:p w14:paraId="0FF2F148"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Parágrafo único. Nas ações em que a União não for parte, dar-se-á, para os efeitos previstos neste artigo, a sua intervenção. </w:t>
      </w:r>
    </w:p>
    <w:p w14:paraId="761F0DED"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CAPÍTULO IV</w:t>
      </w:r>
    </w:p>
    <w:p w14:paraId="206634D6" w14:textId="77777777" w:rsidR="003C225B" w:rsidRPr="000C08D3" w:rsidRDefault="003C225B" w:rsidP="003C225B">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Das Disposições Gerais e Finais </w:t>
      </w:r>
    </w:p>
    <w:p w14:paraId="0C05B369" w14:textId="4593D551"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 w:name="art24"/>
      <w:bookmarkEnd w:id="25"/>
      <w:r w:rsidRPr="006F07A3">
        <w:rPr>
          <w:rFonts w:ascii="Book Antiqua" w:eastAsia="Times New Roman" w:hAnsi="Book Antiqua" w:cs="Arial"/>
          <w:b/>
          <w:bCs/>
          <w:sz w:val="19"/>
          <w:szCs w:val="19"/>
          <w:highlight w:val="magenta"/>
          <w:lang w:eastAsia="pt-BR"/>
        </w:rPr>
        <w:t>Art. 24</w:t>
      </w:r>
      <w:r w:rsidRPr="006F07A3">
        <w:rPr>
          <w:rFonts w:ascii="Book Antiqua" w:eastAsia="Times New Roman" w:hAnsi="Book Antiqua" w:cs="Arial"/>
          <w:b/>
          <w:bCs/>
          <w:sz w:val="19"/>
          <w:szCs w:val="19"/>
          <w:lang w:eastAsia="pt-BR"/>
        </w:rPr>
        <w:t xml:space="preserve"> - Iniciado o processo discriminatório, não poderão alterar-se quaisquer divisas na área discriminada, sendo defesa a derrubada da cobertura vegetal, a construção de cercas e transferências de benfeitorias a qualquer título, sem assentimento do representante da União</w:t>
      </w:r>
      <w:r w:rsidRPr="00274FBD">
        <w:rPr>
          <w:rFonts w:ascii="Book Antiqua" w:eastAsia="Times New Roman" w:hAnsi="Book Antiqua" w:cs="Arial"/>
          <w:sz w:val="16"/>
          <w:szCs w:val="16"/>
          <w:lang w:eastAsia="pt-BR"/>
        </w:rPr>
        <w:t xml:space="preserve">. </w:t>
      </w:r>
      <w:r w:rsidR="006F07A3" w:rsidRPr="00274FBD">
        <w:rPr>
          <w:rFonts w:ascii="Book Antiqua" w:eastAsia="Times New Roman" w:hAnsi="Book Antiqua" w:cs="Arial"/>
          <w:sz w:val="16"/>
          <w:szCs w:val="16"/>
          <w:lang w:eastAsia="pt-BR"/>
        </w:rPr>
        <w:t xml:space="preserve"> </w:t>
      </w:r>
      <w:r w:rsidR="006F07A3" w:rsidRPr="00274FBD">
        <w:rPr>
          <w:rFonts w:ascii="Book Antiqua" w:eastAsia="Times New Roman" w:hAnsi="Book Antiqua" w:cs="Arial"/>
          <w:b/>
          <w:bCs/>
          <w:color w:val="FF0000"/>
          <w:sz w:val="16"/>
          <w:szCs w:val="16"/>
          <w:u w:val="single"/>
          <w:lang w:eastAsia="pt-BR"/>
        </w:rPr>
        <w:t>(Cartórios/TJMG-2018)</w:t>
      </w:r>
    </w:p>
    <w:p w14:paraId="51C0896D" w14:textId="536B4F47" w:rsidR="003C225B" w:rsidRPr="00274FBD" w:rsidRDefault="003C225B" w:rsidP="003C225B">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26" w:name="art25"/>
      <w:bookmarkEnd w:id="26"/>
      <w:r w:rsidRPr="006F07A3">
        <w:rPr>
          <w:rFonts w:ascii="Book Antiqua" w:eastAsia="Times New Roman" w:hAnsi="Book Antiqua" w:cs="Arial"/>
          <w:b/>
          <w:bCs/>
          <w:sz w:val="19"/>
          <w:szCs w:val="19"/>
          <w:highlight w:val="magenta"/>
          <w:lang w:eastAsia="pt-BR"/>
        </w:rPr>
        <w:t>Art. 25</w:t>
      </w:r>
      <w:r w:rsidRPr="006F07A3">
        <w:rPr>
          <w:rFonts w:ascii="Book Antiqua" w:eastAsia="Times New Roman" w:hAnsi="Book Antiqua" w:cs="Arial"/>
          <w:b/>
          <w:bCs/>
          <w:sz w:val="19"/>
          <w:szCs w:val="19"/>
          <w:lang w:eastAsia="pt-BR"/>
        </w:rPr>
        <w:t xml:space="preserve"> - A infração ao disposto no artigo anterior constituirá atentado, cabendo a aplicação das medidas cautelares previstas no Código de Processo Civil</w:t>
      </w:r>
      <w:r w:rsidRPr="00274FBD">
        <w:rPr>
          <w:rFonts w:ascii="Book Antiqua" w:eastAsia="Times New Roman" w:hAnsi="Book Antiqua" w:cs="Arial"/>
          <w:sz w:val="18"/>
          <w:szCs w:val="18"/>
          <w:lang w:eastAsia="pt-BR"/>
        </w:rPr>
        <w:t xml:space="preserve">. </w:t>
      </w:r>
      <w:r w:rsidR="006F07A3" w:rsidRPr="00274FBD">
        <w:rPr>
          <w:rFonts w:ascii="Book Antiqua" w:eastAsia="Times New Roman" w:hAnsi="Book Antiqua" w:cs="Arial"/>
          <w:b/>
          <w:bCs/>
          <w:color w:val="FF0000"/>
          <w:sz w:val="16"/>
          <w:szCs w:val="16"/>
          <w:u w:val="single"/>
          <w:lang w:eastAsia="pt-BR"/>
        </w:rPr>
        <w:t>(Cartórios/TJMG-2018)</w:t>
      </w:r>
    </w:p>
    <w:p w14:paraId="626502F9"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7" w:name="art26"/>
      <w:bookmarkEnd w:id="27"/>
      <w:r w:rsidRPr="000C08D3">
        <w:rPr>
          <w:rFonts w:ascii="Book Antiqua" w:eastAsia="Times New Roman" w:hAnsi="Book Antiqua" w:cs="Arial"/>
          <w:sz w:val="19"/>
          <w:szCs w:val="19"/>
          <w:lang w:eastAsia="pt-BR"/>
        </w:rPr>
        <w:t xml:space="preserve">Art. 26 - No processo discriminatório judicial os vencidos pagarão as custas a que houverem dado causa e participarão pro rata das despesas da demarcação, considerada a extensão da linha ou linhas de confrontação com as áreas públicas. </w:t>
      </w:r>
    </w:p>
    <w:p w14:paraId="582FE545"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8" w:name="art27"/>
      <w:bookmarkEnd w:id="28"/>
      <w:r w:rsidRPr="000C08D3">
        <w:rPr>
          <w:rFonts w:ascii="Book Antiqua" w:eastAsia="Times New Roman" w:hAnsi="Book Antiqua" w:cs="Arial"/>
          <w:sz w:val="19"/>
          <w:szCs w:val="19"/>
          <w:lang w:eastAsia="pt-BR"/>
        </w:rPr>
        <w:t xml:space="preserve">Art. 27 - O processo discriminatório previsto nesta Lei aplicar-se-á, no que couber, às terras devolutas estaduais, observado o seguinte: </w:t>
      </w:r>
    </w:p>
    <w:p w14:paraId="407B679A"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 - </w:t>
      </w:r>
      <w:proofErr w:type="gramStart"/>
      <w:r w:rsidRPr="000C08D3">
        <w:rPr>
          <w:rFonts w:ascii="Book Antiqua" w:eastAsia="Times New Roman" w:hAnsi="Book Antiqua" w:cs="Arial"/>
          <w:sz w:val="19"/>
          <w:szCs w:val="19"/>
          <w:lang w:eastAsia="pt-BR"/>
        </w:rPr>
        <w:t>na</w:t>
      </w:r>
      <w:proofErr w:type="gramEnd"/>
      <w:r w:rsidRPr="000C08D3">
        <w:rPr>
          <w:rFonts w:ascii="Book Antiqua" w:eastAsia="Times New Roman" w:hAnsi="Book Antiqua" w:cs="Arial"/>
          <w:sz w:val="19"/>
          <w:szCs w:val="19"/>
          <w:lang w:eastAsia="pt-BR"/>
        </w:rPr>
        <w:t xml:space="preserve"> instância administrativa, por intermédio de órgão estadual específico, ou através do Instituto Nacional de Colonização e Reforma Agrária - INCRA, mediante convênio; </w:t>
      </w:r>
    </w:p>
    <w:p w14:paraId="59424920"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II - </w:t>
      </w:r>
      <w:proofErr w:type="gramStart"/>
      <w:r w:rsidRPr="000C08D3">
        <w:rPr>
          <w:rFonts w:ascii="Book Antiqua" w:eastAsia="Times New Roman" w:hAnsi="Book Antiqua" w:cs="Arial"/>
          <w:sz w:val="19"/>
          <w:szCs w:val="19"/>
          <w:lang w:eastAsia="pt-BR"/>
        </w:rPr>
        <w:t>na</w:t>
      </w:r>
      <w:proofErr w:type="gramEnd"/>
      <w:r w:rsidRPr="000C08D3">
        <w:rPr>
          <w:rFonts w:ascii="Book Antiqua" w:eastAsia="Times New Roman" w:hAnsi="Book Antiqua" w:cs="Arial"/>
          <w:sz w:val="19"/>
          <w:szCs w:val="19"/>
          <w:lang w:eastAsia="pt-BR"/>
        </w:rPr>
        <w:t xml:space="preserve"> instância judicial, na conformidade do que dispuser a Lei de Organização Judiciária local. </w:t>
      </w:r>
    </w:p>
    <w:p w14:paraId="5EFC23B8"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9" w:name="art28"/>
      <w:bookmarkEnd w:id="29"/>
      <w:r w:rsidRPr="000C08D3">
        <w:rPr>
          <w:rFonts w:ascii="Book Antiqua" w:eastAsia="Times New Roman" w:hAnsi="Book Antiqua" w:cs="Arial"/>
          <w:sz w:val="19"/>
          <w:szCs w:val="19"/>
          <w:lang w:eastAsia="pt-BR"/>
        </w:rPr>
        <w:t xml:space="preserve">Art. 28 - Sempre que se apurar, através de pesquisa nos registros públicos, a inexistência de domínio particular em áreas rurais declaradas indispensáveis à segurança e ao desenvolvimento nacionais, a União, desde logo, as arrecadará mediante ato do presidente do Instituto Nacional de Colonização e Reforma Agrária - INCRA, do qual constará: </w:t>
      </w:r>
    </w:p>
    <w:p w14:paraId="09F3348C"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lastRenderedPageBreak/>
        <w:t xml:space="preserve">I - </w:t>
      </w:r>
      <w:proofErr w:type="gramStart"/>
      <w:r w:rsidRPr="000C08D3">
        <w:rPr>
          <w:rFonts w:ascii="Book Antiqua" w:eastAsia="Times New Roman" w:hAnsi="Book Antiqua" w:cs="Arial"/>
          <w:sz w:val="19"/>
          <w:szCs w:val="19"/>
          <w:lang w:eastAsia="pt-BR"/>
        </w:rPr>
        <w:t>a</w:t>
      </w:r>
      <w:proofErr w:type="gramEnd"/>
      <w:r w:rsidRPr="000C08D3">
        <w:rPr>
          <w:rFonts w:ascii="Book Antiqua" w:eastAsia="Times New Roman" w:hAnsi="Book Antiqua" w:cs="Arial"/>
          <w:sz w:val="19"/>
          <w:szCs w:val="19"/>
          <w:lang w:eastAsia="pt-BR"/>
        </w:rPr>
        <w:t xml:space="preserve"> circunscrição judiciária ou administrativa em que está situado o imóvel, conforme o critério adotado pela legislação local; </w:t>
      </w:r>
    </w:p>
    <w:p w14:paraId="5233852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II - </w:t>
      </w:r>
      <w:proofErr w:type="gramStart"/>
      <w:r w:rsidRPr="000C08D3">
        <w:rPr>
          <w:rFonts w:ascii="Book Antiqua" w:eastAsia="Times New Roman" w:hAnsi="Book Antiqua" w:cs="Arial"/>
          <w:sz w:val="19"/>
          <w:szCs w:val="19"/>
          <w:lang w:eastAsia="pt-BR"/>
        </w:rPr>
        <w:t>a</w:t>
      </w:r>
      <w:proofErr w:type="gramEnd"/>
      <w:r w:rsidRPr="000C08D3">
        <w:rPr>
          <w:rFonts w:ascii="Book Antiqua" w:eastAsia="Times New Roman" w:hAnsi="Book Antiqua" w:cs="Arial"/>
          <w:sz w:val="19"/>
          <w:szCs w:val="19"/>
          <w:lang w:eastAsia="pt-BR"/>
        </w:rPr>
        <w:t xml:space="preserve"> eventual denominação, as características e confrontações do imóvel. </w:t>
      </w:r>
    </w:p>
    <w:p w14:paraId="1D87D5AE"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1º - A autoridade que promover a pesquisa, para fins deste artigo, instruirá o processo de arrecadação com certidão negativa comprobatória da inexistência de domínio particular, expedida pelo Cartório de Registro de Imóveis, certidões do Serviço do Patrimônio da União e do órgão estadual competente que comprovem não haver contestação ou reclamação administrativa promovida por terceiros, quanto ao domínio e posse do imóvel. </w:t>
      </w:r>
    </w:p>
    <w:p w14:paraId="7F1D23A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As certidões negativas mencionadas neste artigo consignarão expressamente a sua finalidade. </w:t>
      </w:r>
    </w:p>
    <w:p w14:paraId="1BED2398"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0" w:name="art29"/>
      <w:bookmarkEnd w:id="30"/>
      <w:r w:rsidRPr="000C08D3">
        <w:rPr>
          <w:rFonts w:ascii="Book Antiqua" w:eastAsia="Times New Roman" w:hAnsi="Book Antiqua" w:cs="Arial"/>
          <w:sz w:val="19"/>
          <w:szCs w:val="19"/>
          <w:lang w:eastAsia="pt-BR"/>
        </w:rPr>
        <w:t xml:space="preserve">Art. 29 - O ocupante de terras públicas, que as tenha tornado produtivas com o seu trabalho e o de sua família, fará jus à legitimação da posse de área contínua até 100 (cem) hectares, desde que preencha os seguintes requisitos: </w:t>
      </w:r>
    </w:p>
    <w:p w14:paraId="737B4FF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1" w:name="art29i"/>
      <w:bookmarkEnd w:id="31"/>
      <w:r w:rsidRPr="000C08D3">
        <w:rPr>
          <w:rFonts w:ascii="Book Antiqua" w:eastAsia="Times New Roman" w:hAnsi="Book Antiqua" w:cs="Arial"/>
          <w:sz w:val="19"/>
          <w:szCs w:val="19"/>
          <w:lang w:eastAsia="pt-BR"/>
        </w:rPr>
        <w:t xml:space="preserve">I - </w:t>
      </w:r>
      <w:proofErr w:type="gramStart"/>
      <w:r w:rsidRPr="000C08D3">
        <w:rPr>
          <w:rFonts w:ascii="Book Antiqua" w:eastAsia="Times New Roman" w:hAnsi="Book Antiqua" w:cs="Arial"/>
          <w:sz w:val="19"/>
          <w:szCs w:val="19"/>
          <w:lang w:eastAsia="pt-BR"/>
        </w:rPr>
        <w:t>não</w:t>
      </w:r>
      <w:proofErr w:type="gramEnd"/>
      <w:r w:rsidRPr="000C08D3">
        <w:rPr>
          <w:rFonts w:ascii="Book Antiqua" w:eastAsia="Times New Roman" w:hAnsi="Book Antiqua" w:cs="Arial"/>
          <w:sz w:val="19"/>
          <w:szCs w:val="19"/>
          <w:lang w:eastAsia="pt-BR"/>
        </w:rPr>
        <w:t xml:space="preserve"> seja proprietário de imóvel rural; </w:t>
      </w:r>
    </w:p>
    <w:p w14:paraId="5CB7971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2" w:name="art29ii"/>
      <w:bookmarkEnd w:id="32"/>
      <w:r w:rsidRPr="000C08D3">
        <w:rPr>
          <w:rFonts w:ascii="Book Antiqua" w:eastAsia="Times New Roman" w:hAnsi="Book Antiqua" w:cs="Arial"/>
          <w:sz w:val="19"/>
          <w:szCs w:val="19"/>
          <w:lang w:eastAsia="pt-BR"/>
        </w:rPr>
        <w:t xml:space="preserve">II - </w:t>
      </w:r>
      <w:proofErr w:type="gramStart"/>
      <w:r w:rsidRPr="000C08D3">
        <w:rPr>
          <w:rFonts w:ascii="Book Antiqua" w:eastAsia="Times New Roman" w:hAnsi="Book Antiqua" w:cs="Arial"/>
          <w:sz w:val="19"/>
          <w:szCs w:val="19"/>
          <w:lang w:eastAsia="pt-BR"/>
        </w:rPr>
        <w:t>comprove</w:t>
      </w:r>
      <w:proofErr w:type="gramEnd"/>
      <w:r w:rsidRPr="000C08D3">
        <w:rPr>
          <w:rFonts w:ascii="Book Antiqua" w:eastAsia="Times New Roman" w:hAnsi="Book Antiqua" w:cs="Arial"/>
          <w:sz w:val="19"/>
          <w:szCs w:val="19"/>
          <w:lang w:eastAsia="pt-BR"/>
        </w:rPr>
        <w:t xml:space="preserve"> a morada permanente e cultura efetiva, pelo prazo mínimo de 1 (um) ano. </w:t>
      </w:r>
    </w:p>
    <w:p w14:paraId="0A8733E1"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3" w:name="art29§1."/>
      <w:bookmarkStart w:id="34" w:name="art29§1.."/>
      <w:bookmarkEnd w:id="33"/>
      <w:bookmarkEnd w:id="34"/>
      <w:r w:rsidRPr="000C08D3">
        <w:rPr>
          <w:rFonts w:ascii="Book Antiqua" w:eastAsia="Times New Roman" w:hAnsi="Book Antiqua" w:cs="Arial"/>
          <w:sz w:val="19"/>
          <w:szCs w:val="19"/>
          <w:lang w:eastAsia="pt-BR"/>
        </w:rPr>
        <w:t xml:space="preserve">§ 1º - A legitimação da posse de que trata o presente artigo consistirá no fornecimento de uma Licença de Ocupação, pelo prazo mínimo de mais 4 (quatro) anos, findo o qual o ocupante terá a preferência para aquisição do lote, pelo valor histórico da terra nua, satisfeitos os requisitos de morada permanente e cultura efetiva e comprovada a sua capacidade para desenvolver a área ocupada. </w:t>
      </w:r>
    </w:p>
    <w:p w14:paraId="7FDDE56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5" w:name="art29§2"/>
      <w:bookmarkEnd w:id="35"/>
      <w:r w:rsidRPr="000C08D3">
        <w:rPr>
          <w:rFonts w:ascii="Book Antiqua" w:eastAsia="Times New Roman" w:hAnsi="Book Antiqua" w:cs="Arial"/>
          <w:sz w:val="19"/>
          <w:szCs w:val="19"/>
          <w:lang w:eastAsia="pt-BR"/>
        </w:rPr>
        <w:t xml:space="preserve">§ 2º - Aos portadores de Licenças de Ocupação, concedidas na forma da legislação anterior, será assegurada a preferência para aquisição de área até 100 (cem) hectares, nas condições do parágrafo anterior, e, o que exceder esse limite, pelo valor atual da terra nua. </w:t>
      </w:r>
    </w:p>
    <w:p w14:paraId="7EB66FC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6" w:name="art29§3"/>
      <w:bookmarkEnd w:id="36"/>
      <w:r w:rsidRPr="000C08D3">
        <w:rPr>
          <w:rFonts w:ascii="Book Antiqua" w:eastAsia="Times New Roman" w:hAnsi="Book Antiqua" w:cs="Arial"/>
          <w:sz w:val="19"/>
          <w:szCs w:val="19"/>
          <w:lang w:eastAsia="pt-BR"/>
        </w:rPr>
        <w:t xml:space="preserve">§ 3º - A Licença de Ocupação será intransferível </w:t>
      </w:r>
      <w:proofErr w:type="spellStart"/>
      <w:r w:rsidRPr="000C08D3">
        <w:rPr>
          <w:rFonts w:ascii="Book Antiqua" w:eastAsia="Times New Roman" w:hAnsi="Book Antiqua" w:cs="Arial"/>
          <w:sz w:val="19"/>
          <w:szCs w:val="19"/>
          <w:lang w:eastAsia="pt-BR"/>
        </w:rPr>
        <w:t>inter</w:t>
      </w:r>
      <w:proofErr w:type="spellEnd"/>
      <w:r w:rsidRPr="000C08D3">
        <w:rPr>
          <w:rFonts w:ascii="Book Antiqua" w:eastAsia="Times New Roman" w:hAnsi="Book Antiqua" w:cs="Arial"/>
          <w:sz w:val="19"/>
          <w:szCs w:val="19"/>
          <w:lang w:eastAsia="pt-BR"/>
        </w:rPr>
        <w:t xml:space="preserve"> vivos e inegociável, não podendo ser objeto de penhora e arresto. </w:t>
      </w:r>
    </w:p>
    <w:p w14:paraId="37EA99D4"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7" w:name="art30"/>
      <w:bookmarkEnd w:id="37"/>
      <w:r w:rsidRPr="000C08D3">
        <w:rPr>
          <w:rFonts w:ascii="Book Antiqua" w:eastAsia="Times New Roman" w:hAnsi="Book Antiqua" w:cs="Arial"/>
          <w:sz w:val="19"/>
          <w:szCs w:val="19"/>
          <w:lang w:eastAsia="pt-BR"/>
        </w:rPr>
        <w:t xml:space="preserve">Art. 30 - A Licença de Ocupação dará acesso aos financiamentos concedidos pelas instituições financeiras integrantes do Sistema Nacional de Crédito Rural. </w:t>
      </w:r>
    </w:p>
    <w:p w14:paraId="3E1C3BF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1º - As obrigações assumidas pelo detentor de Licença de Ocupação serão garantidas pelo Instituto Nacional de Colonização e Reforma Agrária - INCRA. </w:t>
      </w:r>
    </w:p>
    <w:p w14:paraId="5C349C4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Ocorrendo inadimplência do favorecido, o Instituto Nacional de colonização e Reforma Agrária - INCRA cancelará a Licença de Ocupação e providenciará a alienação do imóvel, na forma da lei, a fim de ressarcir-se do que houver assegurado. </w:t>
      </w:r>
    </w:p>
    <w:p w14:paraId="695B9F0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8" w:name="art31"/>
      <w:bookmarkEnd w:id="38"/>
      <w:r w:rsidRPr="000C08D3">
        <w:rPr>
          <w:rFonts w:ascii="Book Antiqua" w:eastAsia="Times New Roman" w:hAnsi="Book Antiqua" w:cs="Arial"/>
          <w:sz w:val="19"/>
          <w:szCs w:val="19"/>
          <w:lang w:eastAsia="pt-BR"/>
        </w:rPr>
        <w:t xml:space="preserve">Art. 31 - A União poderá, por necessidade ou utilidade pública, em qualquer tempo que necessitar do imóvel, cancelar a Licença de Ocupação e imitir-se na posse do mesmo, promovendo, sumariamente, a sua desocupação no prazo de 180 (cento e oitenta) dias. </w:t>
      </w:r>
    </w:p>
    <w:p w14:paraId="7AF02CC6"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1º - As benfeitorias existentes serão indenizadas pela importância fixada através de avaliação pelo Instituto Nacional de Colonização e Reforma Agrária - INCRA, considerados os valores declarados para fins de cadastro. </w:t>
      </w:r>
    </w:p>
    <w:p w14:paraId="6AF29D57"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2º - Caso o interessado se recuse a receber o valor estipulado, o mesmo será depositado em juízo. </w:t>
      </w:r>
    </w:p>
    <w:p w14:paraId="788B04B8"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08D3">
        <w:rPr>
          <w:rFonts w:ascii="Book Antiqua" w:eastAsia="Times New Roman" w:hAnsi="Book Antiqua" w:cs="Arial"/>
          <w:sz w:val="19"/>
          <w:szCs w:val="19"/>
          <w:lang w:eastAsia="pt-BR"/>
        </w:rPr>
        <w:t xml:space="preserve">§ 3º - O portador da Licença de Ocupação, na hipótese prevista no presente artigo, fará jus, se o desejar, à instalação em outra gleba da União, assegurada a indenização, de que trata o § 1º deste artigo, e computados os prazos de morada habitual e cultura efetiva da antiga ocupação. </w:t>
      </w:r>
    </w:p>
    <w:p w14:paraId="0840F943"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9" w:name="art32"/>
      <w:bookmarkEnd w:id="39"/>
      <w:r w:rsidRPr="000C08D3">
        <w:rPr>
          <w:rFonts w:ascii="Book Antiqua" w:eastAsia="Times New Roman" w:hAnsi="Book Antiqua" w:cs="Arial"/>
          <w:sz w:val="19"/>
          <w:szCs w:val="19"/>
          <w:lang w:eastAsia="pt-BR"/>
        </w:rPr>
        <w:lastRenderedPageBreak/>
        <w:t xml:space="preserve">Art. 32 - Não se aplica aos imóveis rurais o disposto nos </w:t>
      </w:r>
      <w:hyperlink r:id="rId7" w:anchor="art19" w:history="1">
        <w:r w:rsidRPr="000C08D3">
          <w:rPr>
            <w:rFonts w:ascii="Book Antiqua" w:eastAsia="Times New Roman" w:hAnsi="Book Antiqua" w:cs="Arial"/>
            <w:color w:val="0000FF"/>
            <w:sz w:val="19"/>
            <w:szCs w:val="19"/>
            <w:u w:val="single"/>
            <w:lang w:eastAsia="pt-BR"/>
          </w:rPr>
          <w:t>artigos 19</w:t>
        </w:r>
      </w:hyperlink>
      <w:r w:rsidRPr="000C08D3">
        <w:rPr>
          <w:rFonts w:ascii="Book Antiqua" w:eastAsia="Times New Roman" w:hAnsi="Book Antiqua" w:cs="Arial"/>
          <w:sz w:val="19"/>
          <w:szCs w:val="19"/>
          <w:lang w:eastAsia="pt-BR"/>
        </w:rPr>
        <w:t xml:space="preserve"> a </w:t>
      </w:r>
      <w:hyperlink r:id="rId8" w:anchor="art31" w:history="1">
        <w:r w:rsidRPr="000C08D3">
          <w:rPr>
            <w:rFonts w:ascii="Book Antiqua" w:eastAsia="Times New Roman" w:hAnsi="Book Antiqua" w:cs="Arial"/>
            <w:color w:val="0000FF"/>
            <w:sz w:val="19"/>
            <w:szCs w:val="19"/>
            <w:u w:val="single"/>
            <w:lang w:eastAsia="pt-BR"/>
          </w:rPr>
          <w:t>31</w:t>
        </w:r>
      </w:hyperlink>
      <w:r w:rsidRPr="000C08D3">
        <w:rPr>
          <w:rFonts w:ascii="Book Antiqua" w:eastAsia="Times New Roman" w:hAnsi="Book Antiqua" w:cs="Arial"/>
          <w:sz w:val="19"/>
          <w:szCs w:val="19"/>
          <w:lang w:eastAsia="pt-BR"/>
        </w:rPr>
        <w:t xml:space="preserve">, </w:t>
      </w:r>
      <w:hyperlink r:id="rId9" w:anchor="art127" w:history="1">
        <w:r w:rsidRPr="000C08D3">
          <w:rPr>
            <w:rFonts w:ascii="Book Antiqua" w:eastAsia="Times New Roman" w:hAnsi="Book Antiqua" w:cs="Arial"/>
            <w:color w:val="0000FF"/>
            <w:sz w:val="19"/>
            <w:szCs w:val="19"/>
            <w:u w:val="single"/>
            <w:lang w:eastAsia="pt-BR"/>
          </w:rPr>
          <w:t>127</w:t>
        </w:r>
      </w:hyperlink>
      <w:r w:rsidRPr="000C08D3">
        <w:rPr>
          <w:rFonts w:ascii="Book Antiqua" w:eastAsia="Times New Roman" w:hAnsi="Book Antiqua" w:cs="Arial"/>
          <w:sz w:val="19"/>
          <w:szCs w:val="19"/>
          <w:lang w:eastAsia="pt-BR"/>
        </w:rPr>
        <w:t xml:space="preserve"> a </w:t>
      </w:r>
      <w:hyperlink r:id="rId10" w:anchor="art133" w:history="1">
        <w:r w:rsidRPr="000C08D3">
          <w:rPr>
            <w:rFonts w:ascii="Book Antiqua" w:eastAsia="Times New Roman" w:hAnsi="Book Antiqua" w:cs="Arial"/>
            <w:color w:val="0000FF"/>
            <w:sz w:val="19"/>
            <w:szCs w:val="19"/>
            <w:u w:val="single"/>
            <w:lang w:eastAsia="pt-BR"/>
          </w:rPr>
          <w:t>133</w:t>
        </w:r>
      </w:hyperlink>
      <w:r w:rsidRPr="000C08D3">
        <w:rPr>
          <w:rFonts w:ascii="Book Antiqua" w:eastAsia="Times New Roman" w:hAnsi="Book Antiqua" w:cs="Arial"/>
          <w:sz w:val="19"/>
          <w:szCs w:val="19"/>
          <w:lang w:eastAsia="pt-BR"/>
        </w:rPr>
        <w:t xml:space="preserve">, </w:t>
      </w:r>
      <w:hyperlink r:id="rId11" w:anchor="art139" w:history="1">
        <w:r w:rsidRPr="000C08D3">
          <w:rPr>
            <w:rFonts w:ascii="Book Antiqua" w:eastAsia="Times New Roman" w:hAnsi="Book Antiqua" w:cs="Arial"/>
            <w:color w:val="0000FF"/>
            <w:sz w:val="19"/>
            <w:szCs w:val="19"/>
            <w:u w:val="single"/>
            <w:lang w:eastAsia="pt-BR"/>
          </w:rPr>
          <w:t>139</w:t>
        </w:r>
      </w:hyperlink>
      <w:r w:rsidRPr="000C08D3">
        <w:rPr>
          <w:rFonts w:ascii="Book Antiqua" w:eastAsia="Times New Roman" w:hAnsi="Book Antiqua" w:cs="Arial"/>
          <w:sz w:val="19"/>
          <w:szCs w:val="19"/>
          <w:lang w:eastAsia="pt-BR"/>
        </w:rPr>
        <w:t xml:space="preserve">, </w:t>
      </w:r>
      <w:hyperlink r:id="rId12" w:anchor="art140" w:history="1">
        <w:r w:rsidRPr="000C08D3">
          <w:rPr>
            <w:rFonts w:ascii="Book Antiqua" w:eastAsia="Times New Roman" w:hAnsi="Book Antiqua" w:cs="Arial"/>
            <w:color w:val="0000FF"/>
            <w:sz w:val="19"/>
            <w:szCs w:val="19"/>
            <w:u w:val="single"/>
            <w:lang w:eastAsia="pt-BR"/>
          </w:rPr>
          <w:t>140</w:t>
        </w:r>
      </w:hyperlink>
      <w:r w:rsidRPr="000C08D3">
        <w:rPr>
          <w:rFonts w:ascii="Book Antiqua" w:eastAsia="Times New Roman" w:hAnsi="Book Antiqua" w:cs="Arial"/>
          <w:sz w:val="19"/>
          <w:szCs w:val="19"/>
          <w:lang w:eastAsia="pt-BR"/>
        </w:rPr>
        <w:t xml:space="preserve"> e </w:t>
      </w:r>
      <w:hyperlink r:id="rId13" w:anchor="art159" w:history="1">
        <w:r w:rsidRPr="000C08D3">
          <w:rPr>
            <w:rFonts w:ascii="Book Antiqua" w:eastAsia="Times New Roman" w:hAnsi="Book Antiqua" w:cs="Arial"/>
            <w:color w:val="0000FF"/>
            <w:sz w:val="19"/>
            <w:szCs w:val="19"/>
            <w:u w:val="single"/>
            <w:lang w:eastAsia="pt-BR"/>
          </w:rPr>
          <w:t>159</w:t>
        </w:r>
      </w:hyperlink>
      <w:r w:rsidRPr="000C08D3">
        <w:rPr>
          <w:rFonts w:ascii="Book Antiqua" w:eastAsia="Times New Roman" w:hAnsi="Book Antiqua" w:cs="Arial"/>
          <w:sz w:val="19"/>
          <w:szCs w:val="19"/>
          <w:lang w:eastAsia="pt-BR"/>
        </w:rPr>
        <w:t xml:space="preserve"> a </w:t>
      </w:r>
      <w:hyperlink r:id="rId14" w:anchor="art174" w:history="1">
        <w:r w:rsidRPr="000C08D3">
          <w:rPr>
            <w:rFonts w:ascii="Book Antiqua" w:eastAsia="Times New Roman" w:hAnsi="Book Antiqua" w:cs="Arial"/>
            <w:color w:val="0000FF"/>
            <w:sz w:val="19"/>
            <w:szCs w:val="19"/>
            <w:u w:val="single"/>
            <w:lang w:eastAsia="pt-BR"/>
          </w:rPr>
          <w:t>174 do Decreto-Lei nº 9.760, de 5 de setembro de 1946</w:t>
        </w:r>
      </w:hyperlink>
      <w:r w:rsidRPr="000C08D3">
        <w:rPr>
          <w:rFonts w:ascii="Book Antiqua" w:eastAsia="Times New Roman" w:hAnsi="Book Antiqua" w:cs="Arial"/>
          <w:sz w:val="19"/>
          <w:szCs w:val="19"/>
          <w:lang w:eastAsia="pt-BR"/>
        </w:rPr>
        <w:t xml:space="preserve">. </w:t>
      </w:r>
    </w:p>
    <w:p w14:paraId="3FA740E7"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0" w:name="art33"/>
      <w:bookmarkEnd w:id="40"/>
      <w:r w:rsidRPr="000C08D3">
        <w:rPr>
          <w:rFonts w:ascii="Book Antiqua" w:eastAsia="Times New Roman" w:hAnsi="Book Antiqua" w:cs="Arial"/>
          <w:sz w:val="19"/>
          <w:szCs w:val="19"/>
          <w:lang w:eastAsia="pt-BR"/>
        </w:rPr>
        <w:t xml:space="preserve">Art. 33 - Esta Lei entrará em vigor na data de sua publicação, aplicando-se, desde logo, aos processos pendentes. </w:t>
      </w:r>
    </w:p>
    <w:p w14:paraId="0E71B54A"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1" w:name="art34"/>
      <w:bookmarkEnd w:id="41"/>
      <w:r w:rsidRPr="000C08D3">
        <w:rPr>
          <w:rFonts w:ascii="Book Antiqua" w:eastAsia="Times New Roman" w:hAnsi="Book Antiqua" w:cs="Arial"/>
          <w:sz w:val="19"/>
          <w:szCs w:val="19"/>
          <w:lang w:eastAsia="pt-BR"/>
        </w:rPr>
        <w:t xml:space="preserve">Art. 34 - Revogam-se a </w:t>
      </w:r>
      <w:hyperlink r:id="rId15" w:history="1">
        <w:r w:rsidRPr="000C08D3">
          <w:rPr>
            <w:rFonts w:ascii="Book Antiqua" w:eastAsia="Times New Roman" w:hAnsi="Book Antiqua" w:cs="Arial"/>
            <w:color w:val="0000FF"/>
            <w:sz w:val="19"/>
            <w:szCs w:val="19"/>
            <w:u w:val="single"/>
            <w:lang w:eastAsia="pt-BR"/>
          </w:rPr>
          <w:t>Lei nº 3.081, de 22 de dezembro de 1956</w:t>
        </w:r>
      </w:hyperlink>
      <w:r w:rsidRPr="000C08D3">
        <w:rPr>
          <w:rFonts w:ascii="Book Antiqua" w:eastAsia="Times New Roman" w:hAnsi="Book Antiqua" w:cs="Arial"/>
          <w:sz w:val="19"/>
          <w:szCs w:val="19"/>
          <w:lang w:eastAsia="pt-BR"/>
        </w:rPr>
        <w:t xml:space="preserve">, e as demais disposições em contrário. </w:t>
      </w:r>
    </w:p>
    <w:p w14:paraId="3B44836B" w14:textId="77777777" w:rsidR="003C225B" w:rsidRPr="000C08D3" w:rsidRDefault="003C225B" w:rsidP="003C225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08D3">
        <w:rPr>
          <w:rFonts w:ascii="Book Antiqua" w:eastAsia="Times New Roman" w:hAnsi="Book Antiqua" w:cs="Arial"/>
          <w:sz w:val="19"/>
          <w:szCs w:val="19"/>
          <w:lang w:eastAsia="pt-BR"/>
        </w:rPr>
        <w:t>Brasília, 7 de dezembro de 1976; 155º da Independência e 88º da República.</w:t>
      </w:r>
    </w:p>
    <w:p w14:paraId="4E7267CD" w14:textId="77777777" w:rsidR="003C225B" w:rsidRPr="000C08D3" w:rsidRDefault="003C225B" w:rsidP="003C225B">
      <w:pPr>
        <w:spacing w:before="100" w:beforeAutospacing="1" w:after="100" w:afterAutospacing="1" w:line="240" w:lineRule="auto"/>
        <w:rPr>
          <w:rFonts w:ascii="Book Antiqua" w:eastAsia="Times New Roman" w:hAnsi="Book Antiqua" w:cs="Times New Roman"/>
          <w:sz w:val="19"/>
          <w:szCs w:val="19"/>
          <w:lang w:eastAsia="pt-BR"/>
        </w:rPr>
      </w:pPr>
      <w:r w:rsidRPr="000C08D3">
        <w:rPr>
          <w:rFonts w:ascii="Book Antiqua" w:eastAsia="Times New Roman" w:hAnsi="Book Antiqua" w:cs="Arial"/>
          <w:sz w:val="19"/>
          <w:szCs w:val="19"/>
          <w:lang w:eastAsia="pt-BR"/>
        </w:rPr>
        <w:t>ERNESTO GEISEL</w:t>
      </w:r>
      <w:r w:rsidRPr="000C08D3">
        <w:rPr>
          <w:rFonts w:ascii="Book Antiqua" w:eastAsia="Times New Roman" w:hAnsi="Book Antiqua" w:cs="Arial"/>
          <w:sz w:val="19"/>
          <w:szCs w:val="19"/>
          <w:lang w:eastAsia="pt-BR"/>
        </w:rPr>
        <w:br/>
      </w:r>
      <w:r w:rsidRPr="000C08D3">
        <w:rPr>
          <w:rFonts w:ascii="Book Antiqua" w:eastAsia="Times New Roman" w:hAnsi="Book Antiqua" w:cs="Arial"/>
          <w:i/>
          <w:iCs/>
          <w:sz w:val="19"/>
          <w:szCs w:val="19"/>
          <w:lang w:eastAsia="pt-BR"/>
        </w:rPr>
        <w:t>Armando Falcão</w:t>
      </w:r>
      <w:r w:rsidRPr="000C08D3">
        <w:rPr>
          <w:rFonts w:ascii="Book Antiqua" w:eastAsia="Times New Roman" w:hAnsi="Book Antiqua" w:cs="Arial"/>
          <w:i/>
          <w:iCs/>
          <w:sz w:val="19"/>
          <w:szCs w:val="19"/>
          <w:lang w:eastAsia="pt-BR"/>
        </w:rPr>
        <w:br/>
        <w:t>Alysson Paulinelli</w:t>
      </w:r>
      <w:r w:rsidRPr="000C08D3">
        <w:rPr>
          <w:rFonts w:ascii="Book Antiqua" w:eastAsia="Times New Roman" w:hAnsi="Book Antiqua" w:cs="Arial"/>
          <w:i/>
          <w:iCs/>
          <w:sz w:val="19"/>
          <w:szCs w:val="19"/>
          <w:lang w:eastAsia="pt-BR"/>
        </w:rPr>
        <w:br/>
        <w:t>Hugo de Andrade Abreu</w:t>
      </w:r>
    </w:p>
    <w:p w14:paraId="7953A31D" w14:textId="0AF87406" w:rsidR="003C225B" w:rsidRPr="000C08D3" w:rsidRDefault="003C225B" w:rsidP="003C225B">
      <w:pPr>
        <w:spacing w:before="100" w:beforeAutospacing="1" w:after="100" w:afterAutospacing="1" w:line="240" w:lineRule="auto"/>
        <w:rPr>
          <w:rFonts w:ascii="Book Antiqua" w:eastAsia="Times New Roman" w:hAnsi="Book Antiqua" w:cs="Times New Roman"/>
          <w:sz w:val="19"/>
          <w:szCs w:val="19"/>
          <w:lang w:eastAsia="pt-BR"/>
        </w:rPr>
      </w:pPr>
      <w:r w:rsidRPr="000C08D3">
        <w:rPr>
          <w:rFonts w:ascii="Book Antiqua" w:eastAsia="Times New Roman" w:hAnsi="Book Antiqua" w:cs="Arial"/>
          <w:color w:val="FF0000"/>
          <w:sz w:val="19"/>
          <w:szCs w:val="19"/>
          <w:lang w:eastAsia="pt-BR"/>
        </w:rPr>
        <w:t>Este texto não substitui o publicado no DOU de 9.12.1976</w:t>
      </w:r>
    </w:p>
    <w:sectPr w:rsidR="003C225B" w:rsidRPr="000C08D3" w:rsidSect="003C225B">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FA"/>
    <w:rsid w:val="000C08D3"/>
    <w:rsid w:val="00274FBD"/>
    <w:rsid w:val="00365578"/>
    <w:rsid w:val="003C225B"/>
    <w:rsid w:val="00445B42"/>
    <w:rsid w:val="00587349"/>
    <w:rsid w:val="006D7887"/>
    <w:rsid w:val="006F07A3"/>
    <w:rsid w:val="0072784F"/>
    <w:rsid w:val="00754A61"/>
    <w:rsid w:val="00782F2C"/>
    <w:rsid w:val="0081789F"/>
    <w:rsid w:val="009C0BA1"/>
    <w:rsid w:val="00B12E3B"/>
    <w:rsid w:val="00CD2918"/>
    <w:rsid w:val="00CE0B28"/>
    <w:rsid w:val="00D40BD3"/>
    <w:rsid w:val="00D569DD"/>
    <w:rsid w:val="00D56A33"/>
    <w:rsid w:val="00DF0AF3"/>
    <w:rsid w:val="00E537DE"/>
    <w:rsid w:val="00F07A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5F74"/>
  <w15:chartTrackingRefBased/>
  <w15:docId w15:val="{48B027DA-7CA8-4312-A2AF-193F9114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C2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Del9760.htm" TargetMode="External"/><Relationship Id="rId13" Type="http://schemas.openxmlformats.org/officeDocument/2006/relationships/hyperlink" Target="http://www.planalto.gov.br/ccivil_03/Decreto-Lei/Del9760.htm" TargetMode="External"/><Relationship Id="rId3" Type="http://schemas.openxmlformats.org/officeDocument/2006/relationships/webSettings" Target="webSettings.xml"/><Relationship Id="rId7" Type="http://schemas.openxmlformats.org/officeDocument/2006/relationships/hyperlink" Target="http://www.planalto.gov.br/ccivil_03/Decreto-Lei/Del9760.htm" TargetMode="External"/><Relationship Id="rId12" Type="http://schemas.openxmlformats.org/officeDocument/2006/relationships/hyperlink" Target="http://www.planalto.gov.br/ccivil_03/Decreto-Lei/Del9760.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LEIS/L5869.htm" TargetMode="External"/><Relationship Id="rId11" Type="http://schemas.openxmlformats.org/officeDocument/2006/relationships/hyperlink" Target="http://www.planalto.gov.br/ccivil_03/Decreto-Lei/Del9760.htm" TargetMode="External"/><Relationship Id="rId5" Type="http://schemas.openxmlformats.org/officeDocument/2006/relationships/hyperlink" Target="http://www.planalto.gov.br/ccivil_03/LEIS/L5869.htm" TargetMode="External"/><Relationship Id="rId15" Type="http://schemas.openxmlformats.org/officeDocument/2006/relationships/hyperlink" Target="http://www.planalto.gov.br/ccivil_03/LEIS/1950-1969/L3081.htm" TargetMode="External"/><Relationship Id="rId10" Type="http://schemas.openxmlformats.org/officeDocument/2006/relationships/hyperlink" Target="http://www.planalto.gov.br/ccivil_03/Decreto-Lei/Del9760.htm" TargetMode="External"/><Relationship Id="rId4" Type="http://schemas.openxmlformats.org/officeDocument/2006/relationships/hyperlink" Target="http://legislacao.planalto.gov.br/legisla/legislacao.nsf/Viw_Identificacao/lei%206.383-1976?OpenDocument" TargetMode="External"/><Relationship Id="rId9" Type="http://schemas.openxmlformats.org/officeDocument/2006/relationships/hyperlink" Target="http://www.planalto.gov.br/ccivil_03/Decreto-Lei/Del9760.htm" TargetMode="External"/><Relationship Id="rId14" Type="http://schemas.openxmlformats.org/officeDocument/2006/relationships/hyperlink" Target="http://www.planalto.gov.br/ccivil_03/Decreto-Lei/Del976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3287</Words>
  <Characters>17752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23</cp:revision>
  <dcterms:created xsi:type="dcterms:W3CDTF">2019-03-31T14:20:00Z</dcterms:created>
  <dcterms:modified xsi:type="dcterms:W3CDTF">2025-07-17T18:42:00Z</dcterms:modified>
</cp:coreProperties>
</file>