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5EC0" w14:textId="2C580DB3" w:rsidR="007259C0" w:rsidRPr="007259C0" w:rsidRDefault="007259C0" w:rsidP="005C1B9A">
      <w:pPr>
        <w:spacing w:before="100" w:beforeAutospacing="1" w:after="100" w:afterAutospacing="1" w:line="240" w:lineRule="auto"/>
        <w:jc w:val="center"/>
        <w:rPr>
          <w:rFonts w:ascii="Book Antiqua" w:hAnsi="Book Antiqua"/>
          <w:b/>
          <w:bCs/>
          <w:color w:val="FF0000"/>
          <w:sz w:val="19"/>
          <w:szCs w:val="19"/>
        </w:rPr>
      </w:pPr>
      <w:r w:rsidRPr="007259C0">
        <w:rPr>
          <w:rFonts w:ascii="Book Antiqua" w:hAnsi="Book Antiqua"/>
          <w:b/>
          <w:bCs/>
          <w:color w:val="FF0000"/>
          <w:sz w:val="19"/>
          <w:szCs w:val="19"/>
        </w:rPr>
        <w:t xml:space="preserve">(Atualização em </w:t>
      </w:r>
      <w:r w:rsidR="006F3971">
        <w:rPr>
          <w:rFonts w:ascii="Book Antiqua" w:hAnsi="Book Antiqua"/>
          <w:b/>
          <w:bCs/>
          <w:color w:val="FF0000"/>
          <w:sz w:val="19"/>
          <w:szCs w:val="19"/>
        </w:rPr>
        <w:t>21/02/2025</w:t>
      </w:r>
      <w:r w:rsidRPr="007259C0">
        <w:rPr>
          <w:rFonts w:ascii="Book Antiqua" w:hAnsi="Book Antiqua"/>
          <w:b/>
          <w:bCs/>
          <w:color w:val="FF0000"/>
          <w:sz w:val="19"/>
          <w:szCs w:val="19"/>
        </w:rPr>
        <w:t>: questões de concurso)</w:t>
      </w:r>
    </w:p>
    <w:p w14:paraId="55C1BF14" w14:textId="688B6624" w:rsidR="005C1B9A" w:rsidRPr="005C1B9A" w:rsidRDefault="005C1B9A" w:rsidP="005C1B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5C1B9A">
          <w:rPr>
            <w:rFonts w:ascii="Book Antiqua" w:eastAsia="Times New Roman" w:hAnsi="Book Antiqua" w:cs="Arial"/>
            <w:b/>
            <w:bCs/>
            <w:sz w:val="19"/>
            <w:szCs w:val="19"/>
            <w:lang w:eastAsia="pt-BR"/>
          </w:rPr>
          <w:t>DECRETO Nº 4.982, DE 9 DE FEVEREIRO DE 2004.</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5C1B9A" w:rsidRPr="009B5261" w14:paraId="2379B89F" w14:textId="77777777" w:rsidTr="009B5261">
        <w:trPr>
          <w:trHeight w:val="200"/>
          <w:tblCellSpacing w:w="0" w:type="dxa"/>
        </w:trPr>
        <w:tc>
          <w:tcPr>
            <w:tcW w:w="1167" w:type="pct"/>
            <w:vAlign w:val="center"/>
            <w:hideMark/>
          </w:tcPr>
          <w:p w14:paraId="04CC57D5" w14:textId="77777777" w:rsidR="005C1B9A" w:rsidRPr="005C1B9A" w:rsidRDefault="005C1B9A" w:rsidP="005C1B9A">
            <w:pPr>
              <w:spacing w:after="0" w:line="240" w:lineRule="auto"/>
              <w:rPr>
                <w:rFonts w:ascii="Book Antiqua" w:eastAsia="Times New Roman" w:hAnsi="Book Antiqua" w:cs="Times New Roman"/>
                <w:color w:val="000000"/>
                <w:sz w:val="19"/>
                <w:szCs w:val="19"/>
                <w:lang w:eastAsia="pt-BR"/>
              </w:rPr>
            </w:pPr>
          </w:p>
        </w:tc>
        <w:tc>
          <w:tcPr>
            <w:tcW w:w="3833" w:type="pct"/>
            <w:vAlign w:val="center"/>
            <w:hideMark/>
          </w:tcPr>
          <w:p w14:paraId="2E5239A2" w14:textId="77777777" w:rsidR="005C1B9A" w:rsidRPr="009B5261" w:rsidRDefault="005C1B9A" w:rsidP="005C1B9A">
            <w:pPr>
              <w:spacing w:before="100" w:beforeAutospacing="1" w:after="100" w:afterAutospacing="1" w:line="240" w:lineRule="auto"/>
              <w:jc w:val="both"/>
              <w:rPr>
                <w:rFonts w:ascii="Book Antiqua" w:eastAsia="Times New Roman" w:hAnsi="Book Antiqua" w:cs="Times New Roman"/>
                <w:sz w:val="18"/>
                <w:szCs w:val="18"/>
                <w:lang w:eastAsia="pt-BR"/>
              </w:rPr>
            </w:pPr>
            <w:r w:rsidRPr="009B5261">
              <w:rPr>
                <w:rFonts w:ascii="Book Antiqua" w:eastAsia="Times New Roman" w:hAnsi="Book Antiqua" w:cs="Arial"/>
                <w:color w:val="800000"/>
                <w:sz w:val="18"/>
                <w:szCs w:val="18"/>
                <w:lang w:eastAsia="pt-BR"/>
              </w:rPr>
              <w:t>Promulga o Protocolo de Olivos para a Solução de Controvérsias no Mercosul.</w:t>
            </w:r>
          </w:p>
        </w:tc>
      </w:tr>
    </w:tbl>
    <w:p w14:paraId="0FAC6B28"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b/>
          <w:bCs/>
          <w:color w:val="000000"/>
          <w:sz w:val="19"/>
          <w:szCs w:val="19"/>
          <w:lang w:eastAsia="pt-BR"/>
        </w:rPr>
        <w:t>        O PRESIDENTE DA REPÚBLICA</w:t>
      </w:r>
      <w:r w:rsidRPr="005C1B9A">
        <w:rPr>
          <w:rFonts w:ascii="Book Antiqua" w:eastAsia="Times New Roman" w:hAnsi="Book Antiqua" w:cs="Arial"/>
          <w:color w:val="000000"/>
          <w:sz w:val="19"/>
          <w:szCs w:val="19"/>
          <w:lang w:eastAsia="pt-BR"/>
        </w:rPr>
        <w:t>, no uso da atribuição que lhe confere o art. 84, inciso IV, da Constituição, e</w:t>
      </w:r>
    </w:p>
    <w:p w14:paraId="64978444"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Considerando que o Congresso Nacional aprovou, por meio do Decreto Legislativo n</w:t>
      </w:r>
      <w:r w:rsidRPr="005C1B9A">
        <w:rPr>
          <w:rFonts w:ascii="Book Antiqua" w:eastAsia="Times New Roman" w:hAnsi="Book Antiqua" w:cs="Arial"/>
          <w:color w:val="000000"/>
          <w:sz w:val="19"/>
          <w:szCs w:val="19"/>
          <w:u w:val="single"/>
          <w:vertAlign w:val="superscript"/>
          <w:lang w:eastAsia="pt-BR"/>
        </w:rPr>
        <w:t>o</w:t>
      </w:r>
      <w:r w:rsidRPr="005C1B9A">
        <w:rPr>
          <w:rFonts w:ascii="Book Antiqua" w:eastAsia="Times New Roman" w:hAnsi="Book Antiqua" w:cs="Arial"/>
          <w:color w:val="000000"/>
          <w:sz w:val="19"/>
          <w:szCs w:val="19"/>
          <w:lang w:eastAsia="pt-BR"/>
        </w:rPr>
        <w:t> 712, de 14 de outubro de 2003, o texto do Protocolo de Olivos para a Solução de Controvérsias no Mercosul, concluído em Olivos, Argentina, em 18 de fevereiro de 2002;</w:t>
      </w:r>
    </w:p>
    <w:p w14:paraId="23BA2163"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Considerando que o Governo brasileiro depositou o instrumento de ratificação, em 2 de dezembro de 2003;</w:t>
      </w:r>
    </w:p>
    <w:p w14:paraId="369F9008"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Considerando que o Protocolo entrou em vigor internacional, e para o Brasil, em 1</w:t>
      </w:r>
      <w:r w:rsidRPr="005C1B9A">
        <w:rPr>
          <w:rFonts w:ascii="Book Antiqua" w:eastAsia="Times New Roman" w:hAnsi="Book Antiqua" w:cs="Arial"/>
          <w:strike/>
          <w:color w:val="000000"/>
          <w:sz w:val="19"/>
          <w:szCs w:val="19"/>
          <w:lang w:eastAsia="pt-BR"/>
        </w:rPr>
        <w:t>º</w:t>
      </w:r>
      <w:r w:rsidRPr="005C1B9A">
        <w:rPr>
          <w:rFonts w:ascii="Book Antiqua" w:eastAsia="Times New Roman" w:hAnsi="Book Antiqua" w:cs="Arial"/>
          <w:color w:val="000000"/>
          <w:sz w:val="19"/>
          <w:szCs w:val="19"/>
          <w:lang w:eastAsia="pt-BR"/>
        </w:rPr>
        <w:t> de janeiro de 2004;</w:t>
      </w:r>
    </w:p>
    <w:p w14:paraId="22655E2C"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b/>
          <w:bCs/>
          <w:color w:val="000000"/>
          <w:sz w:val="19"/>
          <w:szCs w:val="19"/>
          <w:lang w:eastAsia="pt-BR"/>
        </w:rPr>
        <w:t>        DECRETA:</w:t>
      </w:r>
    </w:p>
    <w:p w14:paraId="25DA7A9A"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Art. 1</w:t>
      </w:r>
      <w:r w:rsidRPr="005C1B9A">
        <w:rPr>
          <w:rFonts w:ascii="Book Antiqua" w:eastAsia="Times New Roman" w:hAnsi="Book Antiqua" w:cs="Arial"/>
          <w:strike/>
          <w:color w:val="000000"/>
          <w:sz w:val="19"/>
          <w:szCs w:val="19"/>
          <w:lang w:eastAsia="pt-BR"/>
        </w:rPr>
        <w:t>º</w:t>
      </w:r>
      <w:r w:rsidRPr="005C1B9A">
        <w:rPr>
          <w:rFonts w:ascii="Book Antiqua" w:eastAsia="Times New Roman" w:hAnsi="Book Antiqua" w:cs="Arial"/>
          <w:color w:val="000000"/>
          <w:sz w:val="19"/>
          <w:szCs w:val="19"/>
          <w:lang w:eastAsia="pt-BR"/>
        </w:rPr>
        <w:t>  O Protocolo de Olivos para a Solução de Controvérsias no Mercosul, concluído em Olivos, Argentina, em 18 de fevereiro de 2002, apenso por cópia ao presente Decreto, será executado e cumprido tão inteiramente como nele se contém.</w:t>
      </w:r>
    </w:p>
    <w:p w14:paraId="499E3DC3"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Art. 2</w:t>
      </w:r>
      <w:r w:rsidRPr="005C1B9A">
        <w:rPr>
          <w:rFonts w:ascii="Book Antiqua" w:eastAsia="Times New Roman" w:hAnsi="Book Antiqua" w:cs="Arial"/>
          <w:strike/>
          <w:color w:val="000000"/>
          <w:sz w:val="19"/>
          <w:szCs w:val="19"/>
          <w:lang w:eastAsia="pt-BR"/>
        </w:rPr>
        <w:t>º</w:t>
      </w:r>
      <w:r w:rsidRPr="005C1B9A">
        <w:rPr>
          <w:rFonts w:ascii="Book Antiqua" w:eastAsia="Times New Roman" w:hAnsi="Book Antiqua" w:cs="Arial"/>
          <w:color w:val="000000"/>
          <w:sz w:val="19"/>
          <w:szCs w:val="19"/>
          <w:lang w:eastAsia="pt-BR"/>
        </w:rPr>
        <w:t>  São sujeitos à aprovação do Congresso Nacional quaisquer atos que possam resultar em revisão do referido Protocolo ou que acarretem encargos ou compromissos gravosos ao patrimônio nacional, nos termos do </w:t>
      </w:r>
      <w:hyperlink r:id="rId5" w:anchor="art49i" w:history="1">
        <w:r w:rsidRPr="005C1B9A">
          <w:rPr>
            <w:rFonts w:ascii="Book Antiqua" w:eastAsia="Times New Roman" w:hAnsi="Book Antiqua" w:cs="Arial"/>
            <w:color w:val="0000FF"/>
            <w:sz w:val="19"/>
            <w:szCs w:val="19"/>
            <w:u w:val="single"/>
            <w:lang w:eastAsia="pt-BR"/>
          </w:rPr>
          <w:t>art. 49, inciso I, da Constituição.</w:t>
        </w:r>
      </w:hyperlink>
    </w:p>
    <w:p w14:paraId="56B4372F"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Art. 3</w:t>
      </w:r>
      <w:r w:rsidRPr="005C1B9A">
        <w:rPr>
          <w:rFonts w:ascii="Book Antiqua" w:eastAsia="Times New Roman" w:hAnsi="Book Antiqua" w:cs="Arial"/>
          <w:strike/>
          <w:color w:val="000000"/>
          <w:sz w:val="19"/>
          <w:szCs w:val="19"/>
          <w:lang w:eastAsia="pt-BR"/>
        </w:rPr>
        <w:t>º</w:t>
      </w:r>
      <w:r w:rsidRPr="005C1B9A">
        <w:rPr>
          <w:rFonts w:ascii="Book Antiqua" w:eastAsia="Times New Roman" w:hAnsi="Book Antiqua" w:cs="Arial"/>
          <w:color w:val="000000"/>
          <w:sz w:val="19"/>
          <w:szCs w:val="19"/>
          <w:lang w:eastAsia="pt-BR"/>
        </w:rPr>
        <w:t>  Este Decreto entra em vigor na data de sua publicação.</w:t>
      </w:r>
    </w:p>
    <w:p w14:paraId="5AB5DBA4"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Brasília, 9 de fevereiro de 2004; 183</w:t>
      </w:r>
      <w:r w:rsidRPr="005C1B9A">
        <w:rPr>
          <w:rFonts w:ascii="Book Antiqua" w:eastAsia="Times New Roman" w:hAnsi="Book Antiqua" w:cs="Arial"/>
          <w:strike/>
          <w:color w:val="000000"/>
          <w:sz w:val="19"/>
          <w:szCs w:val="19"/>
          <w:lang w:eastAsia="pt-BR"/>
        </w:rPr>
        <w:t>º</w:t>
      </w:r>
      <w:r w:rsidRPr="005C1B9A">
        <w:rPr>
          <w:rFonts w:ascii="Book Antiqua" w:eastAsia="Times New Roman" w:hAnsi="Book Antiqua" w:cs="Arial"/>
          <w:color w:val="000000"/>
          <w:sz w:val="19"/>
          <w:szCs w:val="19"/>
          <w:lang w:eastAsia="pt-BR"/>
        </w:rPr>
        <w:t> da Independência e 116</w:t>
      </w:r>
      <w:r w:rsidRPr="005C1B9A">
        <w:rPr>
          <w:rFonts w:ascii="Book Antiqua" w:eastAsia="Times New Roman" w:hAnsi="Book Antiqua" w:cs="Arial"/>
          <w:strike/>
          <w:color w:val="000000"/>
          <w:sz w:val="19"/>
          <w:szCs w:val="19"/>
          <w:lang w:eastAsia="pt-BR"/>
        </w:rPr>
        <w:t>º</w:t>
      </w:r>
      <w:r w:rsidRPr="005C1B9A">
        <w:rPr>
          <w:rFonts w:ascii="Book Antiqua" w:eastAsia="Times New Roman" w:hAnsi="Book Antiqua" w:cs="Arial"/>
          <w:color w:val="000000"/>
          <w:sz w:val="19"/>
          <w:szCs w:val="19"/>
          <w:lang w:eastAsia="pt-BR"/>
        </w:rPr>
        <w:t> da República.</w:t>
      </w:r>
    </w:p>
    <w:p w14:paraId="0DB80D0E" w14:textId="77777777" w:rsidR="005C1B9A" w:rsidRPr="005C1B9A" w:rsidRDefault="005C1B9A" w:rsidP="005C1B9A">
      <w:pPr>
        <w:spacing w:before="100" w:beforeAutospacing="1" w:after="100" w:afterAutospacing="1" w:line="240" w:lineRule="auto"/>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LUIZ INÁCIO LULA DA SILVA</w:t>
      </w:r>
      <w:r w:rsidRPr="005C1B9A">
        <w:rPr>
          <w:rFonts w:ascii="Book Antiqua" w:eastAsia="Times New Roman" w:hAnsi="Book Antiqua" w:cs="Arial"/>
          <w:color w:val="000000"/>
          <w:sz w:val="19"/>
          <w:szCs w:val="19"/>
          <w:lang w:eastAsia="pt-BR"/>
        </w:rPr>
        <w:br/>
      </w:r>
      <w:r w:rsidRPr="005C1B9A">
        <w:rPr>
          <w:rFonts w:ascii="Book Antiqua" w:eastAsia="Times New Roman" w:hAnsi="Book Antiqua" w:cs="Arial"/>
          <w:i/>
          <w:iCs/>
          <w:color w:val="000000"/>
          <w:sz w:val="19"/>
          <w:szCs w:val="19"/>
          <w:lang w:eastAsia="pt-BR"/>
        </w:rPr>
        <w:t>Celso Luiz Nunes Amorim</w:t>
      </w:r>
    </w:p>
    <w:p w14:paraId="68D989D5" w14:textId="77777777" w:rsidR="005C1B9A" w:rsidRPr="005C1B9A" w:rsidRDefault="005C1B9A" w:rsidP="005C1B9A">
      <w:pPr>
        <w:spacing w:before="100" w:beforeAutospacing="1" w:after="100" w:afterAutospacing="1" w:line="240" w:lineRule="auto"/>
        <w:rPr>
          <w:rFonts w:ascii="Book Antiqua" w:eastAsia="Times New Roman" w:hAnsi="Book Antiqua" w:cs="Arial"/>
          <w:color w:val="000000"/>
          <w:sz w:val="19"/>
          <w:szCs w:val="19"/>
          <w:lang w:eastAsia="pt-BR"/>
        </w:rPr>
      </w:pPr>
      <w:r w:rsidRPr="005C1B9A">
        <w:rPr>
          <w:rFonts w:ascii="Book Antiqua" w:eastAsia="Times New Roman" w:hAnsi="Book Antiqua" w:cs="Arial"/>
          <w:color w:val="FF0000"/>
          <w:sz w:val="19"/>
          <w:szCs w:val="19"/>
          <w:lang w:eastAsia="pt-BR"/>
        </w:rPr>
        <w:t>Este texto não substitui o publicado no D.O.U. de 10.2.2004</w:t>
      </w:r>
    </w:p>
    <w:p w14:paraId="7C898F9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Protocolo de Olivos para a Solução de Controvérsias no Mercosul</w:t>
      </w:r>
    </w:p>
    <w:p w14:paraId="44574EB4"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 República Argentina, a República Federativa do Brasil, a República do Paraguai e a República Oriental do Uruguai, doravante denominados "Estados Partes";</w:t>
      </w:r>
    </w:p>
    <w:p w14:paraId="6473331E"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Tendo em conta</w:t>
      </w:r>
    </w:p>
    <w:p w14:paraId="327CFD09"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 Tratado de Assunção, o Protocolo de Brasília e o Protocolo de Ouro Preto;</w:t>
      </w:r>
    </w:p>
    <w:p w14:paraId="000414C5"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Reconhecendo</w:t>
      </w:r>
    </w:p>
    <w:p w14:paraId="379D7C85"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Que a evolução do processo de integração no âmbito do MERCOSUL requer o aperfeiçoamento do sistema de solução de controvérsias;</w:t>
      </w:r>
    </w:p>
    <w:p w14:paraId="2FBEC193"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Considerando</w:t>
      </w:r>
    </w:p>
    <w:p w14:paraId="44150223" w14:textId="133B9433" w:rsidR="005C1B9A" w:rsidRPr="00F07B48" w:rsidRDefault="005C1B9A" w:rsidP="009B5261">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C1B9A">
        <w:rPr>
          <w:rFonts w:ascii="Book Antiqua" w:eastAsia="Times New Roman" w:hAnsi="Book Antiqua" w:cs="Arial"/>
          <w:color w:val="000000"/>
          <w:sz w:val="19"/>
          <w:szCs w:val="19"/>
          <w:lang w:eastAsia="pt-BR"/>
        </w:rPr>
        <w:t xml:space="preserve">        </w:t>
      </w:r>
      <w:r w:rsidRPr="0050760C">
        <w:rPr>
          <w:rFonts w:ascii="Book Antiqua" w:eastAsia="Times New Roman" w:hAnsi="Book Antiqua" w:cs="Arial"/>
          <w:b/>
          <w:bCs/>
          <w:color w:val="000000"/>
          <w:sz w:val="19"/>
          <w:szCs w:val="19"/>
          <w:lang w:eastAsia="pt-BR"/>
        </w:rPr>
        <w:t>A necessidade de garantir a correta interpretação, aplicação e cumprimento dos instrumentos fundamentais do processo de integração e do conjunto normativo do MERCOSUL, de forma consistente e sistemática</w:t>
      </w:r>
      <w:r w:rsidRPr="00F07B48">
        <w:rPr>
          <w:rFonts w:ascii="Book Antiqua" w:eastAsia="Times New Roman" w:hAnsi="Book Antiqua" w:cs="Arial"/>
          <w:color w:val="000000"/>
          <w:sz w:val="18"/>
          <w:szCs w:val="18"/>
          <w:lang w:eastAsia="pt-BR"/>
        </w:rPr>
        <w:t>;</w:t>
      </w:r>
      <w:r w:rsidR="0050760C" w:rsidRPr="00F07B48">
        <w:rPr>
          <w:rFonts w:ascii="Book Antiqua" w:eastAsia="Times New Roman" w:hAnsi="Book Antiqua" w:cs="Arial"/>
          <w:color w:val="000000"/>
          <w:sz w:val="18"/>
          <w:szCs w:val="18"/>
          <w:lang w:eastAsia="pt-BR"/>
        </w:rPr>
        <w:t xml:space="preserve"> </w:t>
      </w:r>
      <w:r w:rsidR="0050760C" w:rsidRPr="00F07B48">
        <w:rPr>
          <w:rFonts w:ascii="Book Antiqua" w:eastAsia="Times New Roman" w:hAnsi="Book Antiqua" w:cs="Arial"/>
          <w:b/>
          <w:bCs/>
          <w:color w:val="FF0000"/>
          <w:sz w:val="16"/>
          <w:szCs w:val="16"/>
          <w:u w:val="single"/>
          <w:lang w:eastAsia="pt-BR"/>
        </w:rPr>
        <w:t>(AGU-2015)</w:t>
      </w:r>
    </w:p>
    <w:p w14:paraId="74FFDB78"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Convencidos</w:t>
      </w:r>
    </w:p>
    <w:p w14:paraId="169373DF"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Da conveniência de efetuar modificações específicas no sistema de solução de controvérsias de maneira a consolidar a segurança jurídica no âmbito do MERCOSUL;</w:t>
      </w:r>
    </w:p>
    <w:p w14:paraId="31D0ED6E" w14:textId="77777777" w:rsidR="005C1B9A" w:rsidRPr="005C1B9A" w:rsidRDefault="005C1B9A" w:rsidP="009B526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Acordaram o seguinte:</w:t>
      </w:r>
    </w:p>
    <w:p w14:paraId="37317060"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I</w:t>
      </w:r>
    </w:p>
    <w:p w14:paraId="7EB0DD6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Controvérsias entre Estados Partes</w:t>
      </w:r>
    </w:p>
    <w:p w14:paraId="622B9488" w14:textId="77777777" w:rsidR="005C1B9A" w:rsidRPr="008253E2"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8253E2">
        <w:rPr>
          <w:rFonts w:ascii="Book Antiqua" w:eastAsia="Times New Roman" w:hAnsi="Book Antiqua" w:cs="Arial"/>
          <w:b/>
          <w:bCs/>
          <w:color w:val="000000"/>
          <w:sz w:val="19"/>
          <w:szCs w:val="19"/>
          <w:highlight w:val="magenta"/>
          <w:lang w:eastAsia="pt-BR"/>
        </w:rPr>
        <w:t>Artigo 1</w:t>
      </w:r>
    </w:p>
    <w:p w14:paraId="3CEE220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Âmbito de Aplicação</w:t>
      </w:r>
    </w:p>
    <w:p w14:paraId="169BA98E" w14:textId="789FC045" w:rsidR="005C1B9A" w:rsidRPr="00F07B48" w:rsidRDefault="005C1B9A" w:rsidP="008253E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8F40B0">
        <w:rPr>
          <w:rFonts w:ascii="Book Antiqua" w:eastAsia="Times New Roman" w:hAnsi="Book Antiqua" w:cs="Arial"/>
          <w:b/>
          <w:bCs/>
          <w:color w:val="000000"/>
          <w:sz w:val="19"/>
          <w:szCs w:val="19"/>
          <w:lang w:eastAsia="pt-BR"/>
        </w:rPr>
        <w:t>As controvérsias que surjam entre os Estados Partes sobre a interpretação, a aplicação ou o não cumprimento do Tratado de Assunção, do Protocolo de Ouro Preto, dos protocolos e acordos celebrados no marco do Tratado de Assunção, das Decisões do Conselho do Mercado Comum, das Resoluções do Grupo Mercado Comum e das Diretrizes da Comissão de Comércio do MERCOSUL serão submetidas aos procedimentos estabelecidos no presente Protocolo</w:t>
      </w:r>
      <w:r w:rsidRPr="00F07B48">
        <w:rPr>
          <w:rFonts w:ascii="Book Antiqua" w:eastAsia="Times New Roman" w:hAnsi="Book Antiqua" w:cs="Arial"/>
          <w:color w:val="000000"/>
          <w:sz w:val="16"/>
          <w:szCs w:val="16"/>
          <w:lang w:eastAsia="pt-BR"/>
        </w:rPr>
        <w:t>.</w:t>
      </w:r>
      <w:r w:rsidR="007104B3" w:rsidRPr="00F07B48">
        <w:rPr>
          <w:rFonts w:ascii="Book Antiqua" w:eastAsia="Times New Roman" w:hAnsi="Book Antiqua" w:cs="Arial"/>
          <w:color w:val="000000"/>
          <w:sz w:val="16"/>
          <w:szCs w:val="16"/>
          <w:lang w:eastAsia="pt-BR"/>
        </w:rPr>
        <w:t xml:space="preserve"> </w:t>
      </w:r>
      <w:r w:rsidR="00F51671" w:rsidRPr="00F07B48">
        <w:rPr>
          <w:rFonts w:ascii="Book Antiqua" w:eastAsia="Times New Roman" w:hAnsi="Book Antiqua" w:cs="Arial"/>
          <w:b/>
          <w:bCs/>
          <w:color w:val="FF0000"/>
          <w:sz w:val="16"/>
          <w:szCs w:val="16"/>
          <w:u w:val="single"/>
          <w:lang w:eastAsia="pt-BR"/>
        </w:rPr>
        <w:t>(TRF4-2012)</w:t>
      </w:r>
      <w:r w:rsidR="00402F90">
        <w:rPr>
          <w:rFonts w:ascii="Book Antiqua" w:eastAsia="Times New Roman" w:hAnsi="Book Antiqua" w:cs="Arial"/>
          <w:b/>
          <w:bCs/>
          <w:color w:val="FF0000"/>
          <w:sz w:val="16"/>
          <w:szCs w:val="16"/>
          <w:lang w:eastAsia="pt-BR"/>
        </w:rPr>
        <w:t xml:space="preserve"> </w:t>
      </w:r>
      <w:r w:rsidR="00402F90">
        <w:rPr>
          <w:rFonts w:ascii="Book Antiqua" w:hAnsi="Book Antiqua"/>
          <w:b/>
          <w:bCs/>
          <w:color w:val="FF0000"/>
          <w:sz w:val="16"/>
          <w:szCs w:val="16"/>
          <w:u w:val="single"/>
        </w:rPr>
        <w:t>(TRT15-2013)</w:t>
      </w:r>
      <w:r w:rsidR="0050760C" w:rsidRPr="00F07B48">
        <w:rPr>
          <w:rFonts w:ascii="Book Antiqua" w:eastAsia="Times New Roman" w:hAnsi="Book Antiqua" w:cs="Arial"/>
          <w:b/>
          <w:bCs/>
          <w:color w:val="FF0000"/>
          <w:sz w:val="16"/>
          <w:szCs w:val="16"/>
          <w:lang w:eastAsia="pt-BR"/>
        </w:rPr>
        <w:t xml:space="preserve"> </w:t>
      </w:r>
      <w:r w:rsidR="0050760C" w:rsidRPr="00F07B48">
        <w:rPr>
          <w:rFonts w:ascii="Book Antiqua" w:eastAsia="Times New Roman" w:hAnsi="Book Antiqua" w:cs="Arial"/>
          <w:b/>
          <w:bCs/>
          <w:color w:val="FF0000"/>
          <w:sz w:val="16"/>
          <w:szCs w:val="16"/>
          <w:u w:val="single"/>
          <w:lang w:eastAsia="pt-BR"/>
        </w:rPr>
        <w:t>(AGU-2010/2015)</w:t>
      </w:r>
    </w:p>
    <w:tbl>
      <w:tblPr>
        <w:tblStyle w:val="Tabelacomgrade"/>
        <w:tblW w:w="0" w:type="auto"/>
        <w:tblLook w:val="04A0" w:firstRow="1" w:lastRow="0" w:firstColumn="1" w:lastColumn="0" w:noHBand="0" w:noVBand="1"/>
      </w:tblPr>
      <w:tblGrid>
        <w:gridCol w:w="8494"/>
      </w:tblGrid>
      <w:tr w:rsidR="007104B3" w14:paraId="70665E9C" w14:textId="77777777" w:rsidTr="007104B3">
        <w:tc>
          <w:tcPr>
            <w:tcW w:w="8494" w:type="dxa"/>
            <w:shd w:val="clear" w:color="auto" w:fill="CCFFFF"/>
          </w:tcPr>
          <w:p w14:paraId="471C4C93" w14:textId="0A9FCE8D" w:rsidR="00402F90" w:rsidRDefault="00402F90" w:rsidP="00402F9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TRT15-2013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Sobre o Protocolo de Olivos, relativo ao MERCOSUL, assinale a al</w:t>
            </w:r>
            <w:r>
              <w:rPr>
                <w:rFonts w:ascii="Book Antiqua" w:eastAsia="Times New Roman" w:hAnsi="Book Antiqua" w:cs="Arial"/>
                <w:color w:val="000000"/>
                <w:sz w:val="19"/>
                <w:szCs w:val="19"/>
                <w:lang w:eastAsia="pt-BR"/>
              </w:rPr>
              <w:t>tern</w:t>
            </w:r>
            <w:r w:rsidRPr="00402F90">
              <w:rPr>
                <w:rFonts w:ascii="Book Antiqua" w:eastAsia="Times New Roman" w:hAnsi="Book Antiqua" w:cs="Arial"/>
                <w:color w:val="000000"/>
                <w:sz w:val="19"/>
                <w:szCs w:val="19"/>
                <w:lang w:eastAsia="pt-BR"/>
              </w:rPr>
              <w:t>ativa correta:</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dispõe sobre mecanismos de resolução de controvérsias entre os Estados Partes a respeito da interpretação, da aplicação ou do não cumprimento de Tratados no âmbito do Mercosul</w:t>
            </w:r>
            <w:r w:rsidRPr="007104B3">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Protocolo de Olivos.</w:t>
            </w:r>
          </w:p>
          <w:p w14:paraId="2ED65ACE" w14:textId="0E0DEBD0" w:rsidR="007104B3" w:rsidRPr="007104B3" w:rsidRDefault="007104B3" w:rsidP="007104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104B3">
              <w:rPr>
                <w:rFonts w:ascii="Book Antiqua" w:eastAsia="Times New Roman" w:hAnsi="Book Antiqua" w:cs="Arial"/>
                <w:b/>
                <w:bCs/>
                <w:color w:val="000000"/>
                <w:sz w:val="19"/>
                <w:szCs w:val="19"/>
                <w:highlight w:val="yellow"/>
                <w:lang w:eastAsia="pt-BR"/>
              </w:rPr>
              <w:t>AGU-2010-CESPE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104B3">
              <w:rPr>
                <w:rFonts w:ascii="Book Antiqua" w:eastAsia="Times New Roman" w:hAnsi="Book Antiqua" w:cs="Arial"/>
                <w:color w:val="000000"/>
                <w:sz w:val="19"/>
                <w:szCs w:val="19"/>
                <w:lang w:eastAsia="pt-BR"/>
              </w:rPr>
              <w:t>A respeito do MERCOSUL e OMC, julgue o ite</w:t>
            </w:r>
            <w:r>
              <w:rPr>
                <w:rFonts w:ascii="Book Antiqua" w:eastAsia="Times New Roman" w:hAnsi="Book Antiqua" w:cs="Arial"/>
                <w:color w:val="000000"/>
                <w:sz w:val="19"/>
                <w:szCs w:val="19"/>
                <w:lang w:eastAsia="pt-BR"/>
              </w:rPr>
              <w:t>m</w:t>
            </w:r>
            <w:r w:rsidRPr="007104B3">
              <w:rPr>
                <w:rFonts w:ascii="Book Antiqua" w:eastAsia="Times New Roman" w:hAnsi="Book Antiqua" w:cs="Arial"/>
                <w:color w:val="000000"/>
                <w:sz w:val="19"/>
                <w:szCs w:val="19"/>
                <w:lang w:eastAsia="pt-BR"/>
              </w:rPr>
              <w:t xml:space="preserve"> que se segu</w:t>
            </w:r>
            <w:r>
              <w:rPr>
                <w:rFonts w:ascii="Book Antiqua" w:eastAsia="Times New Roman" w:hAnsi="Book Antiqua" w:cs="Arial"/>
                <w:color w:val="000000"/>
                <w:sz w:val="19"/>
                <w:szCs w:val="19"/>
                <w:lang w:eastAsia="pt-BR"/>
              </w:rPr>
              <w:t xml:space="preserve">e: </w:t>
            </w:r>
            <w:r w:rsidRPr="007104B3">
              <w:rPr>
                <w:rFonts w:ascii="Book Antiqua" w:eastAsia="Times New Roman" w:hAnsi="Book Antiqua" w:cs="Arial"/>
                <w:color w:val="000000"/>
                <w:sz w:val="19"/>
                <w:szCs w:val="19"/>
                <w:lang w:eastAsia="pt-BR"/>
              </w:rPr>
              <w:t>O Protocolo de Olivos dispõe sobre a solução de controvérsias no âmbito do MERCOSUL.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Protocolo de Olivos.</w:t>
            </w:r>
          </w:p>
        </w:tc>
      </w:tr>
    </w:tbl>
    <w:p w14:paraId="6CC4659B" w14:textId="3ECF9612" w:rsidR="005C1B9A" w:rsidRPr="00F07B48" w:rsidRDefault="005C1B9A" w:rsidP="008253E2">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5C1B9A">
        <w:rPr>
          <w:rFonts w:ascii="Book Antiqua" w:eastAsia="Times New Roman" w:hAnsi="Book Antiqua" w:cs="Arial"/>
          <w:color w:val="000000"/>
          <w:sz w:val="19"/>
          <w:szCs w:val="19"/>
          <w:lang w:eastAsia="pt-BR"/>
        </w:rPr>
        <w:t xml:space="preserve">        </w:t>
      </w:r>
      <w:r w:rsidRPr="008253E2">
        <w:rPr>
          <w:rFonts w:ascii="Book Antiqua" w:eastAsia="Times New Roman" w:hAnsi="Book Antiqua" w:cs="Arial"/>
          <w:b/>
          <w:bCs/>
          <w:color w:val="000000"/>
          <w:sz w:val="19"/>
          <w:szCs w:val="19"/>
          <w:highlight w:val="magenta"/>
          <w:lang w:eastAsia="pt-BR"/>
        </w:rPr>
        <w:t>2</w:t>
      </w:r>
      <w:r w:rsidRPr="005C1B9A">
        <w:rPr>
          <w:rFonts w:ascii="Book Antiqua" w:eastAsia="Times New Roman" w:hAnsi="Book Antiqua" w:cs="Arial"/>
          <w:color w:val="000000"/>
          <w:sz w:val="19"/>
          <w:szCs w:val="19"/>
          <w:lang w:eastAsia="pt-BR"/>
        </w:rPr>
        <w:t xml:space="preserve">. </w:t>
      </w:r>
      <w:r w:rsidRPr="008F40B0">
        <w:rPr>
          <w:rFonts w:ascii="Book Antiqua" w:eastAsia="Times New Roman" w:hAnsi="Book Antiqua" w:cs="Arial"/>
          <w:b/>
          <w:bCs/>
          <w:color w:val="000000"/>
          <w:sz w:val="19"/>
          <w:szCs w:val="19"/>
          <w:lang w:eastAsia="pt-BR"/>
        </w:rPr>
        <w:t xml:space="preserve">As controvérsias compreendidas no âmbito de aplicação do presente Protocolo que possam também ser submetidas ao sistema de solução de controvérsias da Organização Mundial do Comércio ou de outros esquemas preferenciais de comércio de que sejam parte individualmente os Estados Partes do MERCOSUL </w:t>
      </w:r>
      <w:r w:rsidRPr="008F40B0">
        <w:rPr>
          <w:rFonts w:ascii="Book Antiqua" w:eastAsia="Times New Roman" w:hAnsi="Book Antiqua" w:cs="Arial"/>
          <w:b/>
          <w:bCs/>
          <w:caps/>
          <w:color w:val="000000"/>
          <w:sz w:val="19"/>
          <w:szCs w:val="19"/>
          <w:highlight w:val="green"/>
          <w:lang w:eastAsia="pt-BR"/>
        </w:rPr>
        <w:t>poderão submeter-se</w:t>
      </w:r>
      <w:r w:rsidRPr="008F40B0">
        <w:rPr>
          <w:rFonts w:ascii="Book Antiqua" w:eastAsia="Times New Roman" w:hAnsi="Book Antiqua" w:cs="Arial"/>
          <w:b/>
          <w:bCs/>
          <w:color w:val="000000"/>
          <w:sz w:val="19"/>
          <w:szCs w:val="19"/>
          <w:lang w:eastAsia="pt-BR"/>
        </w:rPr>
        <w:t xml:space="preserve"> a um ou outro foro, à escolha da parte demandante. Sem prejuízo disso, as partes na controvérsia </w:t>
      </w:r>
      <w:r w:rsidRPr="008F40B0">
        <w:rPr>
          <w:rFonts w:ascii="Book Antiqua" w:eastAsia="Times New Roman" w:hAnsi="Book Antiqua" w:cs="Arial"/>
          <w:b/>
          <w:bCs/>
          <w:caps/>
          <w:color w:val="000000"/>
          <w:sz w:val="19"/>
          <w:szCs w:val="19"/>
          <w:highlight w:val="green"/>
          <w:lang w:eastAsia="pt-BR"/>
        </w:rPr>
        <w:t>poderão</w:t>
      </w:r>
      <w:r w:rsidRPr="008F40B0">
        <w:rPr>
          <w:rFonts w:ascii="Book Antiqua" w:eastAsia="Times New Roman" w:hAnsi="Book Antiqua" w:cs="Arial"/>
          <w:b/>
          <w:bCs/>
          <w:color w:val="000000"/>
          <w:sz w:val="19"/>
          <w:szCs w:val="19"/>
          <w:lang w:eastAsia="pt-BR"/>
        </w:rPr>
        <w:t>, de comum acordo, definir o foro</w:t>
      </w:r>
      <w:r w:rsidRPr="00F07B48">
        <w:rPr>
          <w:rFonts w:ascii="Book Antiqua" w:eastAsia="Times New Roman" w:hAnsi="Book Antiqua" w:cs="Arial"/>
          <w:b/>
          <w:bCs/>
          <w:color w:val="000000"/>
          <w:sz w:val="16"/>
          <w:szCs w:val="16"/>
          <w:lang w:eastAsia="pt-BR"/>
        </w:rPr>
        <w:t>.</w:t>
      </w:r>
      <w:r w:rsidR="008253E2" w:rsidRPr="00F07B48">
        <w:rPr>
          <w:rFonts w:ascii="Book Antiqua" w:eastAsia="Times New Roman" w:hAnsi="Book Antiqua" w:cs="Arial"/>
          <w:b/>
          <w:bCs/>
          <w:color w:val="000000"/>
          <w:sz w:val="16"/>
          <w:szCs w:val="16"/>
          <w:lang w:eastAsia="pt-BR"/>
        </w:rPr>
        <w:t xml:space="preserve"> </w:t>
      </w:r>
      <w:r w:rsidR="008253E2" w:rsidRPr="00F07B48">
        <w:rPr>
          <w:rFonts w:ascii="Book Antiqua" w:eastAsia="Times New Roman" w:hAnsi="Book Antiqua" w:cs="Arial"/>
          <w:b/>
          <w:bCs/>
          <w:color w:val="FF0000"/>
          <w:sz w:val="16"/>
          <w:szCs w:val="16"/>
          <w:u w:val="single"/>
          <w:lang w:eastAsia="pt-BR"/>
        </w:rPr>
        <w:t>(TRF3-2011)</w:t>
      </w:r>
      <w:r w:rsidR="00F51671" w:rsidRPr="00F07B48">
        <w:rPr>
          <w:rFonts w:ascii="Book Antiqua" w:eastAsia="Times New Roman" w:hAnsi="Book Antiqua" w:cs="Arial"/>
          <w:b/>
          <w:bCs/>
          <w:color w:val="FF0000"/>
          <w:sz w:val="16"/>
          <w:szCs w:val="16"/>
          <w:lang w:eastAsia="pt-BR"/>
        </w:rPr>
        <w:t xml:space="preserve"> </w:t>
      </w:r>
      <w:r w:rsidR="00F51671" w:rsidRPr="00F07B48">
        <w:rPr>
          <w:rFonts w:ascii="Book Antiqua" w:eastAsia="Times New Roman" w:hAnsi="Book Antiqua" w:cs="Arial"/>
          <w:b/>
          <w:bCs/>
          <w:color w:val="FF0000"/>
          <w:sz w:val="16"/>
          <w:szCs w:val="16"/>
          <w:u w:val="single"/>
          <w:lang w:eastAsia="pt-BR"/>
        </w:rPr>
        <w:t>(TRF4-2012)</w:t>
      </w:r>
    </w:p>
    <w:p w14:paraId="457ACDEA" w14:textId="40564EAB" w:rsidR="005C1B9A" w:rsidRPr="00F07B48" w:rsidRDefault="005C1B9A" w:rsidP="008253E2">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8F40B0">
        <w:rPr>
          <w:rFonts w:ascii="Book Antiqua" w:eastAsia="Times New Roman" w:hAnsi="Book Antiqua" w:cs="Arial"/>
          <w:b/>
          <w:bCs/>
          <w:color w:val="000000"/>
          <w:sz w:val="19"/>
          <w:szCs w:val="19"/>
          <w:lang w:eastAsia="pt-BR"/>
        </w:rPr>
        <w:t>        Uma vez iniciado um procedimento de solução de controvérsias de acordo com o parágrafo anterior, nenhuma das partes poderá recorrer a mecanismos de solução de controvérsias estabelecidos nos outros foros com relação a um mesmo objeto, definido nos termos do artigo 14 deste Protocolo</w:t>
      </w:r>
      <w:r w:rsidRPr="00F07B48">
        <w:rPr>
          <w:rFonts w:ascii="Book Antiqua" w:eastAsia="Times New Roman" w:hAnsi="Book Antiqua" w:cs="Arial"/>
          <w:b/>
          <w:bCs/>
          <w:color w:val="000000"/>
          <w:sz w:val="16"/>
          <w:szCs w:val="16"/>
          <w:lang w:eastAsia="pt-BR"/>
        </w:rPr>
        <w:t>.</w:t>
      </w:r>
      <w:r w:rsidR="00F51671" w:rsidRPr="00F07B48">
        <w:rPr>
          <w:rFonts w:ascii="Book Antiqua" w:eastAsia="Times New Roman" w:hAnsi="Book Antiqua" w:cs="Arial"/>
          <w:b/>
          <w:bCs/>
          <w:color w:val="000000"/>
          <w:sz w:val="16"/>
          <w:szCs w:val="16"/>
          <w:lang w:eastAsia="pt-BR"/>
        </w:rPr>
        <w:t xml:space="preserve"> </w:t>
      </w:r>
      <w:r w:rsidR="00F51671" w:rsidRPr="00F07B48">
        <w:rPr>
          <w:rFonts w:ascii="Book Antiqua" w:eastAsia="Times New Roman" w:hAnsi="Book Antiqua" w:cs="Arial"/>
          <w:b/>
          <w:bCs/>
          <w:color w:val="FF0000"/>
          <w:sz w:val="16"/>
          <w:szCs w:val="16"/>
          <w:u w:val="single"/>
          <w:lang w:eastAsia="pt-BR"/>
        </w:rPr>
        <w:t>(TRF4-2012)</w:t>
      </w:r>
    </w:p>
    <w:p w14:paraId="133A6559" w14:textId="1DAE48B2" w:rsidR="005C1B9A" w:rsidRPr="00F07B48" w:rsidRDefault="005C1B9A" w:rsidP="008253E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5C1B9A">
        <w:rPr>
          <w:rFonts w:ascii="Book Antiqua" w:eastAsia="Times New Roman" w:hAnsi="Book Antiqua" w:cs="Arial"/>
          <w:color w:val="000000"/>
          <w:sz w:val="19"/>
          <w:szCs w:val="19"/>
          <w:lang w:eastAsia="pt-BR"/>
        </w:rPr>
        <w:t xml:space="preserve">        </w:t>
      </w:r>
      <w:r w:rsidRPr="008F40B0">
        <w:rPr>
          <w:rFonts w:ascii="Book Antiqua" w:eastAsia="Times New Roman" w:hAnsi="Book Antiqua" w:cs="Arial"/>
          <w:b/>
          <w:bCs/>
          <w:color w:val="000000"/>
          <w:sz w:val="19"/>
          <w:szCs w:val="19"/>
          <w:lang w:eastAsia="pt-BR"/>
        </w:rPr>
        <w:t>Não obstante, no marco do estabelecido neste numeral, o Conselho do Mercado Comum regulamentará os aspectos relativos à opção de foro</w:t>
      </w:r>
      <w:r w:rsidRPr="00F07B48">
        <w:rPr>
          <w:rFonts w:ascii="Book Antiqua" w:eastAsia="Times New Roman" w:hAnsi="Book Antiqua" w:cs="Arial"/>
          <w:color w:val="000000"/>
          <w:sz w:val="16"/>
          <w:szCs w:val="16"/>
          <w:lang w:eastAsia="pt-BR"/>
        </w:rPr>
        <w:t>.</w:t>
      </w:r>
      <w:r w:rsidR="00F51671" w:rsidRPr="00F07B48">
        <w:rPr>
          <w:rFonts w:ascii="Book Antiqua" w:eastAsia="Times New Roman" w:hAnsi="Book Antiqua" w:cs="Arial"/>
          <w:color w:val="000000"/>
          <w:sz w:val="16"/>
          <w:szCs w:val="16"/>
          <w:lang w:eastAsia="pt-BR"/>
        </w:rPr>
        <w:t xml:space="preserve"> </w:t>
      </w:r>
      <w:r w:rsidR="00F51671" w:rsidRPr="00F07B48">
        <w:rPr>
          <w:rFonts w:ascii="Book Antiqua" w:eastAsia="Times New Roman" w:hAnsi="Book Antiqua" w:cs="Arial"/>
          <w:b/>
          <w:bCs/>
          <w:color w:val="FF0000"/>
          <w:sz w:val="16"/>
          <w:szCs w:val="16"/>
          <w:u w:val="single"/>
          <w:lang w:eastAsia="pt-BR"/>
        </w:rPr>
        <w:t>(TRF4-2012)</w:t>
      </w:r>
    </w:p>
    <w:p w14:paraId="424ECAEB"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II</w:t>
      </w:r>
    </w:p>
    <w:p w14:paraId="63CB6D10"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Mecanismos Relativos a Aspectos Técnicos</w:t>
      </w:r>
    </w:p>
    <w:p w14:paraId="0E23FAE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2</w:t>
      </w:r>
    </w:p>
    <w:p w14:paraId="155CF53E"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Estabelecimento dos Mecanismos</w:t>
      </w:r>
    </w:p>
    <w:p w14:paraId="2A38FB08"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Quando se considere necessário, poderão ser estabelecidos mecanismos expeditos para resolver divergências entre Estados Partes sobre aspectos técnicos regulados em instrumentos de políticas comerciais comuns.</w:t>
      </w:r>
    </w:p>
    <w:p w14:paraId="67031B86"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2. As regras de funcionamento, o alcance desses mecanismos e a natureza dos pronunciamentos a serem emitidos nos mesmos serão definidos e aprovados por Decisão do Conselho do Mercado Comum.</w:t>
      </w:r>
    </w:p>
    <w:p w14:paraId="7D43D7AA"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III</w:t>
      </w:r>
    </w:p>
    <w:p w14:paraId="2EB59BDB"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Opiniões Consultivas</w:t>
      </w:r>
    </w:p>
    <w:p w14:paraId="0828E738" w14:textId="77777777" w:rsidR="005C1B9A" w:rsidRPr="00CA1DD2"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CA1DD2">
        <w:rPr>
          <w:rFonts w:ascii="Book Antiqua" w:eastAsia="Times New Roman" w:hAnsi="Book Antiqua" w:cs="Arial"/>
          <w:b/>
          <w:bCs/>
          <w:color w:val="000000"/>
          <w:sz w:val="19"/>
          <w:szCs w:val="19"/>
          <w:highlight w:val="magenta"/>
          <w:lang w:eastAsia="pt-BR"/>
        </w:rPr>
        <w:t>Artigo 3</w:t>
      </w:r>
    </w:p>
    <w:p w14:paraId="243B0DD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Regime de Solicitação</w:t>
      </w:r>
    </w:p>
    <w:p w14:paraId="088E90F4" w14:textId="4BF7C0DE" w:rsidR="005C1B9A" w:rsidRPr="00CA1DD2" w:rsidRDefault="005C1B9A" w:rsidP="00AC64EB">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CA1DD2">
        <w:rPr>
          <w:rFonts w:ascii="Book Antiqua" w:eastAsia="Times New Roman" w:hAnsi="Book Antiqua" w:cs="Arial"/>
          <w:b/>
          <w:bCs/>
          <w:color w:val="000000"/>
          <w:sz w:val="19"/>
          <w:szCs w:val="19"/>
          <w:lang w:eastAsia="pt-BR"/>
        </w:rPr>
        <w:t>        O Conselho do Mercado Comum poderá estabelecer mecanismos relativos à solicitação de opiniões consultivas ao Tribunal Permanente de Revisão definindo seu alcance e seus procedimentos.</w:t>
      </w:r>
      <w:r w:rsidR="00CA1DD2" w:rsidRPr="00CA1DD2">
        <w:rPr>
          <w:rFonts w:ascii="Book Antiqua" w:eastAsia="Times New Roman" w:hAnsi="Book Antiqua" w:cs="Arial"/>
          <w:b/>
          <w:bCs/>
          <w:color w:val="000000"/>
          <w:sz w:val="19"/>
          <w:szCs w:val="19"/>
          <w:lang w:eastAsia="pt-BR"/>
        </w:rPr>
        <w:t xml:space="preserve"> </w:t>
      </w:r>
      <w:r w:rsidR="00CA1DD2" w:rsidRPr="00CA1DD2">
        <w:rPr>
          <w:rFonts w:ascii="Book Antiqua" w:hAnsi="Book Antiqua"/>
          <w:b/>
          <w:bCs/>
          <w:color w:val="FF0000"/>
          <w:sz w:val="16"/>
          <w:szCs w:val="16"/>
          <w:u w:val="single"/>
        </w:rPr>
        <w:t>(TRT21-2015)</w:t>
      </w:r>
    </w:p>
    <w:tbl>
      <w:tblPr>
        <w:tblStyle w:val="Tabelacomgrade"/>
        <w:tblW w:w="0" w:type="auto"/>
        <w:tblLook w:val="04A0" w:firstRow="1" w:lastRow="0" w:firstColumn="1" w:lastColumn="0" w:noHBand="0" w:noVBand="1"/>
      </w:tblPr>
      <w:tblGrid>
        <w:gridCol w:w="8494"/>
      </w:tblGrid>
      <w:tr w:rsidR="00CA1DD2" w14:paraId="28D3D1BA" w14:textId="77777777" w:rsidTr="00CA1DD2">
        <w:tc>
          <w:tcPr>
            <w:tcW w:w="8494" w:type="dxa"/>
            <w:shd w:val="clear" w:color="auto" w:fill="CCFFFF"/>
          </w:tcPr>
          <w:p w14:paraId="291F1776" w14:textId="66B7EC48" w:rsidR="00CA1DD2" w:rsidRDefault="00CA1DD2" w:rsidP="00CA1DD2">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TRT21-2015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5967">
              <w:rPr>
                <w:rFonts w:ascii="Book Antiqua" w:eastAsia="Times New Roman" w:hAnsi="Book Antiqua" w:cs="Arial"/>
                <w:color w:val="000000"/>
                <w:sz w:val="19"/>
                <w:szCs w:val="19"/>
                <w:lang w:eastAsia="pt-BR"/>
              </w:rPr>
              <w:t>Sobre o Mercosul, é correto afirmar:</w:t>
            </w:r>
            <w:r>
              <w:rPr>
                <w:rFonts w:ascii="Book Antiqua" w:eastAsia="Times New Roman" w:hAnsi="Book Antiqua" w:cs="Arial"/>
                <w:color w:val="000000"/>
                <w:sz w:val="19"/>
                <w:szCs w:val="19"/>
                <w:lang w:eastAsia="pt-BR"/>
              </w:rPr>
              <w:t xml:space="preserve"> </w:t>
            </w:r>
            <w:r w:rsidRPr="00CA1DD2">
              <w:rPr>
                <w:rFonts w:ascii="Book Antiqua" w:eastAsia="Times New Roman" w:hAnsi="Book Antiqua" w:cs="Arial"/>
                <w:color w:val="000000"/>
                <w:sz w:val="19"/>
                <w:szCs w:val="19"/>
                <w:lang w:eastAsia="pt-BR"/>
              </w:rPr>
              <w:t>O Conselho do Mercado Comum poderá estabelecer mecanismos relativos à solicitação de opiniões consultivas ao Tribunal Permanente de Revisão, definindo seu alcance e seus procedimentos.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 do Protocolo.</w:t>
            </w:r>
          </w:p>
        </w:tc>
      </w:tr>
    </w:tbl>
    <w:p w14:paraId="605B9BAF" w14:textId="7AAED7E4"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IV</w:t>
      </w:r>
    </w:p>
    <w:p w14:paraId="35706782"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Negociações Diretas</w:t>
      </w:r>
    </w:p>
    <w:p w14:paraId="343FC563" w14:textId="77777777" w:rsidR="005C1B9A" w:rsidRPr="00F12D2E"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F12D2E">
        <w:rPr>
          <w:rFonts w:ascii="Book Antiqua" w:eastAsia="Times New Roman" w:hAnsi="Book Antiqua" w:cs="Arial"/>
          <w:b/>
          <w:bCs/>
          <w:color w:val="000000"/>
          <w:sz w:val="19"/>
          <w:szCs w:val="19"/>
          <w:highlight w:val="magenta"/>
          <w:lang w:eastAsia="pt-BR"/>
        </w:rPr>
        <w:t>Artigo 4</w:t>
      </w:r>
    </w:p>
    <w:p w14:paraId="0D8434AB" w14:textId="77777777" w:rsidR="005C1B9A" w:rsidRPr="00F12D2E"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F12D2E">
        <w:rPr>
          <w:rFonts w:ascii="Book Antiqua" w:eastAsia="Times New Roman" w:hAnsi="Book Antiqua" w:cs="Arial"/>
          <w:b/>
          <w:bCs/>
          <w:color w:val="000000"/>
          <w:sz w:val="19"/>
          <w:szCs w:val="19"/>
          <w:lang w:eastAsia="pt-BR"/>
        </w:rPr>
        <w:t>Negociações</w:t>
      </w:r>
    </w:p>
    <w:p w14:paraId="23E54576" w14:textId="05DD72CF" w:rsidR="005C1B9A" w:rsidRPr="00F12D2E" w:rsidRDefault="005C1B9A" w:rsidP="00750938">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F12D2E">
        <w:rPr>
          <w:rFonts w:ascii="Book Antiqua" w:eastAsia="Times New Roman" w:hAnsi="Book Antiqua" w:cs="Arial"/>
          <w:b/>
          <w:bCs/>
          <w:color w:val="000000"/>
          <w:sz w:val="19"/>
          <w:szCs w:val="19"/>
          <w:lang w:eastAsia="pt-BR"/>
        </w:rPr>
        <w:t>        Os Estados Partes numa controvérsia procurarão resolvê-la, antes de tudo, mediante negociações diretas.</w:t>
      </w:r>
      <w:r w:rsidR="00F12D2E" w:rsidRPr="00F12D2E">
        <w:rPr>
          <w:rFonts w:ascii="Book Antiqua" w:eastAsia="Times New Roman" w:hAnsi="Book Antiqua" w:cs="Arial"/>
          <w:b/>
          <w:bCs/>
          <w:color w:val="000000"/>
          <w:sz w:val="19"/>
          <w:szCs w:val="19"/>
          <w:lang w:eastAsia="pt-BR"/>
        </w:rPr>
        <w:t xml:space="preserve"> </w:t>
      </w:r>
      <w:r w:rsidR="00F12D2E" w:rsidRPr="00F12D2E">
        <w:rPr>
          <w:rFonts w:ascii="Book Antiqua" w:eastAsia="Times New Roman" w:hAnsi="Book Antiqua" w:cs="Arial"/>
          <w:b/>
          <w:bCs/>
          <w:color w:val="FF0000"/>
          <w:sz w:val="16"/>
          <w:szCs w:val="16"/>
          <w:u w:val="single"/>
          <w:lang w:eastAsia="pt-BR"/>
        </w:rPr>
        <w:t>(TRT1-2013)</w:t>
      </w:r>
    </w:p>
    <w:p w14:paraId="2DA68254" w14:textId="77777777" w:rsidR="005C1B9A" w:rsidRPr="00F12D2E"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F12D2E">
        <w:rPr>
          <w:rFonts w:ascii="Book Antiqua" w:eastAsia="Times New Roman" w:hAnsi="Book Antiqua" w:cs="Arial"/>
          <w:b/>
          <w:bCs/>
          <w:color w:val="000000"/>
          <w:sz w:val="19"/>
          <w:szCs w:val="19"/>
          <w:lang w:eastAsia="pt-BR"/>
        </w:rPr>
        <w:t>Artigo 5</w:t>
      </w:r>
    </w:p>
    <w:p w14:paraId="67E2AEC6" w14:textId="77777777" w:rsidR="005C1B9A" w:rsidRPr="00F12D2E"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F12D2E">
        <w:rPr>
          <w:rFonts w:ascii="Book Antiqua" w:eastAsia="Times New Roman" w:hAnsi="Book Antiqua" w:cs="Arial"/>
          <w:b/>
          <w:bCs/>
          <w:color w:val="000000"/>
          <w:sz w:val="19"/>
          <w:szCs w:val="19"/>
          <w:lang w:eastAsia="pt-BR"/>
        </w:rPr>
        <w:t>Procedimento e Prazo</w:t>
      </w:r>
    </w:p>
    <w:p w14:paraId="7E57CF19" w14:textId="1F354B4E" w:rsidR="005C1B9A" w:rsidRPr="00F12D2E" w:rsidRDefault="005C1B9A" w:rsidP="00750938">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F12D2E">
        <w:rPr>
          <w:rFonts w:ascii="Book Antiqua" w:eastAsia="Times New Roman" w:hAnsi="Book Antiqua" w:cs="Arial"/>
          <w:b/>
          <w:bCs/>
          <w:color w:val="000000"/>
          <w:sz w:val="19"/>
          <w:szCs w:val="19"/>
          <w:lang w:eastAsia="pt-BR"/>
        </w:rPr>
        <w:t xml:space="preserve">        </w:t>
      </w:r>
      <w:r w:rsidRPr="00F12D2E">
        <w:rPr>
          <w:rFonts w:ascii="Book Antiqua" w:eastAsia="Times New Roman" w:hAnsi="Book Antiqua" w:cs="Arial"/>
          <w:b/>
          <w:bCs/>
          <w:color w:val="000000"/>
          <w:sz w:val="19"/>
          <w:szCs w:val="19"/>
          <w:highlight w:val="magenta"/>
          <w:lang w:eastAsia="pt-BR"/>
        </w:rPr>
        <w:t>1</w:t>
      </w:r>
      <w:r w:rsidRPr="00F12D2E">
        <w:rPr>
          <w:rFonts w:ascii="Book Antiqua" w:eastAsia="Times New Roman" w:hAnsi="Book Antiqua" w:cs="Arial"/>
          <w:b/>
          <w:bCs/>
          <w:color w:val="000000"/>
          <w:sz w:val="19"/>
          <w:szCs w:val="19"/>
          <w:lang w:eastAsia="pt-BR"/>
        </w:rPr>
        <w:t>. As negociações diretas não poderão, salvo acordo entre as partes na controvérsia, exceder um prazo de quinze (15) dias a partir da data em que uma delas comunicou à outra a decisão de iniciar a controvérsia.</w:t>
      </w:r>
      <w:r w:rsidR="00F12D2E">
        <w:rPr>
          <w:rFonts w:ascii="Book Antiqua" w:eastAsia="Times New Roman" w:hAnsi="Book Antiqua" w:cs="Arial"/>
          <w:b/>
          <w:bCs/>
          <w:color w:val="000000"/>
          <w:sz w:val="19"/>
          <w:szCs w:val="19"/>
          <w:lang w:eastAsia="pt-BR"/>
        </w:rPr>
        <w:t xml:space="preserve"> </w:t>
      </w:r>
      <w:r w:rsidR="00F12D2E">
        <w:rPr>
          <w:rFonts w:ascii="Book Antiqua" w:eastAsia="Times New Roman" w:hAnsi="Book Antiqua" w:cs="Arial"/>
          <w:b/>
          <w:bCs/>
          <w:color w:val="FF0000"/>
          <w:sz w:val="16"/>
          <w:szCs w:val="16"/>
          <w:u w:val="single"/>
          <w:lang w:eastAsia="pt-BR"/>
        </w:rPr>
        <w:t>(TRT1-2013)</w:t>
      </w:r>
    </w:p>
    <w:p w14:paraId="09B0E4E0"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Os Estados partes em uma controvérsia informarão ao Grupo Mercado Comum, por intermédio da Secretaria Administrativa do MERCOSUL, sobre as gestões que se realizarem durante as negociações e os resultados das mesmas.</w:t>
      </w:r>
    </w:p>
    <w:p w14:paraId="62492357"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V</w:t>
      </w:r>
    </w:p>
    <w:p w14:paraId="2ADDA2C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Intervenção do Grupo Mercado Comum</w:t>
      </w:r>
    </w:p>
    <w:p w14:paraId="13B9EAB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6</w:t>
      </w:r>
    </w:p>
    <w:p w14:paraId="5E6EE43E"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Procedimento Opcional ante o GMC</w:t>
      </w:r>
    </w:p>
    <w:p w14:paraId="5F371655"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Se mediante as negociações diretas não se alcançar um acordo ou se a controvérsia for solucionada apenas parcialmente, qualquer dos Estados partes na controvérsia poderá iniciar diretamente o procedimento arbitral previsto no Capítulo VI.</w:t>
      </w:r>
    </w:p>
    <w:p w14:paraId="5F60A5BA"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Sem prejuízo do estabelecido no numeral anterior, os Estados partes na controvérsia poderão, de comum acordo, submetê-la à consideração do Grupo Mercado Comum.</w:t>
      </w:r>
    </w:p>
    <w:p w14:paraId="19C2AB29"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i) Nesse caso, o Grupo Mercado Comum avaliará a situação, dando oportunidade às partes na controvérsia para que exponham suas respectivas posições, requerendo, quando considere necessário, o assessoramento de especialistas selecionados da lista referida no artigo 43 do presente Protocolo.</w:t>
      </w:r>
    </w:p>
    <w:p w14:paraId="5C2D0E86"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 Os gastos relativos a esse assessoramento serão custeados em montantes iguais pelos Estados partes na controvérsia ou na proporção que determine o Grupo Mercado Comum.</w:t>
      </w:r>
    </w:p>
    <w:p w14:paraId="47930139"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A controvérsia também poderá ser levada à consideração do Grupo Mercado Comum se outro Estado, que não seja parte na controvérsia, solicitar, justificadamente, tal procedimento ao término das negociações diretas. Nesse caso, o procedimento arbitral iniciado pelo Estado Parte demandante não será interrompido, salvo acordo entre os Estados partes na controvérsia.</w:t>
      </w:r>
    </w:p>
    <w:p w14:paraId="6DA2B9A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7</w:t>
      </w:r>
    </w:p>
    <w:p w14:paraId="16BA171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Atribuições do GMC</w:t>
      </w:r>
    </w:p>
    <w:p w14:paraId="7C157159"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Se a controvérsia for submetida ao Grupo Mercado Comum pelos Estados partes na controvérsia, este formulará recomendações que, se possível, deverão ser expressas e detalhadas, visando à solução da divergência.</w:t>
      </w:r>
    </w:p>
    <w:p w14:paraId="5DAA5DEA"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Se a controvérsia for levada à consideração do Grupo Mercado Comum a pedido de um Estado que dela não é parte, o Grupo Mercado Comum poderá formular comentários ou recomendações a respeito.</w:t>
      </w:r>
    </w:p>
    <w:p w14:paraId="6BE1BA2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8</w:t>
      </w:r>
    </w:p>
    <w:p w14:paraId="4DAED2A4"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Prazo para Intervenção e Pronunciamento do GMC</w:t>
      </w:r>
    </w:p>
    <w:p w14:paraId="46D3B638"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 procedimento descrito no presente Capítulo não poderá estender-se por um prazo superior a trinta (30), dias a partir da data da reunião em que a controvérsia foi submetida à consideração do Grupo Mercado Comum.</w:t>
      </w:r>
    </w:p>
    <w:p w14:paraId="4302579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VI</w:t>
      </w:r>
    </w:p>
    <w:p w14:paraId="4BE7F0A2"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Procedimento Arbitral </w:t>
      </w:r>
      <w:r w:rsidRPr="005C1B9A">
        <w:rPr>
          <w:rFonts w:ascii="Book Antiqua" w:eastAsia="Times New Roman" w:hAnsi="Book Antiqua" w:cs="Arial"/>
          <w:i/>
          <w:iCs/>
          <w:color w:val="000000"/>
          <w:sz w:val="19"/>
          <w:szCs w:val="19"/>
          <w:lang w:eastAsia="pt-BR"/>
        </w:rPr>
        <w:t>Ad Hoc</w:t>
      </w:r>
    </w:p>
    <w:p w14:paraId="1C076573" w14:textId="77777777" w:rsidR="005C1B9A" w:rsidRPr="00750938"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750938">
        <w:rPr>
          <w:rFonts w:ascii="Book Antiqua" w:eastAsia="Times New Roman" w:hAnsi="Book Antiqua" w:cs="Arial"/>
          <w:b/>
          <w:bCs/>
          <w:color w:val="000000"/>
          <w:sz w:val="19"/>
          <w:szCs w:val="19"/>
          <w:highlight w:val="magenta"/>
          <w:lang w:eastAsia="pt-BR"/>
        </w:rPr>
        <w:t>Artigo 9</w:t>
      </w:r>
    </w:p>
    <w:p w14:paraId="62CBA42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Início da Etapa Arbitral</w:t>
      </w:r>
    </w:p>
    <w:p w14:paraId="39652890" w14:textId="786639AE" w:rsidR="005C1B9A" w:rsidRPr="00F07B48" w:rsidRDefault="005C1B9A" w:rsidP="00750938">
      <w:pPr>
        <w:spacing w:before="100" w:beforeAutospacing="1" w:after="100" w:afterAutospacing="1" w:line="240" w:lineRule="auto"/>
        <w:jc w:val="both"/>
        <w:rPr>
          <w:rFonts w:ascii="Book Antiqua" w:hAnsi="Book Antiqua"/>
          <w:b/>
          <w:bCs/>
          <w:color w:val="FF0000"/>
          <w:sz w:val="16"/>
          <w:szCs w:val="16"/>
          <w:u w:val="single"/>
        </w:rPr>
      </w:pPr>
      <w:r w:rsidRPr="005C1B9A">
        <w:rPr>
          <w:rFonts w:ascii="Book Antiqua" w:eastAsia="Times New Roman" w:hAnsi="Book Antiqua" w:cs="Arial"/>
          <w:color w:val="000000"/>
          <w:sz w:val="19"/>
          <w:szCs w:val="19"/>
          <w:lang w:eastAsia="pt-BR"/>
        </w:rPr>
        <w:t xml:space="preserve">        </w:t>
      </w:r>
      <w:r w:rsidRPr="00750938">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750938">
        <w:rPr>
          <w:rFonts w:ascii="Book Antiqua" w:eastAsia="Times New Roman" w:hAnsi="Book Antiqua" w:cs="Arial"/>
          <w:b/>
          <w:bCs/>
          <w:color w:val="000000"/>
          <w:sz w:val="19"/>
          <w:szCs w:val="19"/>
          <w:lang w:eastAsia="pt-BR"/>
        </w:rPr>
        <w:t xml:space="preserve">Quando não tiver sido possível solucionar a controvérsia mediante a aplicação dos procedimentos referidos nos Capítulos IV </w:t>
      </w:r>
      <w:r w:rsidR="008F40B0" w:rsidRPr="008F40B0">
        <w:rPr>
          <w:rFonts w:ascii="Book Antiqua" w:eastAsia="Times New Roman" w:hAnsi="Book Antiqua" w:cs="Arial"/>
          <w:b/>
          <w:bCs/>
          <w:i/>
          <w:iCs/>
          <w:color w:val="FF0000"/>
          <w:sz w:val="19"/>
          <w:szCs w:val="19"/>
          <w:lang w:eastAsia="pt-BR"/>
        </w:rPr>
        <w:t>[obs.: negociações diretas]</w:t>
      </w:r>
      <w:r w:rsidR="008F40B0">
        <w:rPr>
          <w:rFonts w:ascii="Book Antiqua" w:eastAsia="Times New Roman" w:hAnsi="Book Antiqua" w:cs="Arial"/>
          <w:b/>
          <w:bCs/>
          <w:color w:val="000000"/>
          <w:sz w:val="19"/>
          <w:szCs w:val="19"/>
          <w:lang w:eastAsia="pt-BR"/>
        </w:rPr>
        <w:t xml:space="preserve"> </w:t>
      </w:r>
      <w:r w:rsidRPr="00750938">
        <w:rPr>
          <w:rFonts w:ascii="Book Antiqua" w:eastAsia="Times New Roman" w:hAnsi="Book Antiqua" w:cs="Arial"/>
          <w:b/>
          <w:bCs/>
          <w:color w:val="000000"/>
          <w:sz w:val="19"/>
          <w:szCs w:val="19"/>
          <w:lang w:eastAsia="pt-BR"/>
        </w:rPr>
        <w:t>e V</w:t>
      </w:r>
      <w:r w:rsidR="008F40B0">
        <w:rPr>
          <w:rFonts w:ascii="Book Antiqua" w:eastAsia="Times New Roman" w:hAnsi="Book Antiqua" w:cs="Arial"/>
          <w:b/>
          <w:bCs/>
          <w:color w:val="000000"/>
          <w:sz w:val="19"/>
          <w:szCs w:val="19"/>
          <w:lang w:eastAsia="pt-BR"/>
        </w:rPr>
        <w:t xml:space="preserve"> </w:t>
      </w:r>
      <w:r w:rsidR="008F40B0" w:rsidRPr="008F40B0">
        <w:rPr>
          <w:rFonts w:ascii="Book Antiqua" w:eastAsia="Times New Roman" w:hAnsi="Book Antiqua" w:cs="Arial"/>
          <w:b/>
          <w:bCs/>
          <w:i/>
          <w:iCs/>
          <w:color w:val="FF0000"/>
          <w:sz w:val="19"/>
          <w:szCs w:val="19"/>
          <w:lang w:eastAsia="pt-BR"/>
        </w:rPr>
        <w:t>[obs.: Intervenção do Grupo Mercado Comum]</w:t>
      </w:r>
      <w:r w:rsidRPr="00750938">
        <w:rPr>
          <w:rFonts w:ascii="Book Antiqua" w:eastAsia="Times New Roman" w:hAnsi="Book Antiqua" w:cs="Arial"/>
          <w:b/>
          <w:bCs/>
          <w:color w:val="000000"/>
          <w:sz w:val="19"/>
          <w:szCs w:val="19"/>
          <w:lang w:eastAsia="pt-BR"/>
        </w:rPr>
        <w:t>, qualquer dos Estados partes na controvérsia poderá comunicar à Secretaria Administrativa do MERCOSUL sua decisão de recorrer ao procedimento arbitral estabelecido no presente Capítulo</w:t>
      </w:r>
      <w:r w:rsidR="008F40B0">
        <w:rPr>
          <w:rFonts w:ascii="Book Antiqua" w:eastAsia="Times New Roman" w:hAnsi="Book Antiqua" w:cs="Arial"/>
          <w:b/>
          <w:bCs/>
          <w:color w:val="000000"/>
          <w:sz w:val="19"/>
          <w:szCs w:val="19"/>
          <w:lang w:eastAsia="pt-BR"/>
        </w:rPr>
        <w:t xml:space="preserve"> </w:t>
      </w:r>
      <w:r w:rsidR="008F40B0" w:rsidRPr="008F40B0">
        <w:rPr>
          <w:rFonts w:ascii="Book Antiqua" w:eastAsia="Times New Roman" w:hAnsi="Book Antiqua" w:cs="Arial"/>
          <w:b/>
          <w:bCs/>
          <w:i/>
          <w:iCs/>
          <w:color w:val="FF0000"/>
          <w:sz w:val="19"/>
          <w:szCs w:val="19"/>
          <w:lang w:eastAsia="pt-BR"/>
        </w:rPr>
        <w:t>[obs.: Procedimento Arbitral Ad Hoc]</w:t>
      </w:r>
      <w:r w:rsidRPr="005C1B9A">
        <w:rPr>
          <w:rFonts w:ascii="Book Antiqua" w:eastAsia="Times New Roman" w:hAnsi="Book Antiqua" w:cs="Arial"/>
          <w:color w:val="000000"/>
          <w:sz w:val="19"/>
          <w:szCs w:val="19"/>
          <w:lang w:eastAsia="pt-BR"/>
        </w:rPr>
        <w:t>.</w:t>
      </w:r>
      <w:r w:rsidR="00750938">
        <w:rPr>
          <w:rFonts w:ascii="Book Antiqua" w:eastAsia="Times New Roman" w:hAnsi="Book Antiqua" w:cs="Arial"/>
          <w:color w:val="000000"/>
          <w:sz w:val="19"/>
          <w:szCs w:val="19"/>
          <w:lang w:eastAsia="pt-BR"/>
        </w:rPr>
        <w:t xml:space="preserve"> </w:t>
      </w:r>
      <w:r w:rsidR="00750938" w:rsidRPr="00F07B48">
        <w:rPr>
          <w:rFonts w:ascii="Book Antiqua" w:hAnsi="Book Antiqua"/>
          <w:b/>
          <w:bCs/>
          <w:color w:val="FF0000"/>
          <w:sz w:val="16"/>
          <w:szCs w:val="16"/>
          <w:u w:val="single"/>
        </w:rPr>
        <w:t>(TRF4-2016)</w:t>
      </w:r>
      <w:r w:rsidR="00F07B48">
        <w:rPr>
          <w:rFonts w:ascii="Book Antiqua" w:hAnsi="Book Antiqua"/>
          <w:b/>
          <w:bCs/>
          <w:color w:val="FF0000"/>
          <w:sz w:val="16"/>
          <w:szCs w:val="16"/>
        </w:rPr>
        <w:t xml:space="preserve"> </w:t>
      </w:r>
      <w:r w:rsidR="00F07B48">
        <w:rPr>
          <w:rFonts w:ascii="Book Antiqua" w:hAnsi="Book Antiqua"/>
          <w:b/>
          <w:bCs/>
          <w:color w:val="FF0000"/>
          <w:sz w:val="16"/>
          <w:szCs w:val="16"/>
          <w:u w:val="single"/>
        </w:rPr>
        <w:t>(TRF3-2018)</w:t>
      </w:r>
    </w:p>
    <w:tbl>
      <w:tblPr>
        <w:tblStyle w:val="Tabelacomgrade"/>
        <w:tblW w:w="0" w:type="auto"/>
        <w:tblLook w:val="04A0" w:firstRow="1" w:lastRow="0" w:firstColumn="1" w:lastColumn="0" w:noHBand="0" w:noVBand="1"/>
      </w:tblPr>
      <w:tblGrid>
        <w:gridCol w:w="8494"/>
      </w:tblGrid>
      <w:tr w:rsidR="008F40B0" w14:paraId="12DE3002" w14:textId="77777777" w:rsidTr="008F40B0">
        <w:tc>
          <w:tcPr>
            <w:tcW w:w="8494" w:type="dxa"/>
            <w:shd w:val="clear" w:color="auto" w:fill="CCFFFF"/>
          </w:tcPr>
          <w:p w14:paraId="481CC5D4" w14:textId="1674E856" w:rsidR="008F40B0" w:rsidRPr="008F40B0" w:rsidRDefault="008F40B0" w:rsidP="0075093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F40B0">
              <w:rPr>
                <w:rFonts w:ascii="Book Antiqua" w:eastAsia="Times New Roman" w:hAnsi="Book Antiqua" w:cs="Arial"/>
                <w:b/>
                <w:bCs/>
                <w:color w:val="000000"/>
                <w:sz w:val="19"/>
                <w:szCs w:val="19"/>
                <w:highlight w:val="yellow"/>
                <w:lang w:eastAsia="pt-BR"/>
              </w:rPr>
              <w:t>TRF3-2018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F40B0">
              <w:rPr>
                <w:rFonts w:ascii="Book Antiqua" w:eastAsia="Times New Roman" w:hAnsi="Book Antiqua" w:cs="Arial"/>
                <w:color w:val="000000"/>
                <w:sz w:val="19"/>
                <w:szCs w:val="19"/>
                <w:lang w:eastAsia="pt-BR"/>
              </w:rPr>
              <w:t xml:space="preserve">Sobre o MERCOSUL e sua disciplina jurídica, </w:t>
            </w:r>
            <w:r>
              <w:rPr>
                <w:rFonts w:ascii="Book Antiqua" w:eastAsia="Times New Roman" w:hAnsi="Book Antiqua" w:cs="Arial"/>
                <w:color w:val="000000"/>
                <w:sz w:val="19"/>
                <w:szCs w:val="19"/>
                <w:lang w:eastAsia="pt-BR"/>
              </w:rPr>
              <w:t>assinale a alternativa correta</w:t>
            </w:r>
            <w:r w:rsidRPr="008F40B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8F40B0">
              <w:rPr>
                <w:rFonts w:ascii="Book Antiqua" w:eastAsia="Times New Roman" w:hAnsi="Book Antiqua" w:cs="Arial"/>
                <w:color w:val="000000"/>
                <w:sz w:val="19"/>
                <w:szCs w:val="19"/>
                <w:lang w:eastAsia="pt-BR"/>
              </w:rPr>
              <w:t>Derrogando o Protocolo de Brasília, o Protocolo de Olivos, assinado aos 18.02.2002, aprovado pelo Decreto Legislativo 712, de 2003, e promulgado no Brasil pelo Dec. 4.982/2004, estabelece mecanismos para solução de controvérsias entre os Estados Partes; e o procedimento arbitral ”ad hoc” será utilizado, caso o conflito não tenha sido solucionado por negociação direta, nem por intervenção do Grupo Mercado Comum.</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9º, item 1 do Protocolo.</w:t>
            </w:r>
          </w:p>
        </w:tc>
      </w:tr>
    </w:tbl>
    <w:p w14:paraId="78D1DF38"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A Secretaria Administrativa do MERCOSUL notificará, de imediato, a comunicação ao outro ou aos outros Estados envolvidos na controvérsia e ao Grupo Mercado Comum.</w:t>
      </w:r>
    </w:p>
    <w:p w14:paraId="266D6F6A"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A Secretaria Administrativa do MERCOSUL se encarregará das gestões administrativas que lhe sejam requeridas para a tramitação dos procedimentos.</w:t>
      </w:r>
    </w:p>
    <w:p w14:paraId="4F5809F4" w14:textId="77777777" w:rsidR="005C1B9A" w:rsidRPr="00750938"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750938">
        <w:rPr>
          <w:rFonts w:ascii="Book Antiqua" w:eastAsia="Times New Roman" w:hAnsi="Book Antiqua" w:cs="Arial"/>
          <w:b/>
          <w:bCs/>
          <w:color w:val="000000"/>
          <w:sz w:val="19"/>
          <w:szCs w:val="19"/>
          <w:highlight w:val="magenta"/>
          <w:lang w:eastAsia="pt-BR"/>
        </w:rPr>
        <w:lastRenderedPageBreak/>
        <w:t>Artigo 10</w:t>
      </w:r>
    </w:p>
    <w:p w14:paraId="7F82A450"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Composição do Tribunal Arbitral Ad Hoc</w:t>
      </w:r>
    </w:p>
    <w:p w14:paraId="51E686A0" w14:textId="51884D8C" w:rsidR="005C1B9A" w:rsidRPr="00402F90" w:rsidRDefault="005C1B9A" w:rsidP="00750938">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C1B9A">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b/>
          <w:bCs/>
          <w:color w:val="000000"/>
          <w:sz w:val="19"/>
          <w:szCs w:val="19"/>
          <w:highlight w:val="magenta"/>
          <w:lang w:eastAsia="pt-BR"/>
        </w:rPr>
        <w:t>1</w:t>
      </w:r>
      <w:r w:rsidRPr="00402F90">
        <w:rPr>
          <w:rFonts w:ascii="Book Antiqua" w:eastAsia="Times New Roman" w:hAnsi="Book Antiqua" w:cs="Arial"/>
          <w:b/>
          <w:bCs/>
          <w:color w:val="000000"/>
          <w:sz w:val="19"/>
          <w:szCs w:val="19"/>
          <w:lang w:eastAsia="pt-BR"/>
        </w:rPr>
        <w:t>. O procedimento arbitral tramitará ante um Tribunal Ad Hoc composto de três (3) árbitros.</w:t>
      </w:r>
      <w:r w:rsidR="00402F90" w:rsidRPr="00402F90">
        <w:rPr>
          <w:rFonts w:ascii="Book Antiqua" w:eastAsia="Times New Roman" w:hAnsi="Book Antiqua" w:cs="Arial"/>
          <w:b/>
          <w:bCs/>
          <w:color w:val="000000"/>
          <w:sz w:val="19"/>
          <w:szCs w:val="19"/>
          <w:lang w:eastAsia="pt-BR"/>
        </w:rPr>
        <w:t xml:space="preserve"> </w:t>
      </w:r>
      <w:r w:rsidR="00402F90" w:rsidRPr="00402F90">
        <w:rPr>
          <w:rFonts w:ascii="Book Antiqua" w:hAnsi="Book Antiqua"/>
          <w:b/>
          <w:bCs/>
          <w:color w:val="FF0000"/>
          <w:sz w:val="16"/>
          <w:szCs w:val="16"/>
          <w:u w:val="single"/>
        </w:rPr>
        <w:t>(TRT15-2013)</w:t>
      </w:r>
    </w:p>
    <w:tbl>
      <w:tblPr>
        <w:tblStyle w:val="Tabelacomgrade"/>
        <w:tblW w:w="0" w:type="auto"/>
        <w:tblLook w:val="04A0" w:firstRow="1" w:lastRow="0" w:firstColumn="1" w:lastColumn="0" w:noHBand="0" w:noVBand="1"/>
      </w:tblPr>
      <w:tblGrid>
        <w:gridCol w:w="8494"/>
      </w:tblGrid>
      <w:tr w:rsidR="00402F90" w14:paraId="2D21777F" w14:textId="77777777" w:rsidTr="00D92F27">
        <w:tc>
          <w:tcPr>
            <w:tcW w:w="8494" w:type="dxa"/>
            <w:shd w:val="clear" w:color="auto" w:fill="CCFFFF"/>
          </w:tcPr>
          <w:p w14:paraId="0D84724C" w14:textId="481248F6" w:rsidR="00402F90" w:rsidRPr="007104B3" w:rsidRDefault="00402F90" w:rsidP="00D92F2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TRT15-2013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Sobre o Protocolo de Olivos, relativo ao MERCOSUL, assinale a al</w:t>
            </w:r>
            <w:r>
              <w:rPr>
                <w:rFonts w:ascii="Book Antiqua" w:eastAsia="Times New Roman" w:hAnsi="Book Antiqua" w:cs="Arial"/>
                <w:color w:val="000000"/>
                <w:sz w:val="19"/>
                <w:szCs w:val="19"/>
                <w:lang w:eastAsia="pt-BR"/>
              </w:rPr>
              <w:t>tern</w:t>
            </w:r>
            <w:r w:rsidRPr="00402F90">
              <w:rPr>
                <w:rFonts w:ascii="Book Antiqua" w:eastAsia="Times New Roman" w:hAnsi="Book Antiqua" w:cs="Arial"/>
                <w:color w:val="000000"/>
                <w:sz w:val="19"/>
                <w:szCs w:val="19"/>
                <w:lang w:eastAsia="pt-BR"/>
              </w:rPr>
              <w:t>ativa correta:</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estabelece como inovação a instauração de um tribunal “ad hoc” para a resolução de conflitos, composto de três árbitros</w:t>
            </w:r>
            <w:r w:rsidRPr="007104B3">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 Protocolo de Olivos.</w:t>
            </w:r>
          </w:p>
        </w:tc>
      </w:tr>
    </w:tbl>
    <w:p w14:paraId="13C781D1"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árbitros serão designados da seguinte maneira:</w:t>
      </w:r>
    </w:p>
    <w:p w14:paraId="67CBF2A9"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 Cada Estado parte na controvérsia designará um (1) árbitro titular da lista prevista no artigo 11.1, no prazo de quinze (15) dias, contado a partir da data em que a Secretaria Administrativa do MERCOSUL tenha comunicado aos Estados partes na controvérsia a decisão de um deles de recorrer à arbitragem.</w:t>
      </w:r>
    </w:p>
    <w:p w14:paraId="16291F07"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Simultaneamente, designará da mesma lista, um (1) árbitro suplente para substituir o árbitro titular em caso de incapacidade ou escusa deste em qualquer etapa do procedimento arbitral.</w:t>
      </w:r>
    </w:p>
    <w:p w14:paraId="42981D05"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 Se um dos Estados partes na controvérsia não tiver nomeado seus árbitros no prazo indicado no numeral 2 (i), eles serão designados por sorteio pela Secretaria Administrativa do MERCOSUL em um prazo de dois (2) dias, contado a partir do vencimento daquele prazo, dentre os árbitros desse Estado da lista prevista no artigo 11.1.</w:t>
      </w:r>
    </w:p>
    <w:p w14:paraId="609E1B9C"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xml:space="preserve">        </w:t>
      </w:r>
      <w:r w:rsidRPr="00750938">
        <w:rPr>
          <w:rFonts w:ascii="Book Antiqua" w:eastAsia="Times New Roman" w:hAnsi="Book Antiqua" w:cs="Arial"/>
          <w:b/>
          <w:bCs/>
          <w:color w:val="000000"/>
          <w:sz w:val="19"/>
          <w:szCs w:val="19"/>
          <w:highlight w:val="magenta"/>
          <w:lang w:eastAsia="pt-BR"/>
        </w:rPr>
        <w:t>3</w:t>
      </w:r>
      <w:r w:rsidRPr="005C1B9A">
        <w:rPr>
          <w:rFonts w:ascii="Book Antiqua" w:eastAsia="Times New Roman" w:hAnsi="Book Antiqua" w:cs="Arial"/>
          <w:color w:val="000000"/>
          <w:sz w:val="19"/>
          <w:szCs w:val="19"/>
          <w:lang w:eastAsia="pt-BR"/>
        </w:rPr>
        <w:t xml:space="preserve">. </w:t>
      </w:r>
      <w:r w:rsidRPr="00750938">
        <w:rPr>
          <w:rFonts w:ascii="Book Antiqua" w:eastAsia="Times New Roman" w:hAnsi="Book Antiqua" w:cs="Arial"/>
          <w:b/>
          <w:bCs/>
          <w:color w:val="000000"/>
          <w:sz w:val="19"/>
          <w:szCs w:val="19"/>
          <w:lang w:eastAsia="pt-BR"/>
        </w:rPr>
        <w:t>O árbitro Presidente será designado da seguinte forma</w:t>
      </w:r>
      <w:r w:rsidRPr="005C1B9A">
        <w:rPr>
          <w:rFonts w:ascii="Book Antiqua" w:eastAsia="Times New Roman" w:hAnsi="Book Antiqua" w:cs="Arial"/>
          <w:color w:val="000000"/>
          <w:sz w:val="19"/>
          <w:szCs w:val="19"/>
          <w:lang w:eastAsia="pt-BR"/>
        </w:rPr>
        <w:t>:</w:t>
      </w:r>
    </w:p>
    <w:p w14:paraId="2C9624DC" w14:textId="6F670DFC" w:rsidR="005C1B9A" w:rsidRPr="00F07B48" w:rsidRDefault="005C1B9A" w:rsidP="0075093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50938">
        <w:rPr>
          <w:rFonts w:ascii="Book Antiqua" w:eastAsia="Times New Roman" w:hAnsi="Book Antiqua" w:cs="Arial"/>
          <w:b/>
          <w:bCs/>
          <w:color w:val="000000"/>
          <w:sz w:val="19"/>
          <w:szCs w:val="19"/>
          <w:lang w:eastAsia="pt-BR"/>
        </w:rPr>
        <w:t>        i) Os Estados partes na controvérsia designarão, de comum acordo, o terceiro árbitro, que presidirá o Tribunal Arbitral Ad Hoc, da lista prevista no artigo 11.2 (iii), em um prazo de quinze (15) dias, contado a partir da data em que a Secretaria Administrativa do MERCOSUL tenha comunicado aos Estados partes na controvérsia a decisão de um deles de recorrer à arbitragem</w:t>
      </w:r>
      <w:r w:rsidRPr="00F07B48">
        <w:rPr>
          <w:rFonts w:ascii="Book Antiqua" w:eastAsia="Times New Roman" w:hAnsi="Book Antiqua" w:cs="Arial"/>
          <w:color w:val="000000"/>
          <w:sz w:val="16"/>
          <w:szCs w:val="16"/>
          <w:lang w:eastAsia="pt-BR"/>
        </w:rPr>
        <w:t>.</w:t>
      </w:r>
      <w:r w:rsidR="0050760C" w:rsidRPr="00F07B48">
        <w:rPr>
          <w:rFonts w:ascii="Book Antiqua" w:eastAsia="Times New Roman" w:hAnsi="Book Antiqua" w:cs="Arial"/>
          <w:color w:val="000000"/>
          <w:sz w:val="16"/>
          <w:szCs w:val="16"/>
          <w:lang w:eastAsia="pt-BR"/>
        </w:rPr>
        <w:t xml:space="preserve"> </w:t>
      </w:r>
      <w:r w:rsidR="0050760C" w:rsidRPr="00F07B48">
        <w:rPr>
          <w:rFonts w:ascii="Book Antiqua" w:eastAsia="Times New Roman" w:hAnsi="Book Antiqua" w:cs="Arial"/>
          <w:b/>
          <w:bCs/>
          <w:color w:val="FF0000"/>
          <w:sz w:val="16"/>
          <w:szCs w:val="16"/>
          <w:u w:val="single"/>
          <w:lang w:eastAsia="pt-BR"/>
        </w:rPr>
        <w:t>(AGU-2015)</w:t>
      </w:r>
      <w:r w:rsidR="00750938" w:rsidRPr="00F07B48">
        <w:rPr>
          <w:rFonts w:ascii="Book Antiqua" w:eastAsia="Times New Roman" w:hAnsi="Book Antiqua" w:cs="Arial"/>
          <w:color w:val="000000"/>
          <w:sz w:val="16"/>
          <w:szCs w:val="16"/>
          <w:lang w:eastAsia="pt-BR"/>
        </w:rPr>
        <w:t xml:space="preserve"> </w:t>
      </w:r>
      <w:r w:rsidR="00750938" w:rsidRPr="00F07B48">
        <w:rPr>
          <w:rFonts w:ascii="Book Antiqua" w:hAnsi="Book Antiqua"/>
          <w:b/>
          <w:bCs/>
          <w:color w:val="FF0000"/>
          <w:sz w:val="16"/>
          <w:szCs w:val="16"/>
          <w:u w:val="single"/>
        </w:rPr>
        <w:t>(TRF4-2016)</w:t>
      </w:r>
    </w:p>
    <w:p w14:paraId="1710E910"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Simultaneamente, designarão da mesma lista, um árbitro suplente para substituir o árbitro titular em caso de incapacidade ou escusa deste em qualquer etapa do procedimento arbitral.</w:t>
      </w:r>
    </w:p>
    <w:p w14:paraId="7EC9B5D1"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 Presidente e seu suplente não poderão ser nacionais dos Estados partes na controvérsia.</w:t>
      </w:r>
    </w:p>
    <w:p w14:paraId="1B511D2C"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 Se não houver acordo entre os Estados partes na controvérsia para escolher o terceiro árbitro dentro do prazo indicado, a Secretaria Administrativa do MERCOSUL, a pedido de qualquer um deles, procederá a sua designação por sorteio da lista do artigo 11.2 (iii), excluindo do mesmo os nacionais dos Estados partes na controvérsia.</w:t>
      </w:r>
    </w:p>
    <w:p w14:paraId="11D8D969"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iii) Os designados para atuar como terceiros árbitros deverão responder, em um prazo máximo de três (3) dias, contado a partir da notificação de sua designação, sobre sua aceitação para atuar em uma controvérsia.</w:t>
      </w:r>
    </w:p>
    <w:p w14:paraId="47193C01" w14:textId="77777777" w:rsidR="005C1B9A" w:rsidRPr="005C1B9A" w:rsidRDefault="005C1B9A" w:rsidP="007509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4. A Secretaria Administrativa do MERCOSUL notificará os árbitros de sua designação.</w:t>
      </w:r>
    </w:p>
    <w:p w14:paraId="2E1FC84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11</w:t>
      </w:r>
    </w:p>
    <w:p w14:paraId="14543F4A"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Listas de Árbitros</w:t>
      </w:r>
    </w:p>
    <w:p w14:paraId="7F0CC362"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Cada Estado Parte designará doze (12) árbitros, que integrarão uma lista que ficará registrada na Secretaria Administrativa do MERCOSUL. A designação dos árbitros, juntamente com o curriculum vitae detalhado de cada um deles, será notificada simultaneamente aos demais Estados Partes e à Secretaria Administrativa do MERCOSUL.</w:t>
      </w:r>
    </w:p>
    <w:p w14:paraId="27B08E13"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i) Cada Estado Parte poderá solicitar esclarecimentos sobre as pessoas designadas pelos outros Estados Partes para integrar a lista referida no parágrafo anterior, dentro do prazo de trinta (30) dias, contado a partir de tal notificação.</w:t>
      </w:r>
    </w:p>
    <w:p w14:paraId="3B4731F7"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 A Secretaria Administrativa do MERCOSUL notificará aos Estados Partes a lista consolidada de árbitros do MERCOSUL, bem como suas sucessivas modificações.</w:t>
      </w:r>
    </w:p>
    <w:p w14:paraId="35549A03"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Cada Estado Parte proporá, ademais, quatro (4) candidatos para integrar a lista de terceiros árbitros. Pelo menos um dos árbitros indicados por cada Estado Parte para esta lista não será nacional de nenhum dos Estados Partes do MERCOSUL.</w:t>
      </w:r>
    </w:p>
    <w:p w14:paraId="09A5314C"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 A lista deverá ser notificada aos demais Estados Partes, por intermédio da Presidência Pro Tempore, acompanhada pelo </w:t>
      </w:r>
      <w:r w:rsidRPr="005C1B9A">
        <w:rPr>
          <w:rFonts w:ascii="Book Antiqua" w:eastAsia="Times New Roman" w:hAnsi="Book Antiqua" w:cs="Arial"/>
          <w:i/>
          <w:iCs/>
          <w:color w:val="000000"/>
          <w:sz w:val="19"/>
          <w:szCs w:val="19"/>
          <w:lang w:eastAsia="pt-BR"/>
        </w:rPr>
        <w:t>curriculum vitae </w:t>
      </w:r>
      <w:r w:rsidRPr="005C1B9A">
        <w:rPr>
          <w:rFonts w:ascii="Book Antiqua" w:eastAsia="Times New Roman" w:hAnsi="Book Antiqua" w:cs="Arial"/>
          <w:color w:val="000000"/>
          <w:sz w:val="19"/>
          <w:szCs w:val="19"/>
          <w:lang w:eastAsia="pt-BR"/>
        </w:rPr>
        <w:t>de cada um dos candidatos propostos.</w:t>
      </w:r>
    </w:p>
    <w:p w14:paraId="2160D9AC"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 Cada Estado Parte poderá solicitar esclarecimentos sobre as pessoas propostas pelos demais Estados Partes ou apresentar objeções justificadas aos candidatos indicados, conforme os critérios estabelecidos no artigo 35, dentro do prazo de trinta (30) dias, contado a partir da notificação dessas propostas.</w:t>
      </w:r>
    </w:p>
    <w:p w14:paraId="1B8B63A5"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As objeções deverão ser comunicadas por intermédio da Presidência Pro Tempore ao Estado Parte proponente. Se, em um prazo que não poderá exceder a trinta (30) dias contado da notificação, não se chegar a uma solução, prevalecerá a objeção.</w:t>
      </w:r>
    </w:p>
    <w:p w14:paraId="4D7A6158"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iii) A lista consolidada de terceiros árbitros, bem como suas sucessivas modificações, acompanhadas do curriculum vitae dos árbitros, será comunicada pela Presidência Pro Tempore à Secretaria Administrativa do MERCOSUL, que a registrará e notificará aos Estados Partes.</w:t>
      </w:r>
    </w:p>
    <w:p w14:paraId="6AF553D8"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12</w:t>
      </w:r>
    </w:p>
    <w:p w14:paraId="609E6E5E"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Representantes e Assessores</w:t>
      </w:r>
    </w:p>
    <w:p w14:paraId="38FCF161"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Estados partes na controvérsia designarão seus representantes ante o Tribunal Arbitral Ad Hoc e poderão ainda designar assessores para a defesa de seus direitos.</w:t>
      </w:r>
    </w:p>
    <w:p w14:paraId="5AC4D8E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13</w:t>
      </w:r>
    </w:p>
    <w:p w14:paraId="4CC2C8E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Unificação de Representação</w:t>
      </w:r>
    </w:p>
    <w:p w14:paraId="67A2005C"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Se dois ou mais Estados Partes sustentarem a mesma posição na controvérsia, poderão unificar sua representação ante o Tribunal Arbitral e designarão um árbitro de comum acordo, no prazo estabelecido no artigo 10.2(i).</w:t>
      </w:r>
    </w:p>
    <w:p w14:paraId="4CF4BD5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14</w:t>
      </w:r>
    </w:p>
    <w:p w14:paraId="64106601"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Objeto da Controvérsia</w:t>
      </w:r>
    </w:p>
    <w:p w14:paraId="6426256E"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 objeto das controvérsias ficará determinado pelos textos de apresentação e de resposta apresentados ante o Tribunal Arbitral Ad Hoc, não podendo ser ampliado posteriormente.</w:t>
      </w:r>
    </w:p>
    <w:p w14:paraId="2676CA79"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As alegações que as partes apresentem nos textos mencionados no numeral anterior se basearão nas questões que foram consideradas nas etapas prévias, contempladas no presente Protocolo e no Anexo ao Protocolo de Ouro Preto.</w:t>
      </w:r>
    </w:p>
    <w:p w14:paraId="364251CF"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Os Estados partes na controvérsia informarão ao Tribunal Arbitral Ad Hoc, nos textos mencionados no numeral 1 do presente artigo, sobre as instâncias cumpridas com anterioridade ao procedimento arbitral e farão uma exposição dos fundamentos de fato e de direito de suas respectivas posições.</w:t>
      </w:r>
    </w:p>
    <w:p w14:paraId="2949417A"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Artigo 15</w:t>
      </w:r>
    </w:p>
    <w:p w14:paraId="7A619F8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Medidas Provisórias</w:t>
      </w:r>
    </w:p>
    <w:p w14:paraId="0E325025"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 Tribunal Arbitral Ad Hoc poderá, por solicitação da parte interessada, e na medida em que existam presunções fundamentadas de que a manutenção da situação poderá ocasionar danos graves e irreparáveis a uma das partes na controvérsia, ditar as medidas provisórias que considere apropriadas para prevenir tais danos.</w:t>
      </w:r>
    </w:p>
    <w:p w14:paraId="3B395B35"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 Tribunal poderá, a qualquer momento, tornar sem efeito tais medidas.</w:t>
      </w:r>
    </w:p>
    <w:p w14:paraId="226CC9D6"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Caso o laudo seja objeto de recurso de revisão, as medidas provisórias que não tenham sido deixadas sem efeito antes da emissão do mesmo se manterão até o tratamento do tema na primeira reunião do Tribunal Permanente de Revisão, que deverá resolver sobre sua manutenção ou extinção.</w:t>
      </w:r>
    </w:p>
    <w:p w14:paraId="4287D874"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16</w:t>
      </w:r>
    </w:p>
    <w:p w14:paraId="7087BF71"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Laudo Arbitral</w:t>
      </w:r>
    </w:p>
    <w:p w14:paraId="22C84212" w14:textId="30B54428"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 Tribunal Arbitral Ad Hoc emitirá o laudo num prazo de sessenta (60) dias, prorrogáveis por decisão do Tribunal por um prazo máximo de trinta (30) dias, contado a partir da comunicação efetuada pela Secretaria Administrativa do MERCOSUL às partes e aos demais árbitros, informando a aceitação pelo árbitro Presidente de sua designação.</w:t>
      </w:r>
      <w:r w:rsidR="005C6FED">
        <w:rPr>
          <w:rFonts w:ascii="Book Antiqua" w:eastAsia="Times New Roman" w:hAnsi="Book Antiqua" w:cs="Arial"/>
          <w:color w:val="000000"/>
          <w:sz w:val="19"/>
          <w:szCs w:val="19"/>
          <w:lang w:eastAsia="pt-BR"/>
        </w:rPr>
        <w:t xml:space="preserve"> </w:t>
      </w:r>
    </w:p>
    <w:p w14:paraId="779B754B"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VII</w:t>
      </w:r>
    </w:p>
    <w:p w14:paraId="21EFA66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Procedimento de Revisão</w:t>
      </w:r>
    </w:p>
    <w:p w14:paraId="01CF5D1E" w14:textId="77777777" w:rsidR="005C1B9A" w:rsidRPr="005C6FED"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5C6FED">
        <w:rPr>
          <w:rFonts w:ascii="Book Antiqua" w:eastAsia="Times New Roman" w:hAnsi="Book Antiqua" w:cs="Arial"/>
          <w:b/>
          <w:bCs/>
          <w:color w:val="000000"/>
          <w:sz w:val="19"/>
          <w:szCs w:val="19"/>
          <w:highlight w:val="magenta"/>
          <w:lang w:eastAsia="pt-BR"/>
        </w:rPr>
        <w:t>Artigo 17</w:t>
      </w:r>
    </w:p>
    <w:p w14:paraId="0B33F502"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Recurso de Revisão</w:t>
      </w:r>
    </w:p>
    <w:p w14:paraId="634B0E8A" w14:textId="5DA4D7D1" w:rsidR="005C1B9A" w:rsidRPr="006F3971" w:rsidRDefault="005C1B9A" w:rsidP="005C6FED">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DF6FDB">
        <w:rPr>
          <w:rFonts w:ascii="Book Antiqua" w:eastAsia="Times New Roman" w:hAnsi="Book Antiqua" w:cs="Arial"/>
          <w:b/>
          <w:bCs/>
          <w:color w:val="000000"/>
          <w:sz w:val="19"/>
          <w:szCs w:val="19"/>
          <w:lang w:eastAsia="pt-BR"/>
        </w:rPr>
        <w:t xml:space="preserve">Qualquer das partes na controvérsia </w:t>
      </w:r>
      <w:r w:rsidRPr="00DF6FDB">
        <w:rPr>
          <w:rFonts w:ascii="Book Antiqua" w:eastAsia="Times New Roman" w:hAnsi="Book Antiqua" w:cs="Arial"/>
          <w:b/>
          <w:bCs/>
          <w:caps/>
          <w:color w:val="000000"/>
          <w:sz w:val="19"/>
          <w:szCs w:val="19"/>
          <w:highlight w:val="green"/>
          <w:lang w:eastAsia="pt-BR"/>
        </w:rPr>
        <w:t>poderá apresenta</w:t>
      </w:r>
      <w:r w:rsidR="00F51671" w:rsidRPr="00DF6FDB">
        <w:rPr>
          <w:rFonts w:ascii="Book Antiqua" w:eastAsia="Times New Roman" w:hAnsi="Book Antiqua" w:cs="Arial"/>
          <w:b/>
          <w:bCs/>
          <w:caps/>
          <w:color w:val="000000"/>
          <w:sz w:val="19"/>
          <w:szCs w:val="19"/>
          <w:highlight w:val="green"/>
          <w:lang w:eastAsia="pt-BR"/>
        </w:rPr>
        <w:t>r</w:t>
      </w:r>
      <w:r w:rsidRPr="00DF6FDB">
        <w:rPr>
          <w:rFonts w:ascii="Book Antiqua" w:eastAsia="Times New Roman" w:hAnsi="Book Antiqua" w:cs="Arial"/>
          <w:b/>
          <w:bCs/>
          <w:color w:val="000000"/>
          <w:sz w:val="19"/>
          <w:szCs w:val="19"/>
          <w:lang w:eastAsia="pt-BR"/>
        </w:rPr>
        <w:t xml:space="preserve"> um recurso de revisão do laudo do Tribunal Arbitral Ad Hoc ao Tribunal Permanente de Revisão, </w:t>
      </w:r>
      <w:r w:rsidRPr="00DF6FDB">
        <w:rPr>
          <w:rFonts w:ascii="Book Antiqua" w:eastAsia="Times New Roman" w:hAnsi="Book Antiqua" w:cs="Arial"/>
          <w:b/>
          <w:bCs/>
          <w:color w:val="000000"/>
          <w:sz w:val="19"/>
          <w:szCs w:val="19"/>
          <w:highlight w:val="cyan"/>
          <w:lang w:eastAsia="pt-BR"/>
        </w:rPr>
        <w:t>em prazo não superior a quinze (15) dias a partir da notificação do mesmo</w:t>
      </w:r>
      <w:r w:rsidRPr="00F07B48">
        <w:rPr>
          <w:rFonts w:ascii="Book Antiqua" w:eastAsia="Times New Roman" w:hAnsi="Book Antiqua" w:cs="Arial"/>
          <w:color w:val="000000"/>
          <w:sz w:val="16"/>
          <w:szCs w:val="16"/>
          <w:lang w:eastAsia="pt-BR"/>
        </w:rPr>
        <w:t>.</w:t>
      </w:r>
      <w:r w:rsidR="00DF6FDB" w:rsidRPr="00F07B48">
        <w:rPr>
          <w:rFonts w:ascii="Book Antiqua" w:eastAsia="Times New Roman" w:hAnsi="Book Antiqua" w:cs="Arial"/>
          <w:color w:val="000000"/>
          <w:sz w:val="16"/>
          <w:szCs w:val="16"/>
          <w:lang w:eastAsia="pt-BR"/>
        </w:rPr>
        <w:t xml:space="preserve"> </w:t>
      </w:r>
      <w:bookmarkStart w:id="0" w:name="_Hlk123048192"/>
      <w:r w:rsidR="00DF6FDB" w:rsidRPr="00F07B48">
        <w:rPr>
          <w:rFonts w:ascii="Book Antiqua" w:hAnsi="Book Antiqua"/>
          <w:b/>
          <w:bCs/>
          <w:color w:val="FF0000"/>
          <w:sz w:val="16"/>
          <w:szCs w:val="16"/>
          <w:u w:val="single"/>
        </w:rPr>
        <w:t>(PFN-2007)</w:t>
      </w:r>
      <w:bookmarkEnd w:id="0"/>
      <w:r w:rsidR="005C6FED" w:rsidRPr="00F07B48">
        <w:rPr>
          <w:rFonts w:ascii="Book Antiqua" w:eastAsia="Times New Roman" w:hAnsi="Book Antiqua" w:cs="Arial"/>
          <w:color w:val="000000"/>
          <w:sz w:val="16"/>
          <w:szCs w:val="16"/>
          <w:lang w:eastAsia="pt-BR"/>
        </w:rPr>
        <w:t xml:space="preserve"> </w:t>
      </w:r>
      <w:r w:rsidR="005C6FED" w:rsidRPr="00F07B48">
        <w:rPr>
          <w:rFonts w:ascii="Book Antiqua" w:eastAsia="Times New Roman" w:hAnsi="Book Antiqua" w:cs="Arial"/>
          <w:b/>
          <w:bCs/>
          <w:color w:val="FF0000"/>
          <w:sz w:val="16"/>
          <w:szCs w:val="16"/>
          <w:u w:val="single"/>
          <w:lang w:eastAsia="pt-BR"/>
        </w:rPr>
        <w:t>(TRF2-2009)</w:t>
      </w:r>
      <w:r w:rsidR="00DF6FDB" w:rsidRPr="00F07B48">
        <w:rPr>
          <w:rFonts w:ascii="Book Antiqua" w:eastAsia="Times New Roman" w:hAnsi="Book Antiqua" w:cs="Arial"/>
          <w:b/>
          <w:bCs/>
          <w:color w:val="FF0000"/>
          <w:sz w:val="16"/>
          <w:szCs w:val="16"/>
          <w:lang w:eastAsia="pt-BR"/>
        </w:rPr>
        <w:t xml:space="preserve"> </w:t>
      </w:r>
      <w:r w:rsidR="00DF6FDB" w:rsidRPr="00F07B48">
        <w:rPr>
          <w:rFonts w:ascii="Book Antiqua" w:eastAsia="Times New Roman" w:hAnsi="Book Antiqua" w:cs="Arial"/>
          <w:b/>
          <w:bCs/>
          <w:color w:val="FF0000"/>
          <w:sz w:val="16"/>
          <w:szCs w:val="16"/>
          <w:u w:val="single"/>
          <w:lang w:eastAsia="pt-BR"/>
        </w:rPr>
        <w:t>(TRF1-2011)</w:t>
      </w:r>
      <w:r w:rsidR="00DF6FDB" w:rsidRPr="00F07B48">
        <w:rPr>
          <w:rFonts w:ascii="Book Antiqua" w:eastAsia="Times New Roman" w:hAnsi="Book Antiqua" w:cs="Arial"/>
          <w:b/>
          <w:bCs/>
          <w:color w:val="FF0000"/>
          <w:sz w:val="16"/>
          <w:szCs w:val="16"/>
          <w:lang w:eastAsia="pt-BR"/>
        </w:rPr>
        <w:t xml:space="preserve"> </w:t>
      </w:r>
      <w:r w:rsidR="00DF6FDB" w:rsidRPr="00F07B48">
        <w:rPr>
          <w:rFonts w:ascii="Book Antiqua" w:eastAsia="Times New Roman" w:hAnsi="Book Antiqua" w:cs="Arial"/>
          <w:b/>
          <w:bCs/>
          <w:color w:val="FF0000"/>
          <w:sz w:val="16"/>
          <w:szCs w:val="16"/>
          <w:u w:val="single"/>
          <w:lang w:eastAsia="pt-BR"/>
        </w:rPr>
        <w:t>(TRF4-2012)</w:t>
      </w:r>
      <w:r w:rsidR="0050760C" w:rsidRPr="00F07B48">
        <w:rPr>
          <w:rFonts w:ascii="Book Antiqua" w:eastAsia="Times New Roman" w:hAnsi="Book Antiqua" w:cs="Arial"/>
          <w:b/>
          <w:bCs/>
          <w:color w:val="FF0000"/>
          <w:sz w:val="16"/>
          <w:szCs w:val="16"/>
          <w:lang w:eastAsia="pt-BR"/>
        </w:rPr>
        <w:t xml:space="preserve"> </w:t>
      </w:r>
      <w:r w:rsidR="0050760C" w:rsidRPr="00F07B48">
        <w:rPr>
          <w:rFonts w:ascii="Book Antiqua" w:eastAsia="Times New Roman" w:hAnsi="Book Antiqua" w:cs="Arial"/>
          <w:b/>
          <w:bCs/>
          <w:color w:val="FF0000"/>
          <w:sz w:val="16"/>
          <w:szCs w:val="16"/>
          <w:u w:val="single"/>
          <w:lang w:eastAsia="pt-BR"/>
        </w:rPr>
        <w:t>(AGU-2015)</w:t>
      </w:r>
      <w:r w:rsidR="006F3971">
        <w:rPr>
          <w:rFonts w:ascii="Book Antiqua" w:eastAsia="Times New Roman" w:hAnsi="Book Antiqua" w:cs="Arial"/>
          <w:b/>
          <w:bCs/>
          <w:color w:val="FF0000"/>
          <w:sz w:val="16"/>
          <w:szCs w:val="16"/>
          <w:lang w:eastAsia="pt-BR"/>
        </w:rPr>
        <w:t xml:space="preserve"> </w:t>
      </w:r>
      <w:r w:rsidR="006F3971">
        <w:rPr>
          <w:rFonts w:ascii="Book Antiqua" w:hAnsi="Book Antiqua"/>
          <w:b/>
          <w:bCs/>
          <w:color w:val="FF0000"/>
          <w:sz w:val="16"/>
          <w:szCs w:val="16"/>
          <w:u w:val="single"/>
        </w:rPr>
        <w:t>(MPT-2024)</w:t>
      </w:r>
    </w:p>
    <w:tbl>
      <w:tblPr>
        <w:tblStyle w:val="Tabelacomgrade"/>
        <w:tblW w:w="0" w:type="auto"/>
        <w:tblLook w:val="04A0" w:firstRow="1" w:lastRow="0" w:firstColumn="1" w:lastColumn="0" w:noHBand="0" w:noVBand="1"/>
      </w:tblPr>
      <w:tblGrid>
        <w:gridCol w:w="8494"/>
      </w:tblGrid>
      <w:tr w:rsidR="00AC64EB" w14:paraId="6C5685CA" w14:textId="77777777" w:rsidTr="00AC64EB">
        <w:tc>
          <w:tcPr>
            <w:tcW w:w="8494" w:type="dxa"/>
            <w:shd w:val="clear" w:color="auto" w:fill="CCFFFF"/>
          </w:tcPr>
          <w:p w14:paraId="134B499E" w14:textId="4E485079" w:rsidR="006F3971" w:rsidRDefault="006F3971" w:rsidP="005C6FE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F3971">
              <w:rPr>
                <w:rFonts w:ascii="Book Antiqua" w:eastAsia="Times New Roman" w:hAnsi="Book Antiqua" w:cs="Arial"/>
                <w:color w:val="000000"/>
                <w:sz w:val="19"/>
                <w:szCs w:val="19"/>
                <w:lang w:eastAsia="pt-BR"/>
              </w:rPr>
              <w:t xml:space="preserve">Sobre o Mercado Comum do Sul, assinale a alternativa </w:t>
            </w:r>
            <w:r>
              <w:rPr>
                <w:rFonts w:ascii="Book Antiqua" w:eastAsia="Times New Roman" w:hAnsi="Book Antiqua" w:cs="Arial"/>
                <w:color w:val="000000"/>
                <w:sz w:val="19"/>
                <w:szCs w:val="19"/>
                <w:lang w:eastAsia="pt-BR"/>
              </w:rPr>
              <w:t>correta:</w:t>
            </w:r>
            <w:r>
              <w:rPr>
                <w:rFonts w:ascii="Book Antiqua" w:eastAsia="Times New Roman" w:hAnsi="Book Antiqua" w:cs="Arial"/>
                <w:color w:val="000000"/>
                <w:sz w:val="19"/>
                <w:szCs w:val="19"/>
                <w:lang w:eastAsia="pt-BR"/>
              </w:rPr>
              <w:t xml:space="preserve"> </w:t>
            </w:r>
            <w:r w:rsidRPr="006F3971">
              <w:rPr>
                <w:rFonts w:ascii="Book Antiqua" w:eastAsia="Times New Roman" w:hAnsi="Book Antiqua" w:cs="Arial"/>
                <w:color w:val="000000"/>
                <w:sz w:val="19"/>
                <w:szCs w:val="19"/>
                <w:lang w:eastAsia="pt-BR"/>
              </w:rPr>
              <w:t>O mecanismo de solução de controvérsias do Mercosul, estabelecido pelo Protocolo de Olivos, prevê a possibilidade de interposição de recurso de revisão em face de laudo arbitral emitido por Tribunal Arbitral Ad Hoc ao Tribunal Permanente de Revisão.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1, do Protocolo.</w:t>
            </w:r>
          </w:p>
          <w:p w14:paraId="0AB8BDD0" w14:textId="747A4F90" w:rsidR="00AC64EB" w:rsidRPr="00AC64EB" w:rsidRDefault="00AC64EB" w:rsidP="005C6FE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C64EB">
              <w:rPr>
                <w:rFonts w:ascii="Book Antiqua" w:eastAsia="Times New Roman" w:hAnsi="Book Antiqua" w:cs="Arial"/>
                <w:b/>
                <w:bCs/>
                <w:color w:val="000000"/>
                <w:sz w:val="19"/>
                <w:szCs w:val="19"/>
                <w:highlight w:val="yellow"/>
                <w:lang w:eastAsia="pt-BR"/>
              </w:rPr>
              <w:t>TRF1-2011-CESPE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C64EB">
              <w:rPr>
                <w:rFonts w:ascii="Book Antiqua" w:eastAsia="Times New Roman" w:hAnsi="Book Antiqua" w:cs="Arial"/>
                <w:color w:val="000000"/>
                <w:sz w:val="19"/>
                <w:szCs w:val="19"/>
                <w:lang w:eastAsia="pt-BR"/>
              </w:rPr>
              <w:t>A respeito do MERCOSUL e dos sujeitos econômicos, assinale a opção correta</w:t>
            </w:r>
            <w:r>
              <w:rPr>
                <w:rFonts w:ascii="Book Antiqua" w:eastAsia="Times New Roman" w:hAnsi="Book Antiqua" w:cs="Arial"/>
                <w:color w:val="000000"/>
                <w:sz w:val="19"/>
                <w:szCs w:val="19"/>
                <w:lang w:eastAsia="pt-BR"/>
              </w:rPr>
              <w:t xml:space="preserve">: </w:t>
            </w:r>
            <w:r w:rsidRPr="00AC64EB">
              <w:rPr>
                <w:rFonts w:ascii="Book Antiqua" w:eastAsia="Times New Roman" w:hAnsi="Book Antiqua" w:cs="Arial"/>
                <w:color w:val="000000"/>
                <w:sz w:val="19"/>
                <w:szCs w:val="19"/>
                <w:lang w:eastAsia="pt-BR"/>
              </w:rPr>
              <w:t>Compõe a estrutura do sistema de solução de controvérsias do MERCOSUL o Tribunal Permanente de Revisão, ao qual poderá ser encaminhado pelos Estados interessados recurso de revisão contra laudo emitido pelo Tribunal Arbitral Ad Hoc.</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1, do Protocolo.</w:t>
            </w:r>
          </w:p>
        </w:tc>
      </w:tr>
    </w:tbl>
    <w:p w14:paraId="5179B989" w14:textId="7A85B4C2" w:rsidR="005C1B9A" w:rsidRPr="00F07B48" w:rsidRDefault="005C1B9A" w:rsidP="005C6FED">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olor w:val="000000"/>
          <w:sz w:val="19"/>
          <w:szCs w:val="19"/>
          <w:highlight w:val="magenta"/>
          <w:lang w:eastAsia="pt-BR"/>
        </w:rPr>
        <w:t>2</w:t>
      </w:r>
      <w:r w:rsidRPr="005C1B9A">
        <w:rPr>
          <w:rFonts w:ascii="Book Antiqua" w:eastAsia="Times New Roman" w:hAnsi="Book Antiqua" w:cs="Arial"/>
          <w:color w:val="000000"/>
          <w:sz w:val="19"/>
          <w:szCs w:val="19"/>
          <w:lang w:eastAsia="pt-BR"/>
        </w:rPr>
        <w:t xml:space="preserve">. </w:t>
      </w:r>
      <w:r w:rsidRPr="0050760C">
        <w:rPr>
          <w:rFonts w:ascii="Book Antiqua" w:eastAsia="Times New Roman" w:hAnsi="Book Antiqua" w:cs="Arial"/>
          <w:b/>
          <w:bCs/>
          <w:color w:val="000000"/>
          <w:sz w:val="19"/>
          <w:szCs w:val="19"/>
          <w:lang w:eastAsia="pt-BR"/>
        </w:rPr>
        <w:t xml:space="preserve">O recurso </w:t>
      </w:r>
      <w:r w:rsidRPr="0050760C">
        <w:rPr>
          <w:rFonts w:ascii="Book Antiqua" w:eastAsia="Times New Roman" w:hAnsi="Book Antiqua" w:cs="Arial"/>
          <w:b/>
          <w:bCs/>
          <w:caps/>
          <w:color w:val="000000"/>
          <w:sz w:val="19"/>
          <w:szCs w:val="19"/>
          <w:highlight w:val="green"/>
          <w:lang w:eastAsia="pt-BR"/>
        </w:rPr>
        <w:t>estará limitado</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yellow"/>
          <w:lang w:eastAsia="pt-BR"/>
        </w:rPr>
        <w:t>a questões de direito tratadas</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cyan"/>
          <w:lang w:eastAsia="pt-BR"/>
        </w:rPr>
        <w:t>na controvérsia</w:t>
      </w:r>
      <w:r w:rsidRPr="0050760C">
        <w:rPr>
          <w:rFonts w:ascii="Book Antiqua" w:eastAsia="Times New Roman" w:hAnsi="Book Antiqua" w:cs="Arial"/>
          <w:b/>
          <w:bCs/>
          <w:color w:val="000000"/>
          <w:sz w:val="19"/>
          <w:szCs w:val="19"/>
          <w:lang w:eastAsia="pt-BR"/>
        </w:rPr>
        <w:t xml:space="preserve"> e </w:t>
      </w:r>
      <w:r w:rsidRPr="0050760C">
        <w:rPr>
          <w:rFonts w:ascii="Book Antiqua" w:eastAsia="Times New Roman" w:hAnsi="Book Antiqua" w:cs="Arial"/>
          <w:b/>
          <w:bCs/>
          <w:color w:val="000000"/>
          <w:sz w:val="19"/>
          <w:szCs w:val="19"/>
          <w:highlight w:val="cyan"/>
          <w:lang w:eastAsia="pt-BR"/>
        </w:rPr>
        <w:t>às interpretações</w:t>
      </w:r>
      <w:r w:rsidRPr="00F51671">
        <w:rPr>
          <w:rFonts w:ascii="Book Antiqua" w:eastAsia="Times New Roman" w:hAnsi="Book Antiqua" w:cs="Arial"/>
          <w:b/>
          <w:bCs/>
          <w:color w:val="000000"/>
          <w:sz w:val="19"/>
          <w:szCs w:val="19"/>
          <w:highlight w:val="cyan"/>
          <w:lang w:eastAsia="pt-BR"/>
        </w:rPr>
        <w:t xml:space="preserve"> jurídicas</w:t>
      </w: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aps/>
          <w:color w:val="000000"/>
          <w:sz w:val="19"/>
          <w:szCs w:val="19"/>
          <w:highlight w:val="green"/>
          <w:lang w:eastAsia="pt-BR"/>
        </w:rPr>
        <w:t>desenvolvidas</w:t>
      </w: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olor w:val="000000"/>
          <w:sz w:val="19"/>
          <w:szCs w:val="19"/>
          <w:highlight w:val="green"/>
          <w:lang w:eastAsia="pt-BR"/>
        </w:rPr>
        <w:t>no laudo</w:t>
      </w: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olor w:val="000000"/>
          <w:sz w:val="19"/>
          <w:szCs w:val="19"/>
          <w:highlight w:val="yellow"/>
          <w:lang w:eastAsia="pt-BR"/>
        </w:rPr>
        <w:t>do Tribunal Arbitral Ad Hoc</w:t>
      </w:r>
      <w:r w:rsidRPr="00F07B48">
        <w:rPr>
          <w:rFonts w:ascii="Book Antiqua" w:eastAsia="Times New Roman" w:hAnsi="Book Antiqua" w:cs="Arial"/>
          <w:color w:val="000000"/>
          <w:sz w:val="18"/>
          <w:szCs w:val="18"/>
          <w:lang w:eastAsia="pt-BR"/>
        </w:rPr>
        <w:t>.</w:t>
      </w:r>
      <w:r w:rsidR="00DF6FDB" w:rsidRPr="00F07B48">
        <w:rPr>
          <w:rFonts w:ascii="Book Antiqua" w:eastAsia="Times New Roman" w:hAnsi="Book Antiqua" w:cs="Arial"/>
          <w:color w:val="000000"/>
          <w:sz w:val="18"/>
          <w:szCs w:val="18"/>
          <w:lang w:eastAsia="pt-BR"/>
        </w:rPr>
        <w:t xml:space="preserve"> </w:t>
      </w:r>
      <w:r w:rsidR="00DF6FDB" w:rsidRPr="00F07B48">
        <w:rPr>
          <w:rFonts w:ascii="Book Antiqua" w:hAnsi="Book Antiqua"/>
          <w:b/>
          <w:bCs/>
          <w:color w:val="FF0000"/>
          <w:sz w:val="16"/>
          <w:szCs w:val="16"/>
          <w:u w:val="single"/>
        </w:rPr>
        <w:t>(PFN-2007)</w:t>
      </w:r>
      <w:r w:rsidR="00DF6FDB" w:rsidRPr="00F07B48">
        <w:rPr>
          <w:rFonts w:ascii="Book Antiqua" w:eastAsia="Times New Roman" w:hAnsi="Book Antiqua" w:cs="Arial"/>
          <w:color w:val="000000"/>
          <w:sz w:val="18"/>
          <w:szCs w:val="18"/>
          <w:lang w:eastAsia="pt-BR"/>
        </w:rPr>
        <w:t xml:space="preserve"> </w:t>
      </w:r>
      <w:r w:rsidR="00DF6FDB" w:rsidRPr="00F07B48">
        <w:rPr>
          <w:rFonts w:ascii="Book Antiqua" w:hAnsi="Book Antiqua"/>
          <w:b/>
          <w:bCs/>
          <w:color w:val="FF0000"/>
          <w:sz w:val="16"/>
          <w:szCs w:val="16"/>
          <w:u w:val="single"/>
        </w:rPr>
        <w:t>(TRF4-2012)</w:t>
      </w:r>
      <w:r w:rsidR="0050760C" w:rsidRPr="00F07B48">
        <w:rPr>
          <w:rFonts w:ascii="Book Antiqua" w:hAnsi="Book Antiqua"/>
          <w:b/>
          <w:bCs/>
          <w:color w:val="FF0000"/>
          <w:sz w:val="16"/>
          <w:szCs w:val="16"/>
        </w:rPr>
        <w:t xml:space="preserve"> </w:t>
      </w:r>
      <w:r w:rsidR="0050760C" w:rsidRPr="00F07B48">
        <w:rPr>
          <w:rFonts w:ascii="Book Antiqua" w:eastAsia="Times New Roman" w:hAnsi="Book Antiqua" w:cs="Arial"/>
          <w:b/>
          <w:bCs/>
          <w:color w:val="FF0000"/>
          <w:sz w:val="16"/>
          <w:szCs w:val="16"/>
          <w:u w:val="single"/>
          <w:lang w:eastAsia="pt-BR"/>
        </w:rPr>
        <w:t>(AGU-2015)</w:t>
      </w:r>
    </w:p>
    <w:p w14:paraId="45CF9F86" w14:textId="69D4E72B" w:rsidR="005C1B9A" w:rsidRPr="00F07B48" w:rsidRDefault="005C1B9A" w:rsidP="005C6FED">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olor w:val="000000"/>
          <w:sz w:val="19"/>
          <w:szCs w:val="19"/>
          <w:highlight w:val="magenta"/>
          <w:lang w:eastAsia="pt-BR"/>
        </w:rPr>
        <w:t>3</w:t>
      </w:r>
      <w:r w:rsidRPr="005C1B9A">
        <w:rPr>
          <w:rFonts w:ascii="Book Antiqua" w:eastAsia="Times New Roman" w:hAnsi="Book Antiqua" w:cs="Arial"/>
          <w:color w:val="000000"/>
          <w:sz w:val="19"/>
          <w:szCs w:val="19"/>
          <w:lang w:eastAsia="pt-BR"/>
        </w:rPr>
        <w:t>.</w:t>
      </w:r>
      <w:r w:rsidRPr="00DF6FDB">
        <w:rPr>
          <w:rFonts w:ascii="Book Antiqua" w:eastAsia="Times New Roman" w:hAnsi="Book Antiqua" w:cs="Arial"/>
          <w:b/>
          <w:bCs/>
          <w:color w:val="000000"/>
          <w:sz w:val="19"/>
          <w:szCs w:val="19"/>
          <w:lang w:eastAsia="pt-BR"/>
        </w:rPr>
        <w:t>Os laudos dos Tribunais Ad Hoc emitidos com base</w:t>
      </w: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olor w:val="000000"/>
          <w:sz w:val="19"/>
          <w:szCs w:val="19"/>
          <w:highlight w:val="cyan"/>
          <w:lang w:eastAsia="pt-BR"/>
        </w:rPr>
        <w:t xml:space="preserve">nos princípios </w:t>
      </w:r>
      <w:r w:rsidRPr="00F51671">
        <w:rPr>
          <w:rFonts w:ascii="Book Antiqua" w:eastAsia="Times New Roman" w:hAnsi="Book Antiqua" w:cs="Arial"/>
          <w:b/>
          <w:bCs/>
          <w:i/>
          <w:iCs/>
          <w:color w:val="000000"/>
          <w:sz w:val="19"/>
          <w:szCs w:val="19"/>
          <w:highlight w:val="cyan"/>
          <w:lang w:eastAsia="pt-BR"/>
        </w:rPr>
        <w:t>ex aequo et bono</w:t>
      </w:r>
      <w:r w:rsidRPr="005C1B9A">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b/>
          <w:bCs/>
          <w:caps/>
          <w:color w:val="000000"/>
          <w:sz w:val="19"/>
          <w:szCs w:val="19"/>
          <w:highlight w:val="green"/>
          <w:lang w:eastAsia="pt-BR"/>
        </w:rPr>
        <w:t>não serão suscetíveis</w:t>
      </w:r>
      <w:r w:rsidRPr="005C1B9A">
        <w:rPr>
          <w:rFonts w:ascii="Book Antiqua" w:eastAsia="Times New Roman" w:hAnsi="Book Antiqua" w:cs="Arial"/>
          <w:color w:val="000000"/>
          <w:sz w:val="19"/>
          <w:szCs w:val="19"/>
          <w:lang w:eastAsia="pt-BR"/>
        </w:rPr>
        <w:t xml:space="preserve"> de </w:t>
      </w:r>
      <w:r w:rsidRPr="00F51671">
        <w:rPr>
          <w:rFonts w:ascii="Book Antiqua" w:eastAsia="Times New Roman" w:hAnsi="Book Antiqua" w:cs="Arial"/>
          <w:b/>
          <w:bCs/>
          <w:color w:val="000000"/>
          <w:sz w:val="19"/>
          <w:szCs w:val="19"/>
          <w:highlight w:val="cyan"/>
          <w:lang w:eastAsia="pt-BR"/>
        </w:rPr>
        <w:t>recurso de revisão</w:t>
      </w:r>
      <w:r w:rsidRPr="00F07B48">
        <w:rPr>
          <w:rFonts w:ascii="Book Antiqua" w:eastAsia="Times New Roman" w:hAnsi="Book Antiqua" w:cs="Arial"/>
          <w:color w:val="000000"/>
          <w:sz w:val="18"/>
          <w:szCs w:val="18"/>
          <w:lang w:eastAsia="pt-BR"/>
        </w:rPr>
        <w:t>.</w:t>
      </w:r>
      <w:r w:rsidR="00DF6FDB" w:rsidRPr="00F07B48">
        <w:rPr>
          <w:rFonts w:ascii="Book Antiqua" w:eastAsia="Times New Roman" w:hAnsi="Book Antiqua" w:cs="Arial"/>
          <w:color w:val="000000"/>
          <w:sz w:val="18"/>
          <w:szCs w:val="18"/>
          <w:lang w:eastAsia="pt-BR"/>
        </w:rPr>
        <w:t xml:space="preserve"> </w:t>
      </w:r>
      <w:r w:rsidR="00DF6FDB" w:rsidRPr="00F07B48">
        <w:rPr>
          <w:rFonts w:ascii="Book Antiqua" w:hAnsi="Book Antiqua"/>
          <w:b/>
          <w:bCs/>
          <w:color w:val="FF0000"/>
          <w:sz w:val="16"/>
          <w:szCs w:val="16"/>
          <w:u w:val="single"/>
        </w:rPr>
        <w:t>(PFN-2007)</w:t>
      </w:r>
      <w:r w:rsidR="00DF6FDB" w:rsidRPr="00F07B48">
        <w:rPr>
          <w:rFonts w:ascii="Book Antiqua" w:eastAsia="Times New Roman" w:hAnsi="Book Antiqua" w:cs="Arial"/>
          <w:color w:val="000000"/>
          <w:sz w:val="18"/>
          <w:szCs w:val="18"/>
          <w:lang w:eastAsia="pt-BR"/>
        </w:rPr>
        <w:t xml:space="preserve"> </w:t>
      </w:r>
      <w:r w:rsidR="00DF6FDB" w:rsidRPr="00F07B48">
        <w:rPr>
          <w:rFonts w:ascii="Book Antiqua" w:hAnsi="Book Antiqua"/>
          <w:b/>
          <w:bCs/>
          <w:color w:val="FF0000"/>
          <w:sz w:val="16"/>
          <w:szCs w:val="16"/>
          <w:u w:val="single"/>
        </w:rPr>
        <w:t>(TRF4-2012)</w:t>
      </w:r>
      <w:r w:rsidR="0050760C" w:rsidRPr="00F07B48">
        <w:rPr>
          <w:rFonts w:ascii="Book Antiqua" w:hAnsi="Book Antiqua"/>
          <w:b/>
          <w:bCs/>
          <w:color w:val="FF0000"/>
          <w:sz w:val="16"/>
          <w:szCs w:val="16"/>
        </w:rPr>
        <w:t xml:space="preserve"> </w:t>
      </w:r>
      <w:r w:rsidR="0050760C" w:rsidRPr="00F07B48">
        <w:rPr>
          <w:rFonts w:ascii="Book Antiqua" w:eastAsia="Times New Roman" w:hAnsi="Book Antiqua" w:cs="Arial"/>
          <w:b/>
          <w:bCs/>
          <w:color w:val="FF0000"/>
          <w:sz w:val="16"/>
          <w:szCs w:val="16"/>
          <w:u w:val="single"/>
          <w:lang w:eastAsia="pt-BR"/>
        </w:rPr>
        <w:t>(AGU-2015)</w:t>
      </w:r>
    </w:p>
    <w:tbl>
      <w:tblPr>
        <w:tblStyle w:val="Tabelacomgrade"/>
        <w:tblW w:w="0" w:type="auto"/>
        <w:tblLook w:val="04A0" w:firstRow="1" w:lastRow="0" w:firstColumn="1" w:lastColumn="0" w:noHBand="0" w:noVBand="1"/>
      </w:tblPr>
      <w:tblGrid>
        <w:gridCol w:w="8494"/>
      </w:tblGrid>
      <w:tr w:rsidR="00F51671" w14:paraId="3E1CCCC0" w14:textId="77777777" w:rsidTr="00FE5C5E">
        <w:tc>
          <w:tcPr>
            <w:tcW w:w="8494" w:type="dxa"/>
            <w:shd w:val="clear" w:color="auto" w:fill="CCFFFF"/>
          </w:tcPr>
          <w:p w14:paraId="0DBD9C2B" w14:textId="3B611AA6" w:rsidR="00F51671" w:rsidRPr="00AC64EB" w:rsidRDefault="00F51671" w:rsidP="00FE5C5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C64EB">
              <w:rPr>
                <w:rFonts w:ascii="Book Antiqua" w:eastAsia="Times New Roman" w:hAnsi="Book Antiqua" w:cs="Arial"/>
                <w:b/>
                <w:bCs/>
                <w:color w:val="000000"/>
                <w:sz w:val="19"/>
                <w:szCs w:val="19"/>
                <w:highlight w:val="yellow"/>
                <w:lang w:eastAsia="pt-BR"/>
              </w:rPr>
              <w:t>TRF</w:t>
            </w:r>
            <w:r>
              <w:rPr>
                <w:rFonts w:ascii="Book Antiqua" w:eastAsia="Times New Roman" w:hAnsi="Book Antiqua" w:cs="Arial"/>
                <w:b/>
                <w:bCs/>
                <w:color w:val="000000"/>
                <w:sz w:val="19"/>
                <w:szCs w:val="19"/>
                <w:highlight w:val="yellow"/>
                <w:lang w:eastAsia="pt-BR"/>
              </w:rPr>
              <w:t>4</w:t>
            </w:r>
            <w:r w:rsidRPr="00AC64EB">
              <w:rPr>
                <w:rFonts w:ascii="Book Antiqua" w:eastAsia="Times New Roman" w:hAnsi="Book Antiqua" w:cs="Arial"/>
                <w:b/>
                <w:bCs/>
                <w:color w:val="000000"/>
                <w:sz w:val="19"/>
                <w:szCs w:val="19"/>
                <w:highlight w:val="yellow"/>
                <w:lang w:eastAsia="pt-BR"/>
              </w:rPr>
              <w:t>-201</w:t>
            </w:r>
            <w:r>
              <w:rPr>
                <w:rFonts w:ascii="Book Antiqua" w:eastAsia="Times New Roman" w:hAnsi="Book Antiqua" w:cs="Arial"/>
                <w:b/>
                <w:bCs/>
                <w:color w:val="000000"/>
                <w:sz w:val="19"/>
                <w:szCs w:val="19"/>
                <w:highlight w:val="yellow"/>
                <w:lang w:eastAsia="pt-BR"/>
              </w:rPr>
              <w:t>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color w:val="000000"/>
                <w:sz w:val="19"/>
                <w:szCs w:val="19"/>
                <w:lang w:eastAsia="pt-BR"/>
              </w:rPr>
              <w:t>Relativamente ao Mercosul, assinale a alternativa correta</w:t>
            </w:r>
            <w:r>
              <w:rPr>
                <w:rFonts w:ascii="Book Antiqua" w:eastAsia="Times New Roman" w:hAnsi="Book Antiqua" w:cs="Arial"/>
                <w:color w:val="000000"/>
                <w:sz w:val="19"/>
                <w:szCs w:val="19"/>
                <w:lang w:eastAsia="pt-BR"/>
              </w:rPr>
              <w:t xml:space="preserve">: </w:t>
            </w:r>
            <w:r w:rsidRPr="00F51671">
              <w:rPr>
                <w:rFonts w:ascii="Book Antiqua" w:eastAsia="Times New Roman" w:hAnsi="Book Antiqua" w:cs="Arial"/>
                <w:color w:val="000000"/>
                <w:sz w:val="19"/>
                <w:szCs w:val="19"/>
                <w:lang w:eastAsia="pt-BR"/>
              </w:rPr>
              <w:t xml:space="preserve">O laudo do Tribunal Arbitral Ad Hoc poderá ser revisto pelo Tribunal Permanente de Revisão, exclusivamente em questões de direito objeto da controvérsia e interpretações jurídicas, exceto se for emitido com base nos princípios </w:t>
            </w:r>
            <w:r w:rsidRPr="00F51671">
              <w:rPr>
                <w:rFonts w:ascii="Book Antiqua" w:eastAsia="Times New Roman" w:hAnsi="Book Antiqua" w:cs="Arial"/>
                <w:i/>
                <w:iCs/>
                <w:color w:val="000000"/>
                <w:sz w:val="19"/>
                <w:szCs w:val="19"/>
                <w:lang w:eastAsia="pt-BR"/>
              </w:rPr>
              <w:t>ex aequo et bono</w:t>
            </w:r>
            <w:r w:rsidRPr="00F5167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1, 2 e 3, do Protocolo.</w:t>
            </w:r>
          </w:p>
        </w:tc>
      </w:tr>
    </w:tbl>
    <w:p w14:paraId="4927C0F4"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4. A Secretaria Administrativa do MERCOSUL estará encarregada das gestões administrativas que lhe sejam encomendadas para o trâmite dos procedimentos e manterá informados os Estados partes na controvérsia e o Grupo Mercado Comum.</w:t>
      </w:r>
    </w:p>
    <w:p w14:paraId="1522325A" w14:textId="77777777" w:rsidR="005C1B9A" w:rsidRPr="007259C0"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7259C0">
        <w:rPr>
          <w:rFonts w:ascii="Book Antiqua" w:eastAsia="Times New Roman" w:hAnsi="Book Antiqua" w:cs="Arial"/>
          <w:b/>
          <w:bCs/>
          <w:color w:val="000000"/>
          <w:sz w:val="19"/>
          <w:szCs w:val="19"/>
          <w:highlight w:val="magenta"/>
          <w:lang w:eastAsia="pt-BR"/>
        </w:rPr>
        <w:t>Artigo 18</w:t>
      </w:r>
    </w:p>
    <w:p w14:paraId="5BF254C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Composição do Tribunal Permanente de Revisão</w:t>
      </w:r>
    </w:p>
    <w:p w14:paraId="7AAB24F7" w14:textId="1B4C8932" w:rsidR="005C1B9A" w:rsidRPr="00402F90" w:rsidRDefault="005C1B9A" w:rsidP="007259C0">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C1B9A">
        <w:rPr>
          <w:rFonts w:ascii="Book Antiqua" w:eastAsia="Times New Roman" w:hAnsi="Book Antiqua" w:cs="Arial"/>
          <w:color w:val="000000"/>
          <w:sz w:val="19"/>
          <w:szCs w:val="19"/>
          <w:lang w:eastAsia="pt-BR"/>
        </w:rPr>
        <w:t xml:space="preserve">        </w:t>
      </w:r>
      <w:r w:rsidRPr="008253E2">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50760C">
        <w:rPr>
          <w:rFonts w:ascii="Book Antiqua" w:eastAsia="Times New Roman" w:hAnsi="Book Antiqua" w:cs="Arial"/>
          <w:b/>
          <w:bCs/>
          <w:color w:val="000000"/>
          <w:sz w:val="19"/>
          <w:szCs w:val="19"/>
          <w:lang w:eastAsia="pt-BR"/>
        </w:rPr>
        <w:t xml:space="preserve">Tribunal Permanente de Revisão será integrado </w:t>
      </w:r>
      <w:r w:rsidRPr="0050760C">
        <w:rPr>
          <w:rFonts w:ascii="Book Antiqua" w:eastAsia="Times New Roman" w:hAnsi="Book Antiqua" w:cs="Arial"/>
          <w:b/>
          <w:bCs/>
          <w:color w:val="000000"/>
          <w:sz w:val="19"/>
          <w:szCs w:val="19"/>
          <w:highlight w:val="cyan"/>
          <w:lang w:eastAsia="pt-BR"/>
        </w:rPr>
        <w:t>por cinco (5) árbitros</w:t>
      </w:r>
      <w:r w:rsidRPr="00F07B48">
        <w:rPr>
          <w:rFonts w:ascii="Book Antiqua" w:eastAsia="Times New Roman" w:hAnsi="Book Antiqua" w:cs="Arial"/>
          <w:b/>
          <w:bCs/>
          <w:color w:val="000000"/>
          <w:sz w:val="16"/>
          <w:szCs w:val="16"/>
          <w:lang w:eastAsia="pt-BR"/>
        </w:rPr>
        <w:t>.</w:t>
      </w:r>
      <w:r w:rsidR="008253E2" w:rsidRPr="00F07B48">
        <w:rPr>
          <w:rFonts w:ascii="Book Antiqua" w:eastAsia="Times New Roman" w:hAnsi="Book Antiqua" w:cs="Arial"/>
          <w:b/>
          <w:bCs/>
          <w:color w:val="000000"/>
          <w:sz w:val="16"/>
          <w:szCs w:val="16"/>
          <w:lang w:eastAsia="pt-BR"/>
        </w:rPr>
        <w:t xml:space="preserve"> </w:t>
      </w:r>
      <w:r w:rsidR="008253E2" w:rsidRPr="00F07B48">
        <w:rPr>
          <w:rFonts w:ascii="Book Antiqua" w:eastAsia="Times New Roman" w:hAnsi="Book Antiqua" w:cs="Arial"/>
          <w:b/>
          <w:bCs/>
          <w:color w:val="FF0000"/>
          <w:sz w:val="16"/>
          <w:szCs w:val="16"/>
          <w:u w:val="single"/>
          <w:lang w:eastAsia="pt-BR"/>
        </w:rPr>
        <w:t>(TRF3-2011)</w:t>
      </w:r>
      <w:r w:rsidR="00402F90">
        <w:rPr>
          <w:rFonts w:ascii="Book Antiqua" w:eastAsia="Times New Roman" w:hAnsi="Book Antiqua" w:cs="Arial"/>
          <w:b/>
          <w:bCs/>
          <w:color w:val="FF0000"/>
          <w:sz w:val="16"/>
          <w:szCs w:val="16"/>
          <w:lang w:eastAsia="pt-BR"/>
        </w:rPr>
        <w:t xml:space="preserve"> </w:t>
      </w:r>
      <w:r w:rsidR="00402F90" w:rsidRPr="00402F90">
        <w:rPr>
          <w:rFonts w:ascii="Book Antiqua" w:hAnsi="Book Antiqua"/>
          <w:b/>
          <w:bCs/>
          <w:color w:val="FF0000"/>
          <w:sz w:val="16"/>
          <w:szCs w:val="16"/>
          <w:u w:val="single"/>
        </w:rPr>
        <w:t>(TRT15-2013)</w:t>
      </w:r>
    </w:p>
    <w:tbl>
      <w:tblPr>
        <w:tblStyle w:val="Tabelacomgrade"/>
        <w:tblW w:w="0" w:type="auto"/>
        <w:tblLook w:val="04A0" w:firstRow="1" w:lastRow="0" w:firstColumn="1" w:lastColumn="0" w:noHBand="0" w:noVBand="1"/>
      </w:tblPr>
      <w:tblGrid>
        <w:gridCol w:w="8494"/>
      </w:tblGrid>
      <w:tr w:rsidR="00402F90" w14:paraId="59B65DAB" w14:textId="77777777" w:rsidTr="00D92F27">
        <w:tc>
          <w:tcPr>
            <w:tcW w:w="8494" w:type="dxa"/>
            <w:shd w:val="clear" w:color="auto" w:fill="CCFFFF"/>
          </w:tcPr>
          <w:p w14:paraId="1972871F" w14:textId="24356F71" w:rsidR="00402F90" w:rsidRPr="007104B3" w:rsidRDefault="00402F90" w:rsidP="00D92F2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TRT15-2013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Sobre o Protocolo de Olivos, relativo ao MERCOSUL, assinale a al</w:t>
            </w:r>
            <w:r>
              <w:rPr>
                <w:rFonts w:ascii="Book Antiqua" w:eastAsia="Times New Roman" w:hAnsi="Book Antiqua" w:cs="Arial"/>
                <w:color w:val="000000"/>
                <w:sz w:val="19"/>
                <w:szCs w:val="19"/>
                <w:lang w:eastAsia="pt-BR"/>
              </w:rPr>
              <w:t>tern</w:t>
            </w:r>
            <w:r w:rsidRPr="00402F90">
              <w:rPr>
                <w:rFonts w:ascii="Book Antiqua" w:eastAsia="Times New Roman" w:hAnsi="Book Antiqua" w:cs="Arial"/>
                <w:color w:val="000000"/>
                <w:sz w:val="19"/>
                <w:szCs w:val="19"/>
                <w:lang w:eastAsia="pt-BR"/>
              </w:rPr>
              <w:t>ativa correta:</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prevê a criação de um Tribunal Permanente de Recursos para a resolução de controvérsias</w:t>
            </w:r>
            <w:r w:rsidRPr="007104B3">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18, item 1, Protocolo de Olivos.</w:t>
            </w:r>
          </w:p>
        </w:tc>
      </w:tr>
    </w:tbl>
    <w:p w14:paraId="12B60D4C" w14:textId="0366443C" w:rsidR="005C1B9A" w:rsidRPr="00F07B48" w:rsidRDefault="005C1B9A" w:rsidP="007259C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magenta"/>
          <w:lang w:eastAsia="pt-BR"/>
        </w:rPr>
        <w:t>2</w:t>
      </w:r>
      <w:r w:rsidRPr="0050760C">
        <w:rPr>
          <w:rFonts w:ascii="Book Antiqua" w:eastAsia="Times New Roman" w:hAnsi="Book Antiqua" w:cs="Arial"/>
          <w:b/>
          <w:bCs/>
          <w:color w:val="000000"/>
          <w:sz w:val="19"/>
          <w:szCs w:val="19"/>
          <w:lang w:eastAsia="pt-BR"/>
        </w:rPr>
        <w:t xml:space="preserve">. Cada Estado Parte do MERCOSUL designará </w:t>
      </w:r>
      <w:r w:rsidRPr="0050760C">
        <w:rPr>
          <w:rFonts w:ascii="Book Antiqua" w:eastAsia="Times New Roman" w:hAnsi="Book Antiqua" w:cs="Arial"/>
          <w:b/>
          <w:bCs/>
          <w:color w:val="000000"/>
          <w:sz w:val="19"/>
          <w:szCs w:val="19"/>
          <w:highlight w:val="yellow"/>
          <w:lang w:eastAsia="pt-BR"/>
        </w:rPr>
        <w:t>um (1) árbitro</w:t>
      </w:r>
      <w:r w:rsidRPr="0050760C">
        <w:rPr>
          <w:rFonts w:ascii="Book Antiqua" w:eastAsia="Times New Roman" w:hAnsi="Book Antiqua" w:cs="Arial"/>
          <w:b/>
          <w:bCs/>
          <w:color w:val="000000"/>
          <w:sz w:val="19"/>
          <w:szCs w:val="19"/>
          <w:lang w:eastAsia="pt-BR"/>
        </w:rPr>
        <w:t xml:space="preserve"> e </w:t>
      </w:r>
      <w:r w:rsidRPr="0050760C">
        <w:rPr>
          <w:rFonts w:ascii="Book Antiqua" w:eastAsia="Times New Roman" w:hAnsi="Book Antiqua" w:cs="Arial"/>
          <w:b/>
          <w:bCs/>
          <w:color w:val="000000"/>
          <w:sz w:val="19"/>
          <w:szCs w:val="19"/>
          <w:highlight w:val="yellow"/>
          <w:lang w:eastAsia="pt-BR"/>
        </w:rPr>
        <w:t>seu suplente</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cyan"/>
          <w:lang w:eastAsia="pt-BR"/>
        </w:rPr>
        <w:t>por um período de dois (2) anos</w:t>
      </w:r>
      <w:r w:rsidRPr="0050760C">
        <w:rPr>
          <w:rFonts w:ascii="Book Antiqua" w:eastAsia="Times New Roman" w:hAnsi="Book Antiqua" w:cs="Arial"/>
          <w:b/>
          <w:bCs/>
          <w:color w:val="000000"/>
          <w:sz w:val="19"/>
          <w:szCs w:val="19"/>
          <w:lang w:eastAsia="pt-BR"/>
        </w:rPr>
        <w:t>, renovável por no máximo dois períodos consecutivos</w:t>
      </w:r>
      <w:r w:rsidRPr="00F07B48">
        <w:rPr>
          <w:rFonts w:ascii="Book Antiqua" w:eastAsia="Times New Roman" w:hAnsi="Book Antiqua" w:cs="Arial"/>
          <w:color w:val="000000"/>
          <w:sz w:val="16"/>
          <w:szCs w:val="16"/>
          <w:lang w:eastAsia="pt-BR"/>
        </w:rPr>
        <w:t>.</w:t>
      </w:r>
      <w:r w:rsidR="0050760C" w:rsidRPr="00F07B48">
        <w:rPr>
          <w:rFonts w:ascii="Book Antiqua" w:eastAsia="Times New Roman" w:hAnsi="Book Antiqua" w:cs="Arial"/>
          <w:color w:val="000000"/>
          <w:sz w:val="16"/>
          <w:szCs w:val="16"/>
          <w:lang w:eastAsia="pt-BR"/>
        </w:rPr>
        <w:t xml:space="preserve"> </w:t>
      </w:r>
      <w:r w:rsidR="0050760C" w:rsidRPr="00F07B48">
        <w:rPr>
          <w:rFonts w:ascii="Book Antiqua" w:eastAsia="Times New Roman" w:hAnsi="Book Antiqua" w:cs="Arial"/>
          <w:b/>
          <w:bCs/>
          <w:color w:val="FF0000"/>
          <w:sz w:val="16"/>
          <w:szCs w:val="16"/>
          <w:u w:val="single"/>
          <w:lang w:eastAsia="pt-BR"/>
        </w:rPr>
        <w:t>(TRF2-2009)</w:t>
      </w:r>
      <w:r w:rsidR="008253E2" w:rsidRPr="00F07B48">
        <w:rPr>
          <w:rFonts w:ascii="Book Antiqua" w:eastAsia="Times New Roman" w:hAnsi="Book Antiqua" w:cs="Arial"/>
          <w:color w:val="000000"/>
          <w:sz w:val="16"/>
          <w:szCs w:val="16"/>
          <w:lang w:eastAsia="pt-BR"/>
        </w:rPr>
        <w:t xml:space="preserve"> </w:t>
      </w:r>
      <w:r w:rsidR="008253E2" w:rsidRPr="00F07B48">
        <w:rPr>
          <w:rFonts w:ascii="Book Antiqua" w:eastAsia="Times New Roman" w:hAnsi="Book Antiqua" w:cs="Arial"/>
          <w:b/>
          <w:bCs/>
          <w:color w:val="FF0000"/>
          <w:sz w:val="16"/>
          <w:szCs w:val="16"/>
          <w:u w:val="single"/>
          <w:lang w:eastAsia="pt-BR"/>
        </w:rPr>
        <w:t>(TRF3-2011)</w:t>
      </w:r>
    </w:p>
    <w:tbl>
      <w:tblPr>
        <w:tblStyle w:val="Tabelacomgrade"/>
        <w:tblW w:w="0" w:type="auto"/>
        <w:tblLook w:val="04A0" w:firstRow="1" w:lastRow="0" w:firstColumn="1" w:lastColumn="0" w:noHBand="0" w:noVBand="1"/>
      </w:tblPr>
      <w:tblGrid>
        <w:gridCol w:w="8494"/>
      </w:tblGrid>
      <w:tr w:rsidR="007259C0" w14:paraId="32C07B57" w14:textId="77777777" w:rsidTr="007259C0">
        <w:tc>
          <w:tcPr>
            <w:tcW w:w="8494" w:type="dxa"/>
            <w:shd w:val="clear" w:color="auto" w:fill="CCFFFF"/>
          </w:tcPr>
          <w:p w14:paraId="3DF31D86" w14:textId="6CD85C1E" w:rsidR="007259C0" w:rsidRPr="007259C0" w:rsidRDefault="007259C0" w:rsidP="007259C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259C0">
              <w:rPr>
                <w:rFonts w:ascii="Book Antiqua" w:eastAsia="Times New Roman" w:hAnsi="Book Antiqua" w:cs="Arial"/>
                <w:b/>
                <w:bCs/>
                <w:color w:val="000000"/>
                <w:sz w:val="19"/>
                <w:szCs w:val="19"/>
                <w:highlight w:val="yellow"/>
                <w:lang w:eastAsia="pt-BR"/>
              </w:rPr>
              <w:t>TRF2-2009-CESPE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259C0">
              <w:rPr>
                <w:rFonts w:ascii="Book Antiqua" w:eastAsia="Times New Roman" w:hAnsi="Book Antiqua" w:cs="Arial"/>
                <w:color w:val="000000"/>
                <w:sz w:val="19"/>
                <w:szCs w:val="19"/>
                <w:lang w:eastAsia="pt-BR"/>
              </w:rPr>
              <w:t>Assinale a opção correta quanto à solução de controvérsias no âmbito do MERCOSUL. Nesse sentido, considere que a sigla TAPR significa Tribunal Arbitral Permanente de Revisão</w:t>
            </w:r>
            <w:r>
              <w:rPr>
                <w:rFonts w:ascii="Book Antiqua" w:eastAsia="Times New Roman" w:hAnsi="Book Antiqua" w:cs="Arial"/>
                <w:color w:val="000000"/>
                <w:sz w:val="19"/>
                <w:szCs w:val="19"/>
                <w:lang w:eastAsia="pt-BR"/>
              </w:rPr>
              <w:t xml:space="preserve">: </w:t>
            </w:r>
            <w:r w:rsidRPr="007259C0">
              <w:rPr>
                <w:rFonts w:ascii="Book Antiqua" w:eastAsia="Times New Roman" w:hAnsi="Book Antiqua" w:cs="Arial"/>
                <w:color w:val="000000"/>
                <w:sz w:val="19"/>
                <w:szCs w:val="19"/>
                <w:lang w:eastAsia="pt-BR"/>
              </w:rPr>
              <w:t>Cada Estado-parte do MERCOSUL designará um árbitro titular e seu suplente para integrar o TAPR, por dois anos, renováveis por, no máximo, dois períodos consecutivos.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5C6FED">
              <w:rPr>
                <w:rFonts w:ascii="Book Antiqua" w:eastAsia="Times New Roman" w:hAnsi="Book Antiqua" w:cs="Arial"/>
                <w:b/>
                <w:bCs/>
                <w:color w:val="000000"/>
                <w:sz w:val="19"/>
                <w:szCs w:val="19"/>
                <w:lang w:eastAsia="pt-BR"/>
              </w:rPr>
              <w:t>18</w:t>
            </w:r>
            <w:r>
              <w:rPr>
                <w:rFonts w:ascii="Book Antiqua" w:eastAsia="Times New Roman" w:hAnsi="Book Antiqua" w:cs="Arial"/>
                <w:b/>
                <w:bCs/>
                <w:color w:val="000000"/>
                <w:sz w:val="19"/>
                <w:szCs w:val="19"/>
                <w:lang w:eastAsia="pt-BR"/>
              </w:rPr>
              <w:t>, item 2 do Protocolo.</w:t>
            </w:r>
          </w:p>
        </w:tc>
      </w:tr>
    </w:tbl>
    <w:p w14:paraId="6D28CFEF"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O quinto árbitro, que será designado por um período de três (3) anos não renovável, salvo acordo em contrário dos Estados Partes, será escolhido, por unanimidade dos Estados Partes, da lista referida neste numeral, pelo menos três (3) meses antes da expiração do mandato do quinto árbitro em exercício. Este árbitro terá a nacionalidade de algum dos Estados Partes do MERCOSUL, sem prejuízo do disposto no numeral 4 deste Artigo.</w:t>
      </w:r>
    </w:p>
    <w:p w14:paraId="51BDEDEC"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Não havendo unanimidade, a designação se fará por sorteio que realizará a Secretaria Administrativa do MERCOSUL, dentre os integrantes dessa lista, dentro dos dois (2) dias seguintes ao vencimento do referido prazo.</w:t>
      </w:r>
    </w:p>
    <w:p w14:paraId="7E5D585D"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 lista para a designação do quinto árbitro conformar-se-á com oito (8) integrantes. Cada Estado Parte proporá dois (2) integrantes que deverão ser nacionais dos países do MERCOSUL.</w:t>
      </w:r>
    </w:p>
    <w:p w14:paraId="5E13DB9F"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4. Os Estados Partes, de comum acordo, poderão definir outros critérios para a designação do quinto árbitro.</w:t>
      </w:r>
    </w:p>
    <w:p w14:paraId="3ADD5C12"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5. Pelo menos três (3) meses antes do término do mandato dos árbitros, os Estados Partes deverão manifestar-se a respeito de sua renovação ou propor novos candidatos.</w:t>
      </w:r>
    </w:p>
    <w:p w14:paraId="5921FB4D"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6. Caso expire o mandato de um árbitro que esteja atuando em uma controvérsia, este deverá permanecer em função até sua conclusão.</w:t>
      </w:r>
    </w:p>
    <w:p w14:paraId="07B28DDF"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7. Aplica-se, no que couber, aos procedimentos descritos neste artigo o disposto no artigo 11.2.</w:t>
      </w:r>
    </w:p>
    <w:p w14:paraId="67F94FC5"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19</w:t>
      </w:r>
    </w:p>
    <w:p w14:paraId="62761567"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Disponibilidade Permanente</w:t>
      </w:r>
    </w:p>
    <w:p w14:paraId="671FEC47"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integrantes do Tribunal Permanente de Revisão, uma vez que aceitem sua designação, deverão estar disponíveis permanentemente para atuar quando convocados.</w:t>
      </w:r>
    </w:p>
    <w:p w14:paraId="4EB85428" w14:textId="77777777" w:rsidR="005C1B9A" w:rsidRPr="007259C0"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7259C0">
        <w:rPr>
          <w:rFonts w:ascii="Book Antiqua" w:eastAsia="Times New Roman" w:hAnsi="Book Antiqua" w:cs="Arial"/>
          <w:b/>
          <w:bCs/>
          <w:color w:val="000000"/>
          <w:sz w:val="19"/>
          <w:szCs w:val="19"/>
          <w:highlight w:val="magenta"/>
          <w:lang w:eastAsia="pt-BR"/>
        </w:rPr>
        <w:t>Artigo 20</w:t>
      </w:r>
    </w:p>
    <w:p w14:paraId="10815FB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Funcionamento do Tribunal</w:t>
      </w:r>
    </w:p>
    <w:p w14:paraId="4E42D45D" w14:textId="5D3C4ED2" w:rsidR="005C1B9A" w:rsidRPr="00F07B48" w:rsidRDefault="005C1B9A" w:rsidP="007259C0">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50760C">
        <w:rPr>
          <w:rFonts w:ascii="Book Antiqua" w:eastAsia="Times New Roman" w:hAnsi="Book Antiqua" w:cs="Arial"/>
          <w:b/>
          <w:bCs/>
          <w:color w:val="000000"/>
          <w:sz w:val="19"/>
          <w:szCs w:val="19"/>
          <w:lang w:eastAsia="pt-BR"/>
        </w:rPr>
        <w:lastRenderedPageBreak/>
        <w:t xml:space="preserve">        </w:t>
      </w:r>
      <w:r w:rsidRPr="0050760C">
        <w:rPr>
          <w:rFonts w:ascii="Book Antiqua" w:eastAsia="Times New Roman" w:hAnsi="Book Antiqua" w:cs="Arial"/>
          <w:b/>
          <w:bCs/>
          <w:color w:val="000000"/>
          <w:sz w:val="19"/>
          <w:szCs w:val="19"/>
          <w:highlight w:val="magenta"/>
          <w:lang w:eastAsia="pt-BR"/>
        </w:rPr>
        <w:t>1</w:t>
      </w:r>
      <w:r w:rsidRPr="0050760C">
        <w:rPr>
          <w:rFonts w:ascii="Book Antiqua" w:eastAsia="Times New Roman" w:hAnsi="Book Antiqua" w:cs="Arial"/>
          <w:b/>
          <w:bCs/>
          <w:color w:val="000000"/>
          <w:sz w:val="19"/>
          <w:szCs w:val="19"/>
          <w:lang w:eastAsia="pt-BR"/>
        </w:rPr>
        <w:t xml:space="preserve">. Quando </w:t>
      </w:r>
      <w:r w:rsidRPr="0050760C">
        <w:rPr>
          <w:rFonts w:ascii="Book Antiqua" w:eastAsia="Times New Roman" w:hAnsi="Book Antiqua" w:cs="Arial"/>
          <w:b/>
          <w:bCs/>
          <w:color w:val="000000"/>
          <w:sz w:val="19"/>
          <w:szCs w:val="19"/>
          <w:highlight w:val="yellow"/>
          <w:lang w:eastAsia="pt-BR"/>
        </w:rPr>
        <w:t>a controvérsia</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aps/>
          <w:color w:val="000000"/>
          <w:sz w:val="19"/>
          <w:szCs w:val="19"/>
          <w:highlight w:val="green"/>
          <w:lang w:eastAsia="pt-BR"/>
        </w:rPr>
        <w:t>envolver</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cyan"/>
          <w:lang w:eastAsia="pt-BR"/>
        </w:rPr>
        <w:t>dois</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yellow"/>
          <w:lang w:eastAsia="pt-BR"/>
        </w:rPr>
        <w:t>Estados Partes</w:t>
      </w:r>
      <w:r w:rsidRPr="0050760C">
        <w:rPr>
          <w:rFonts w:ascii="Book Antiqua" w:eastAsia="Times New Roman" w:hAnsi="Book Antiqua" w:cs="Arial"/>
          <w:b/>
          <w:bCs/>
          <w:color w:val="000000"/>
          <w:sz w:val="19"/>
          <w:szCs w:val="19"/>
          <w:lang w:eastAsia="pt-BR"/>
        </w:rPr>
        <w:t xml:space="preserve">, o </w:t>
      </w:r>
      <w:r w:rsidRPr="0050760C">
        <w:rPr>
          <w:rFonts w:ascii="Book Antiqua" w:eastAsia="Times New Roman" w:hAnsi="Book Antiqua" w:cs="Arial"/>
          <w:b/>
          <w:bCs/>
          <w:caps/>
          <w:color w:val="000000"/>
          <w:sz w:val="19"/>
          <w:szCs w:val="19"/>
          <w:shd w:val="clear" w:color="auto" w:fill="F7CAAC" w:themeFill="accent2" w:themeFillTint="66"/>
          <w:lang w:eastAsia="pt-BR"/>
        </w:rPr>
        <w:t>Tribunal</w:t>
      </w:r>
      <w:r w:rsidRPr="0050760C">
        <w:rPr>
          <w:rFonts w:ascii="Book Antiqua" w:eastAsia="Times New Roman" w:hAnsi="Book Antiqua" w:cs="Arial"/>
          <w:b/>
          <w:bCs/>
          <w:caps/>
          <w:color w:val="000000"/>
          <w:sz w:val="19"/>
          <w:szCs w:val="19"/>
          <w:lang w:eastAsia="pt-BR"/>
        </w:rPr>
        <w:t xml:space="preserve"> </w:t>
      </w:r>
      <w:r w:rsidRPr="0050760C">
        <w:rPr>
          <w:rFonts w:ascii="Book Antiqua" w:eastAsia="Times New Roman" w:hAnsi="Book Antiqua" w:cs="Arial"/>
          <w:b/>
          <w:bCs/>
          <w:caps/>
          <w:color w:val="000000"/>
          <w:sz w:val="19"/>
          <w:szCs w:val="19"/>
          <w:highlight w:val="green"/>
          <w:lang w:eastAsia="pt-BR"/>
        </w:rPr>
        <w:t>estará integrado</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cyan"/>
          <w:lang w:eastAsia="pt-BR"/>
        </w:rPr>
        <w:t>por três (3)</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yellow"/>
          <w:lang w:eastAsia="pt-BR"/>
        </w:rPr>
        <w:t>árbitros</w:t>
      </w:r>
      <w:r w:rsidRPr="0050760C">
        <w:rPr>
          <w:rFonts w:ascii="Book Antiqua" w:eastAsia="Times New Roman" w:hAnsi="Book Antiqua" w:cs="Arial"/>
          <w:b/>
          <w:bCs/>
          <w:color w:val="000000"/>
          <w:sz w:val="19"/>
          <w:szCs w:val="19"/>
          <w:lang w:eastAsia="pt-BR"/>
        </w:rPr>
        <w:t>. Dois (2) árbitros serão nacionais de cada Estado parte na controvérsia e o terceiro, que exercerá a Presidência, será designado mediante sorteio a ser realizado pelo Diretor da Secretaria Administrativa do MERCOSUL, entre os árbitros restantes que não sejam nacionais dos Estados partes na controvérsia. A designação do Presidente dar-se-á no dia seguinte à interposição do recurso de revisão, data a partir da qual estará constituído o Tribunal para todos os efeitos</w:t>
      </w:r>
      <w:r w:rsidRPr="00F07B48">
        <w:rPr>
          <w:rFonts w:ascii="Book Antiqua" w:eastAsia="Times New Roman" w:hAnsi="Book Antiqua" w:cs="Arial"/>
          <w:b/>
          <w:bCs/>
          <w:color w:val="000000"/>
          <w:sz w:val="16"/>
          <w:szCs w:val="16"/>
          <w:lang w:eastAsia="pt-BR"/>
        </w:rPr>
        <w:t>.</w:t>
      </w:r>
      <w:r w:rsidR="007259C0" w:rsidRPr="00F07B48">
        <w:rPr>
          <w:rFonts w:ascii="Book Antiqua" w:eastAsia="Times New Roman" w:hAnsi="Book Antiqua" w:cs="Arial"/>
          <w:b/>
          <w:bCs/>
          <w:color w:val="000000"/>
          <w:sz w:val="16"/>
          <w:szCs w:val="16"/>
          <w:lang w:eastAsia="pt-BR"/>
        </w:rPr>
        <w:t xml:space="preserve"> </w:t>
      </w:r>
      <w:r w:rsidR="007259C0" w:rsidRPr="00F07B48">
        <w:rPr>
          <w:rFonts w:ascii="Book Antiqua" w:eastAsia="Times New Roman" w:hAnsi="Book Antiqua" w:cs="Arial"/>
          <w:b/>
          <w:bCs/>
          <w:color w:val="FF0000"/>
          <w:sz w:val="16"/>
          <w:szCs w:val="16"/>
          <w:u w:val="single"/>
          <w:lang w:eastAsia="pt-BR"/>
        </w:rPr>
        <w:t>(TRF2-2009)</w:t>
      </w:r>
    </w:p>
    <w:p w14:paraId="74D9D38A" w14:textId="456AE732" w:rsidR="005C1B9A" w:rsidRPr="00F07B48" w:rsidRDefault="005C1B9A" w:rsidP="007259C0">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magenta"/>
          <w:lang w:eastAsia="pt-BR"/>
        </w:rPr>
        <w:t>2</w:t>
      </w:r>
      <w:r w:rsidRPr="0050760C">
        <w:rPr>
          <w:rFonts w:ascii="Book Antiqua" w:eastAsia="Times New Roman" w:hAnsi="Book Antiqua" w:cs="Arial"/>
          <w:b/>
          <w:bCs/>
          <w:color w:val="000000"/>
          <w:sz w:val="19"/>
          <w:szCs w:val="19"/>
          <w:lang w:eastAsia="pt-BR"/>
        </w:rPr>
        <w:t xml:space="preserve">. Quando </w:t>
      </w:r>
      <w:r w:rsidRPr="0050760C">
        <w:rPr>
          <w:rFonts w:ascii="Book Antiqua" w:eastAsia="Times New Roman" w:hAnsi="Book Antiqua" w:cs="Arial"/>
          <w:b/>
          <w:bCs/>
          <w:color w:val="000000"/>
          <w:sz w:val="19"/>
          <w:szCs w:val="19"/>
          <w:highlight w:val="yellow"/>
          <w:lang w:eastAsia="pt-BR"/>
        </w:rPr>
        <w:t>a controvérsia</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aps/>
          <w:color w:val="000000"/>
          <w:sz w:val="19"/>
          <w:szCs w:val="19"/>
          <w:highlight w:val="green"/>
          <w:lang w:eastAsia="pt-BR"/>
        </w:rPr>
        <w:t>envolver</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cyan"/>
          <w:lang w:eastAsia="pt-BR"/>
        </w:rPr>
        <w:t>mais de dois</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yellow"/>
          <w:lang w:eastAsia="pt-BR"/>
        </w:rPr>
        <w:t>Estados Partes</w:t>
      </w:r>
      <w:r w:rsidRPr="0050760C">
        <w:rPr>
          <w:rFonts w:ascii="Book Antiqua" w:eastAsia="Times New Roman" w:hAnsi="Book Antiqua" w:cs="Arial"/>
          <w:b/>
          <w:bCs/>
          <w:color w:val="000000"/>
          <w:sz w:val="19"/>
          <w:szCs w:val="19"/>
          <w:lang w:eastAsia="pt-BR"/>
        </w:rPr>
        <w:t xml:space="preserve">, o </w:t>
      </w:r>
      <w:r w:rsidRPr="0050760C">
        <w:rPr>
          <w:rFonts w:ascii="Book Antiqua" w:eastAsia="Times New Roman" w:hAnsi="Book Antiqua" w:cs="Arial"/>
          <w:b/>
          <w:bCs/>
          <w:caps/>
          <w:color w:val="000000"/>
          <w:sz w:val="19"/>
          <w:szCs w:val="19"/>
          <w:shd w:val="clear" w:color="auto" w:fill="F7CAAC" w:themeFill="accent2" w:themeFillTint="66"/>
          <w:lang w:eastAsia="pt-BR"/>
        </w:rPr>
        <w:t>Tribunal Permanente de Revisão</w:t>
      </w:r>
      <w:r w:rsidRPr="0050760C">
        <w:rPr>
          <w:rFonts w:ascii="Book Antiqua" w:eastAsia="Times New Roman" w:hAnsi="Book Antiqua" w:cs="Arial"/>
          <w:b/>
          <w:bCs/>
          <w:caps/>
          <w:color w:val="000000"/>
          <w:sz w:val="19"/>
          <w:szCs w:val="19"/>
          <w:lang w:eastAsia="pt-BR"/>
        </w:rPr>
        <w:t xml:space="preserve"> </w:t>
      </w:r>
      <w:r w:rsidRPr="0050760C">
        <w:rPr>
          <w:rFonts w:ascii="Book Antiqua" w:eastAsia="Times New Roman" w:hAnsi="Book Antiqua" w:cs="Arial"/>
          <w:b/>
          <w:bCs/>
          <w:caps/>
          <w:color w:val="000000"/>
          <w:sz w:val="19"/>
          <w:szCs w:val="19"/>
          <w:highlight w:val="green"/>
          <w:lang w:eastAsia="pt-BR"/>
        </w:rPr>
        <w:t>estará integrado</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cyan"/>
          <w:lang w:eastAsia="pt-BR"/>
        </w:rPr>
        <w:t>pelos cinco (5)</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yellow"/>
          <w:lang w:eastAsia="pt-BR"/>
        </w:rPr>
        <w:t>árbitros</w:t>
      </w:r>
      <w:r w:rsidRPr="00F07B48">
        <w:rPr>
          <w:rFonts w:ascii="Book Antiqua" w:eastAsia="Times New Roman" w:hAnsi="Book Antiqua" w:cs="Arial"/>
          <w:b/>
          <w:bCs/>
          <w:color w:val="000000"/>
          <w:sz w:val="16"/>
          <w:szCs w:val="16"/>
          <w:lang w:eastAsia="pt-BR"/>
        </w:rPr>
        <w:t>.</w:t>
      </w:r>
      <w:r w:rsidR="007259C0" w:rsidRPr="00F07B48">
        <w:rPr>
          <w:rFonts w:ascii="Book Antiqua" w:eastAsia="Times New Roman" w:hAnsi="Book Antiqua" w:cs="Arial"/>
          <w:b/>
          <w:bCs/>
          <w:color w:val="000000"/>
          <w:sz w:val="16"/>
          <w:szCs w:val="16"/>
          <w:lang w:eastAsia="pt-BR"/>
        </w:rPr>
        <w:t xml:space="preserve"> </w:t>
      </w:r>
      <w:r w:rsidR="007259C0" w:rsidRPr="00F07B48">
        <w:rPr>
          <w:rFonts w:ascii="Book Antiqua" w:eastAsia="Times New Roman" w:hAnsi="Book Antiqua" w:cs="Arial"/>
          <w:b/>
          <w:bCs/>
          <w:color w:val="FF0000"/>
          <w:sz w:val="16"/>
          <w:szCs w:val="16"/>
          <w:u w:val="single"/>
          <w:lang w:eastAsia="pt-BR"/>
        </w:rPr>
        <w:t>(TRF2-2009)</w:t>
      </w:r>
    </w:p>
    <w:p w14:paraId="63955A94"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Os Estados Partes, de comum acordo, poderão definir outros critérios para o funcionamento do Tribunal estabelecido neste artigo.</w:t>
      </w:r>
    </w:p>
    <w:p w14:paraId="73C0CCE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21</w:t>
      </w:r>
    </w:p>
    <w:p w14:paraId="4682DF9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Contestação do Recurso de Revisão e Prazo para o Laudo</w:t>
      </w:r>
    </w:p>
    <w:p w14:paraId="25C96E5E"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A outra parte na controvérsia terá direito a contestar o recurso de revisão interposto, dentro do prazo de quinze (15) dias de notificada a apresentação de tal recurso.</w:t>
      </w:r>
    </w:p>
    <w:p w14:paraId="3B9BC7F1"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 Tribunal Permanente de Revisão pronunciar-se-á sobre o recurso em um prazo máximo de trinta (30) dias, contado a partir da apresentação da contestação a que faz referência o numeral anterior ou do vencimento do prazo para a referida apresentação, conforme o caso. Por decisão do Tribunal, o prazo de trinta (30) dias poderá ser prorrogado por mais quinze (15) dias.</w:t>
      </w:r>
    </w:p>
    <w:p w14:paraId="62524071"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22</w:t>
      </w:r>
    </w:p>
    <w:p w14:paraId="087F0B5E"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Alcance do Pronunciamento</w:t>
      </w:r>
    </w:p>
    <w:p w14:paraId="0CE3C03C"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 Tribunal Permanente de Revisão poderá confirmar, modificar ou revogar a fundamentação jurídica e as decisões do Tribunal Arbitral Ad Hoc.</w:t>
      </w:r>
    </w:p>
    <w:p w14:paraId="18528249"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 laudo do Tribunal Permanente de Revisão será definitivo e prevalecerá sobre o laudo do Tribunal Arbitral Ad Hoc.</w:t>
      </w:r>
    </w:p>
    <w:p w14:paraId="305CDEBF" w14:textId="77777777" w:rsidR="005C1B9A" w:rsidRPr="008253E2"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8253E2">
        <w:rPr>
          <w:rFonts w:ascii="Book Antiqua" w:eastAsia="Times New Roman" w:hAnsi="Book Antiqua" w:cs="Arial"/>
          <w:b/>
          <w:bCs/>
          <w:color w:val="000000"/>
          <w:sz w:val="19"/>
          <w:szCs w:val="19"/>
          <w:highlight w:val="magenta"/>
          <w:lang w:eastAsia="pt-BR"/>
        </w:rPr>
        <w:t>Artigo 23</w:t>
      </w:r>
    </w:p>
    <w:p w14:paraId="75DA100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Acesso direto ao Tribunal Permanente de Revisão</w:t>
      </w:r>
    </w:p>
    <w:p w14:paraId="49A53FFF" w14:textId="1100C679" w:rsidR="005C1B9A" w:rsidRPr="00F07B48" w:rsidRDefault="005C1B9A" w:rsidP="005C6FED">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5C1B9A">
        <w:rPr>
          <w:rFonts w:ascii="Book Antiqua" w:eastAsia="Times New Roman" w:hAnsi="Book Antiqua" w:cs="Arial"/>
          <w:color w:val="000000"/>
          <w:sz w:val="19"/>
          <w:szCs w:val="19"/>
          <w:lang w:eastAsia="pt-BR"/>
        </w:rPr>
        <w:t xml:space="preserve">        </w:t>
      </w:r>
      <w:r w:rsidRPr="008253E2">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DF6FDB">
        <w:rPr>
          <w:rFonts w:ascii="Book Antiqua" w:eastAsia="Times New Roman" w:hAnsi="Book Antiqua" w:cs="Arial"/>
          <w:b/>
          <w:bCs/>
          <w:color w:val="000000"/>
          <w:sz w:val="19"/>
          <w:szCs w:val="19"/>
          <w:lang w:eastAsia="pt-BR"/>
        </w:rPr>
        <w:t xml:space="preserve">As partes na controvérsia, culminado o procedimento estabelecido nos artigos 4 e 5 deste Protocolo, </w:t>
      </w:r>
      <w:r w:rsidRPr="00DF6FDB">
        <w:rPr>
          <w:rFonts w:ascii="Book Antiqua" w:eastAsia="Times New Roman" w:hAnsi="Book Antiqua" w:cs="Arial"/>
          <w:b/>
          <w:bCs/>
          <w:caps/>
          <w:color w:val="000000"/>
          <w:sz w:val="19"/>
          <w:szCs w:val="19"/>
          <w:highlight w:val="green"/>
          <w:lang w:eastAsia="pt-BR"/>
        </w:rPr>
        <w:t>poderão acordar</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cyan"/>
          <w:lang w:eastAsia="pt-BR"/>
        </w:rPr>
        <w:t>expressamente</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aps/>
          <w:color w:val="000000"/>
          <w:sz w:val="19"/>
          <w:szCs w:val="19"/>
          <w:highlight w:val="green"/>
          <w:lang w:eastAsia="pt-BR"/>
        </w:rPr>
        <w:t>submeter-se</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cyan"/>
          <w:lang w:eastAsia="pt-BR"/>
        </w:rPr>
        <w:t>diretamente</w:t>
      </w:r>
      <w:r w:rsidRPr="00DF6FDB">
        <w:rPr>
          <w:rFonts w:ascii="Book Antiqua" w:eastAsia="Times New Roman" w:hAnsi="Book Antiqua" w:cs="Arial"/>
          <w:b/>
          <w:bCs/>
          <w:color w:val="000000"/>
          <w:sz w:val="19"/>
          <w:szCs w:val="19"/>
          <w:lang w:eastAsia="pt-BR"/>
        </w:rPr>
        <w:t xml:space="preserve"> e </w:t>
      </w:r>
      <w:r w:rsidRPr="00DF6FDB">
        <w:rPr>
          <w:rFonts w:ascii="Book Antiqua" w:eastAsia="Times New Roman" w:hAnsi="Book Antiqua" w:cs="Arial"/>
          <w:b/>
          <w:bCs/>
          <w:color w:val="000000"/>
          <w:sz w:val="19"/>
          <w:szCs w:val="19"/>
          <w:highlight w:val="cyan"/>
          <w:lang w:eastAsia="pt-BR"/>
        </w:rPr>
        <w:t>em única instância</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yellow"/>
          <w:lang w:eastAsia="pt-BR"/>
        </w:rPr>
        <w:t>ao Tribunal Permanente de Revisão</w:t>
      </w:r>
      <w:r w:rsidRPr="00DF6FDB">
        <w:rPr>
          <w:rFonts w:ascii="Book Antiqua" w:eastAsia="Times New Roman" w:hAnsi="Book Antiqua" w:cs="Arial"/>
          <w:b/>
          <w:bCs/>
          <w:color w:val="000000"/>
          <w:sz w:val="19"/>
          <w:szCs w:val="19"/>
          <w:lang w:eastAsia="pt-BR"/>
        </w:rPr>
        <w:t xml:space="preserve">, caso em que </w:t>
      </w:r>
      <w:r w:rsidRPr="00DF6FDB">
        <w:rPr>
          <w:rFonts w:ascii="Book Antiqua" w:eastAsia="Times New Roman" w:hAnsi="Book Antiqua" w:cs="Arial"/>
          <w:b/>
          <w:bCs/>
          <w:color w:val="000000"/>
          <w:sz w:val="19"/>
          <w:szCs w:val="19"/>
          <w:highlight w:val="yellow"/>
          <w:lang w:eastAsia="pt-BR"/>
        </w:rPr>
        <w:t>este</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aps/>
          <w:color w:val="000000"/>
          <w:sz w:val="19"/>
          <w:szCs w:val="19"/>
          <w:highlight w:val="green"/>
          <w:lang w:eastAsia="pt-BR"/>
        </w:rPr>
        <w:t>terá</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cyan"/>
          <w:lang w:eastAsia="pt-BR"/>
        </w:rPr>
        <w:t>as mesmas competências</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yellow"/>
          <w:lang w:eastAsia="pt-BR"/>
        </w:rPr>
        <w:t>que um Tribunal Arbitral Ad Hoc</w:t>
      </w:r>
      <w:r w:rsidRPr="00DF6FDB">
        <w:rPr>
          <w:rFonts w:ascii="Book Antiqua" w:eastAsia="Times New Roman" w:hAnsi="Book Antiqua" w:cs="Arial"/>
          <w:b/>
          <w:bCs/>
          <w:color w:val="000000"/>
          <w:sz w:val="19"/>
          <w:szCs w:val="19"/>
          <w:lang w:eastAsia="pt-BR"/>
        </w:rPr>
        <w:t>, aplicando-se, no que corresponda, os Artigos 9, 12, 13, 14, 15 e 16 do presente Protocolo</w:t>
      </w:r>
      <w:r w:rsidRPr="00F07B48">
        <w:rPr>
          <w:rFonts w:ascii="Book Antiqua" w:eastAsia="Times New Roman" w:hAnsi="Book Antiqua" w:cs="Arial"/>
          <w:b/>
          <w:bCs/>
          <w:color w:val="000000"/>
          <w:sz w:val="16"/>
          <w:szCs w:val="16"/>
          <w:lang w:eastAsia="pt-BR"/>
        </w:rPr>
        <w:t>.</w:t>
      </w:r>
      <w:r w:rsidR="008253E2" w:rsidRPr="00F07B48">
        <w:rPr>
          <w:rFonts w:ascii="Book Antiqua" w:eastAsia="Times New Roman" w:hAnsi="Book Antiqua" w:cs="Arial"/>
          <w:b/>
          <w:bCs/>
          <w:color w:val="000000"/>
          <w:sz w:val="16"/>
          <w:szCs w:val="16"/>
          <w:lang w:eastAsia="pt-BR"/>
        </w:rPr>
        <w:t xml:space="preserve"> </w:t>
      </w:r>
      <w:r w:rsidR="008253E2" w:rsidRPr="00F07B48">
        <w:rPr>
          <w:rFonts w:ascii="Book Antiqua" w:eastAsia="Times New Roman" w:hAnsi="Book Antiqua" w:cs="Arial"/>
          <w:b/>
          <w:bCs/>
          <w:color w:val="FF0000"/>
          <w:sz w:val="16"/>
          <w:szCs w:val="16"/>
          <w:u w:val="single"/>
          <w:lang w:eastAsia="pt-BR"/>
        </w:rPr>
        <w:t>(TRF3-2011)</w:t>
      </w:r>
      <w:r w:rsidR="00F12D2E">
        <w:rPr>
          <w:rFonts w:ascii="Book Antiqua" w:eastAsia="Times New Roman" w:hAnsi="Book Antiqua" w:cs="Arial"/>
          <w:b/>
          <w:bCs/>
          <w:color w:val="FF0000"/>
          <w:sz w:val="16"/>
          <w:szCs w:val="16"/>
          <w:lang w:eastAsia="pt-BR"/>
        </w:rPr>
        <w:t xml:space="preserve"> </w:t>
      </w:r>
      <w:bookmarkStart w:id="1" w:name="_Hlk158293367"/>
      <w:r w:rsidR="00F12D2E">
        <w:rPr>
          <w:rFonts w:ascii="Book Antiqua" w:eastAsia="Times New Roman" w:hAnsi="Book Antiqua" w:cs="Arial"/>
          <w:b/>
          <w:bCs/>
          <w:color w:val="FF0000"/>
          <w:sz w:val="16"/>
          <w:szCs w:val="16"/>
          <w:u w:val="single"/>
          <w:lang w:eastAsia="pt-BR"/>
        </w:rPr>
        <w:t>(TRT1-2013)</w:t>
      </w:r>
      <w:bookmarkEnd w:id="1"/>
      <w:r w:rsidR="00A60DD6" w:rsidRPr="00F07B48">
        <w:rPr>
          <w:rFonts w:ascii="Book Antiqua" w:eastAsia="Times New Roman" w:hAnsi="Book Antiqua" w:cs="Arial"/>
          <w:b/>
          <w:bCs/>
          <w:color w:val="FF0000"/>
          <w:sz w:val="16"/>
          <w:szCs w:val="16"/>
          <w:lang w:eastAsia="pt-BR"/>
        </w:rPr>
        <w:t xml:space="preserve"> </w:t>
      </w:r>
      <w:r w:rsidR="00A60DD6" w:rsidRPr="00F07B48">
        <w:rPr>
          <w:rFonts w:ascii="Book Antiqua" w:eastAsia="Times New Roman" w:hAnsi="Book Antiqua" w:cs="Arial"/>
          <w:b/>
          <w:bCs/>
          <w:color w:val="FF0000"/>
          <w:sz w:val="16"/>
          <w:szCs w:val="16"/>
          <w:u w:val="single"/>
          <w:lang w:eastAsia="pt-BR"/>
        </w:rPr>
        <w:t>(TRF5-2015)</w:t>
      </w:r>
      <w:r w:rsidR="0050760C" w:rsidRPr="00F07B48">
        <w:rPr>
          <w:rFonts w:ascii="Book Antiqua" w:eastAsia="Times New Roman" w:hAnsi="Book Antiqua" w:cs="Arial"/>
          <w:b/>
          <w:bCs/>
          <w:color w:val="FF0000"/>
          <w:sz w:val="16"/>
          <w:szCs w:val="16"/>
          <w:lang w:eastAsia="pt-BR"/>
        </w:rPr>
        <w:t xml:space="preserve"> </w:t>
      </w:r>
      <w:r w:rsidR="0050760C" w:rsidRPr="00F07B48">
        <w:rPr>
          <w:rFonts w:ascii="Book Antiqua" w:eastAsia="Times New Roman" w:hAnsi="Book Antiqua" w:cs="Arial"/>
          <w:b/>
          <w:bCs/>
          <w:color w:val="FF0000"/>
          <w:sz w:val="16"/>
          <w:szCs w:val="16"/>
          <w:u w:val="single"/>
          <w:lang w:eastAsia="pt-BR"/>
        </w:rPr>
        <w:t>(AGU-2015)</w:t>
      </w:r>
    </w:p>
    <w:tbl>
      <w:tblPr>
        <w:tblStyle w:val="Tabelacomgrade"/>
        <w:tblW w:w="0" w:type="auto"/>
        <w:tblLook w:val="04A0" w:firstRow="1" w:lastRow="0" w:firstColumn="1" w:lastColumn="0" w:noHBand="0" w:noVBand="1"/>
      </w:tblPr>
      <w:tblGrid>
        <w:gridCol w:w="8494"/>
      </w:tblGrid>
      <w:tr w:rsidR="00F12D2E" w14:paraId="547C58C3" w14:textId="77777777" w:rsidTr="002C20B7">
        <w:tc>
          <w:tcPr>
            <w:tcW w:w="8494" w:type="dxa"/>
            <w:shd w:val="clear" w:color="auto" w:fill="CCFFFF"/>
          </w:tcPr>
          <w:p w14:paraId="1DF17E05" w14:textId="5DBB4325" w:rsidR="00F12D2E" w:rsidRPr="00843597" w:rsidRDefault="00F12D2E" w:rsidP="002C20B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43597">
              <w:rPr>
                <w:rFonts w:ascii="Book Antiqua" w:eastAsia="Times New Roman" w:hAnsi="Book Antiqua" w:cs="Arial"/>
                <w:b/>
                <w:bCs/>
                <w:color w:val="000000"/>
                <w:sz w:val="19"/>
                <w:szCs w:val="19"/>
                <w:highlight w:val="yellow"/>
                <w:lang w:eastAsia="pt-BR"/>
              </w:rPr>
              <w:t>TR</w:t>
            </w:r>
            <w:r>
              <w:rPr>
                <w:rFonts w:ascii="Book Antiqua" w:eastAsia="Times New Roman" w:hAnsi="Book Antiqua" w:cs="Arial"/>
                <w:b/>
                <w:bCs/>
                <w:color w:val="000000"/>
                <w:sz w:val="19"/>
                <w:szCs w:val="19"/>
                <w:highlight w:val="yellow"/>
                <w:lang w:eastAsia="pt-BR"/>
              </w:rPr>
              <w:t>T</w:t>
            </w:r>
            <w:r w:rsidRPr="00843597">
              <w:rPr>
                <w:rFonts w:ascii="Book Antiqua" w:eastAsia="Times New Roman" w:hAnsi="Book Antiqua" w:cs="Arial"/>
                <w:b/>
                <w:bCs/>
                <w:color w:val="000000"/>
                <w:sz w:val="19"/>
                <w:szCs w:val="19"/>
                <w:highlight w:val="yellow"/>
                <w:lang w:eastAsia="pt-BR"/>
              </w:rPr>
              <w:t>1-2013-</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bookmarkStart w:id="2" w:name="_Hlk158293731"/>
            <w:r w:rsidRPr="00F12D2E">
              <w:rPr>
                <w:rFonts w:ascii="Book Antiqua" w:eastAsia="Times New Roman" w:hAnsi="Book Antiqua" w:cs="Arial"/>
                <w:color w:val="000000"/>
                <w:sz w:val="19"/>
                <w:szCs w:val="19"/>
                <w:lang w:eastAsia="pt-BR"/>
              </w:rPr>
              <w:t xml:space="preserve">Sobre o Mercosul, é </w:t>
            </w:r>
            <w:r>
              <w:rPr>
                <w:rFonts w:ascii="Book Antiqua" w:eastAsia="Times New Roman" w:hAnsi="Book Antiqua" w:cs="Arial"/>
                <w:color w:val="000000"/>
                <w:sz w:val="19"/>
                <w:szCs w:val="19"/>
                <w:lang w:eastAsia="pt-BR"/>
              </w:rPr>
              <w:t>correto</w:t>
            </w:r>
            <w:r w:rsidRPr="00F12D2E">
              <w:rPr>
                <w:rFonts w:ascii="Book Antiqua" w:eastAsia="Times New Roman" w:hAnsi="Book Antiqua" w:cs="Arial"/>
                <w:color w:val="000000"/>
                <w:sz w:val="19"/>
                <w:szCs w:val="19"/>
                <w:lang w:eastAsia="pt-BR"/>
              </w:rPr>
              <w:t xml:space="preserve"> afirmar:</w:t>
            </w:r>
            <w:bookmarkEnd w:id="2"/>
            <w:r>
              <w:t xml:space="preserve"> </w:t>
            </w:r>
            <w:r w:rsidRPr="00F12D2E">
              <w:rPr>
                <w:rFonts w:ascii="Book Antiqua" w:eastAsia="Times New Roman" w:hAnsi="Book Antiqua" w:cs="Arial"/>
                <w:color w:val="000000"/>
                <w:sz w:val="19"/>
                <w:szCs w:val="19"/>
                <w:lang w:eastAsia="pt-BR"/>
              </w:rPr>
              <w:t>Havendo acordo entre os Estados partes de uma controvérsia, o Tribunal Permanente de Revisão do Mercosul poderá ser acionado diretamente para decidir um conflito, dispensa</w:t>
            </w:r>
            <w:r>
              <w:rPr>
                <w:rFonts w:ascii="Book Antiqua" w:eastAsia="Times New Roman" w:hAnsi="Book Antiqua" w:cs="Arial"/>
                <w:color w:val="000000"/>
                <w:sz w:val="19"/>
                <w:szCs w:val="19"/>
                <w:lang w:eastAsia="pt-BR"/>
              </w:rPr>
              <w:t>rão</w:t>
            </w:r>
            <w:r w:rsidRPr="00F12D2E">
              <w:rPr>
                <w:rFonts w:ascii="Book Antiqua" w:eastAsia="Times New Roman" w:hAnsi="Book Antiqua" w:cs="Arial"/>
                <w:color w:val="000000"/>
                <w:sz w:val="19"/>
                <w:szCs w:val="19"/>
                <w:lang w:eastAsia="pt-BR"/>
              </w:rPr>
              <w:t xml:space="preserve"> o Tribunal Arbitral Ad Hoc, não estando sua decisão sujeita ao Recurso de Revisão.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23, item 1 c/c arts. 4º e 5º do Protocolo.</w:t>
            </w:r>
          </w:p>
        </w:tc>
      </w:tr>
    </w:tbl>
    <w:p w14:paraId="6394EBAE" w14:textId="457A7095" w:rsidR="005C1B9A" w:rsidRPr="00F07B48" w:rsidRDefault="005C1B9A" w:rsidP="005C6FED">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magenta"/>
          <w:lang w:eastAsia="pt-BR"/>
        </w:rPr>
        <w:t>2</w:t>
      </w:r>
      <w:r w:rsidRPr="00DF6FDB">
        <w:rPr>
          <w:rFonts w:ascii="Book Antiqua" w:eastAsia="Times New Roman" w:hAnsi="Book Antiqua" w:cs="Arial"/>
          <w:b/>
          <w:bCs/>
          <w:color w:val="000000"/>
          <w:sz w:val="19"/>
          <w:szCs w:val="19"/>
          <w:lang w:eastAsia="pt-BR"/>
        </w:rPr>
        <w:t xml:space="preserve">. Nessas condições, </w:t>
      </w:r>
      <w:r w:rsidRPr="00DF6FDB">
        <w:rPr>
          <w:rFonts w:ascii="Book Antiqua" w:eastAsia="Times New Roman" w:hAnsi="Book Antiqua" w:cs="Arial"/>
          <w:b/>
          <w:bCs/>
          <w:color w:val="000000"/>
          <w:sz w:val="19"/>
          <w:szCs w:val="19"/>
          <w:highlight w:val="cyan"/>
          <w:lang w:eastAsia="pt-BR"/>
        </w:rPr>
        <w:t>os laudos</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yellow"/>
          <w:lang w:eastAsia="pt-BR"/>
        </w:rPr>
        <w:t>do Tribunal Permanente de Revisão</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aps/>
          <w:color w:val="000000"/>
          <w:sz w:val="19"/>
          <w:szCs w:val="19"/>
          <w:highlight w:val="green"/>
          <w:lang w:eastAsia="pt-BR"/>
        </w:rPr>
        <w:t>serão</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olor w:val="000000"/>
          <w:sz w:val="19"/>
          <w:szCs w:val="19"/>
          <w:highlight w:val="cyan"/>
          <w:lang w:eastAsia="pt-BR"/>
        </w:rPr>
        <w:t>obrigatórios</w:t>
      </w:r>
      <w:r w:rsidRPr="00DF6FDB">
        <w:rPr>
          <w:rFonts w:ascii="Book Antiqua" w:eastAsia="Times New Roman" w:hAnsi="Book Antiqua" w:cs="Arial"/>
          <w:b/>
          <w:bCs/>
          <w:color w:val="000000"/>
          <w:sz w:val="19"/>
          <w:szCs w:val="19"/>
          <w:lang w:eastAsia="pt-BR"/>
        </w:rPr>
        <w:t xml:space="preserve"> para os Estados partes na controvérsia a partir do recebimento da respectiva notificação, não estarão sujeitos a recursos de revisão e terão, com relação às partes, força de coisa julgada</w:t>
      </w:r>
      <w:r w:rsidRPr="00F07B48">
        <w:rPr>
          <w:rFonts w:ascii="Book Antiqua" w:eastAsia="Times New Roman" w:hAnsi="Book Antiqua" w:cs="Arial"/>
          <w:color w:val="000000"/>
          <w:sz w:val="16"/>
          <w:szCs w:val="16"/>
          <w:lang w:eastAsia="pt-BR"/>
        </w:rPr>
        <w:t>.</w:t>
      </w:r>
      <w:r w:rsidR="00A60DD6" w:rsidRPr="00F07B48">
        <w:rPr>
          <w:rFonts w:ascii="Book Antiqua" w:eastAsia="Times New Roman" w:hAnsi="Book Antiqua" w:cs="Arial"/>
          <w:color w:val="000000"/>
          <w:sz w:val="16"/>
          <w:szCs w:val="16"/>
          <w:lang w:eastAsia="pt-BR"/>
        </w:rPr>
        <w:t xml:space="preserve"> </w:t>
      </w:r>
      <w:r w:rsidR="00A60DD6" w:rsidRPr="00F07B48">
        <w:rPr>
          <w:rFonts w:ascii="Book Antiqua" w:eastAsia="Times New Roman" w:hAnsi="Book Antiqua" w:cs="Arial"/>
          <w:b/>
          <w:bCs/>
          <w:color w:val="FF0000"/>
          <w:sz w:val="16"/>
          <w:szCs w:val="16"/>
          <w:u w:val="single"/>
          <w:lang w:eastAsia="pt-BR"/>
        </w:rPr>
        <w:t>(TRF5-2015)</w:t>
      </w:r>
    </w:p>
    <w:p w14:paraId="63226E71"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24</w:t>
      </w:r>
    </w:p>
    <w:p w14:paraId="3AF3C50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Medidas Excepcionais e de Urgência</w:t>
      </w:r>
    </w:p>
    <w:p w14:paraId="34DAB7E5"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O Conselho do Mercado Comum poderá estabelecer procedimentos especiais para atender casos excepcionais de urgência que possam ocasionar danos irreparáveis às Partes.</w:t>
      </w:r>
    </w:p>
    <w:p w14:paraId="45CDACE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VIII</w:t>
      </w:r>
    </w:p>
    <w:p w14:paraId="7E6FC6A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Laudos Arbitrais</w:t>
      </w:r>
    </w:p>
    <w:p w14:paraId="2125DF1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25</w:t>
      </w:r>
    </w:p>
    <w:p w14:paraId="44EC8C7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Adoção dos Laudos</w:t>
      </w:r>
    </w:p>
    <w:p w14:paraId="41D6590C"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laudos do Tribunal Arbitral Ad Hoc e os do Tribunal Permanente de Revisão serão adotados por maioria, serão fundamentados e assinados pelo Presidente e pelos demais árbitros. Os árbitros não poderão fundamentar votos em dissidência e deverão manter a confidencialidade da votação. As deliberações também serão confidenciais e assim permanecerão em todo o momento.</w:t>
      </w:r>
    </w:p>
    <w:p w14:paraId="5722FFB1" w14:textId="77777777" w:rsidR="005C1B9A" w:rsidRPr="005C6FED"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5C6FED">
        <w:rPr>
          <w:rFonts w:ascii="Book Antiqua" w:eastAsia="Times New Roman" w:hAnsi="Book Antiqua" w:cs="Arial"/>
          <w:b/>
          <w:bCs/>
          <w:color w:val="000000"/>
          <w:sz w:val="19"/>
          <w:szCs w:val="19"/>
          <w:highlight w:val="magenta"/>
          <w:lang w:eastAsia="pt-BR"/>
        </w:rPr>
        <w:t>Artigo 26</w:t>
      </w:r>
    </w:p>
    <w:p w14:paraId="74B81D70"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Obrigatoriedade dos Laudos</w:t>
      </w:r>
    </w:p>
    <w:p w14:paraId="564E405B" w14:textId="4147CCEB" w:rsidR="005C1B9A" w:rsidRPr="00F07B48" w:rsidRDefault="005C1B9A" w:rsidP="005C6FED">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5C1B9A">
        <w:rPr>
          <w:rFonts w:ascii="Book Antiqua" w:eastAsia="Times New Roman" w:hAnsi="Book Antiqua" w:cs="Arial"/>
          <w:color w:val="000000"/>
          <w:sz w:val="19"/>
          <w:szCs w:val="19"/>
          <w:lang w:eastAsia="pt-BR"/>
        </w:rPr>
        <w:t xml:space="preserve">        </w:t>
      </w:r>
      <w:r w:rsidRPr="00DF6FDB">
        <w:rPr>
          <w:rFonts w:ascii="Book Antiqua" w:eastAsia="Times New Roman" w:hAnsi="Book Antiqua" w:cs="Arial"/>
          <w:b/>
          <w:bCs/>
          <w:color w:val="000000"/>
          <w:sz w:val="19"/>
          <w:szCs w:val="19"/>
          <w:highlight w:val="magenta"/>
          <w:lang w:eastAsia="pt-BR"/>
        </w:rPr>
        <w:t>1</w:t>
      </w:r>
      <w:r w:rsidRPr="00DF6FDB">
        <w:rPr>
          <w:rFonts w:ascii="Book Antiqua" w:eastAsia="Times New Roman" w:hAnsi="Book Antiqua" w:cs="Arial"/>
          <w:b/>
          <w:bCs/>
          <w:color w:val="000000"/>
          <w:sz w:val="19"/>
          <w:szCs w:val="19"/>
          <w:lang w:eastAsia="pt-BR"/>
        </w:rPr>
        <w:t xml:space="preserve">. Os laudos dos Tribunais Arbitrais Ad Hoc </w:t>
      </w:r>
      <w:r w:rsidRPr="00DF6FDB">
        <w:rPr>
          <w:rFonts w:ascii="Book Antiqua" w:eastAsia="Times New Roman" w:hAnsi="Book Antiqua" w:cs="Arial"/>
          <w:b/>
          <w:bCs/>
          <w:color w:val="000000"/>
          <w:sz w:val="19"/>
          <w:szCs w:val="19"/>
          <w:highlight w:val="cyan"/>
          <w:lang w:eastAsia="pt-BR"/>
        </w:rPr>
        <w:t>são obrigatórios</w:t>
      </w:r>
      <w:r w:rsidRPr="00DF6FDB">
        <w:rPr>
          <w:rFonts w:ascii="Book Antiqua" w:eastAsia="Times New Roman" w:hAnsi="Book Antiqua" w:cs="Arial"/>
          <w:b/>
          <w:bCs/>
          <w:color w:val="000000"/>
          <w:sz w:val="19"/>
          <w:szCs w:val="19"/>
          <w:lang w:eastAsia="pt-BR"/>
        </w:rPr>
        <w:t xml:space="preserve"> para os Estados partes na controvérsia a partir de sua notificação e terão, em relação a eles, força de coisa julgada se, transcorrido o prazo previsto no artigo 17.1 para interpor recurso de revisão, este não tenha sido interposto</w:t>
      </w:r>
      <w:r w:rsidRPr="00F07B48">
        <w:rPr>
          <w:rFonts w:ascii="Book Antiqua" w:eastAsia="Times New Roman" w:hAnsi="Book Antiqua" w:cs="Arial"/>
          <w:b/>
          <w:bCs/>
          <w:color w:val="000000"/>
          <w:sz w:val="16"/>
          <w:szCs w:val="16"/>
          <w:lang w:eastAsia="pt-BR"/>
        </w:rPr>
        <w:t>.</w:t>
      </w:r>
      <w:r w:rsidR="00DF6FDB" w:rsidRPr="00F07B48">
        <w:rPr>
          <w:rFonts w:ascii="Book Antiqua" w:eastAsia="Times New Roman" w:hAnsi="Book Antiqua" w:cs="Arial"/>
          <w:b/>
          <w:bCs/>
          <w:color w:val="000000"/>
          <w:sz w:val="16"/>
          <w:szCs w:val="16"/>
          <w:lang w:eastAsia="pt-BR"/>
        </w:rPr>
        <w:t xml:space="preserve"> </w:t>
      </w:r>
      <w:r w:rsidR="00DF6FDB" w:rsidRPr="00F07B48">
        <w:rPr>
          <w:rFonts w:ascii="Book Antiqua" w:hAnsi="Book Antiqua"/>
          <w:b/>
          <w:bCs/>
          <w:color w:val="FF0000"/>
          <w:sz w:val="16"/>
          <w:szCs w:val="16"/>
          <w:u w:val="single"/>
        </w:rPr>
        <w:t>(PFN-2007)</w:t>
      </w:r>
      <w:r w:rsidR="005C6FED" w:rsidRPr="00F07B48">
        <w:rPr>
          <w:rFonts w:ascii="Book Antiqua" w:eastAsia="Times New Roman" w:hAnsi="Book Antiqua" w:cs="Arial"/>
          <w:b/>
          <w:bCs/>
          <w:color w:val="000000"/>
          <w:sz w:val="16"/>
          <w:szCs w:val="16"/>
          <w:lang w:eastAsia="pt-BR"/>
        </w:rPr>
        <w:t xml:space="preserve"> </w:t>
      </w:r>
      <w:r w:rsidR="005C6FED" w:rsidRPr="00F07B48">
        <w:rPr>
          <w:rFonts w:ascii="Book Antiqua" w:eastAsia="Times New Roman" w:hAnsi="Book Antiqua" w:cs="Arial"/>
          <w:b/>
          <w:bCs/>
          <w:color w:val="FF0000"/>
          <w:sz w:val="16"/>
          <w:szCs w:val="16"/>
          <w:u w:val="single"/>
          <w:lang w:eastAsia="pt-BR"/>
        </w:rPr>
        <w:t>(TRF2-2009)</w:t>
      </w:r>
    </w:p>
    <w:p w14:paraId="1307C7D7"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Os laudos do Tribunal Permanente de Revisão são inapeláveis, obrigatórios para os Estados partes na controvérsia a partir de sua notificação e terão, com relação a eles, força de coisa julgada.</w:t>
      </w:r>
    </w:p>
    <w:p w14:paraId="2C8A425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27</w:t>
      </w:r>
    </w:p>
    <w:p w14:paraId="4F200F7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Obrigatoriedade do Cumprimento dos Laudos</w:t>
      </w:r>
    </w:p>
    <w:p w14:paraId="1BFF59B3" w14:textId="77777777"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laudos deverão ser cumpridos na forma e com o alcance com que foram emitidos. A adoção de medidas compensatórias nos termos deste Protocolo não exime o Estado parte de sua obrigação de cumprir o laudo.</w:t>
      </w:r>
    </w:p>
    <w:p w14:paraId="2E20E459" w14:textId="77777777" w:rsidR="005C1B9A" w:rsidRPr="00CA1DD2"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CA1DD2">
        <w:rPr>
          <w:rFonts w:ascii="Book Antiqua" w:eastAsia="Times New Roman" w:hAnsi="Book Antiqua" w:cs="Arial"/>
          <w:b/>
          <w:bCs/>
          <w:color w:val="000000"/>
          <w:sz w:val="19"/>
          <w:szCs w:val="19"/>
          <w:highlight w:val="magenta"/>
          <w:lang w:eastAsia="pt-BR"/>
        </w:rPr>
        <w:t>Artigo 28</w:t>
      </w:r>
    </w:p>
    <w:p w14:paraId="3EE4E64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Recurso de Esclarecimento</w:t>
      </w:r>
    </w:p>
    <w:p w14:paraId="6E62F141" w14:textId="45D1742C"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CA1DD2">
        <w:rPr>
          <w:rFonts w:ascii="Book Antiqua" w:eastAsia="Times New Roman" w:hAnsi="Book Antiqua" w:cs="Arial"/>
          <w:b/>
          <w:bCs/>
          <w:color w:val="000000"/>
          <w:sz w:val="19"/>
          <w:szCs w:val="19"/>
          <w:lang w:eastAsia="pt-BR"/>
        </w:rPr>
        <w:t xml:space="preserve">        </w:t>
      </w:r>
      <w:r w:rsidRPr="00CA1DD2">
        <w:rPr>
          <w:rFonts w:ascii="Book Antiqua" w:eastAsia="Times New Roman" w:hAnsi="Book Antiqua" w:cs="Arial"/>
          <w:b/>
          <w:bCs/>
          <w:color w:val="000000"/>
          <w:sz w:val="19"/>
          <w:szCs w:val="19"/>
          <w:highlight w:val="magenta"/>
          <w:lang w:eastAsia="pt-BR"/>
        </w:rPr>
        <w:t>1</w:t>
      </w:r>
      <w:r w:rsidRPr="00CA1DD2">
        <w:rPr>
          <w:rFonts w:ascii="Book Antiqua" w:eastAsia="Times New Roman" w:hAnsi="Book Antiqua" w:cs="Arial"/>
          <w:b/>
          <w:bCs/>
          <w:color w:val="000000"/>
          <w:sz w:val="19"/>
          <w:szCs w:val="19"/>
          <w:lang w:eastAsia="pt-BR"/>
        </w:rPr>
        <w:t>. Qualquer dos Estados partes na controvérsia poderá solicitar um esclarecimento do laudo do Tribunal Arbitral Ad Hoc ou do Tribunal Permanente de Revisão e sobre a forma com que deverá cumprir-se o laudo, dentro de quinze (15) dias subseqüentes à sua notificação</w:t>
      </w:r>
      <w:r w:rsidRPr="005C1B9A">
        <w:rPr>
          <w:rFonts w:ascii="Book Antiqua" w:eastAsia="Times New Roman" w:hAnsi="Book Antiqua" w:cs="Arial"/>
          <w:color w:val="000000"/>
          <w:sz w:val="19"/>
          <w:szCs w:val="19"/>
          <w:lang w:eastAsia="pt-BR"/>
        </w:rPr>
        <w:t>.</w:t>
      </w:r>
      <w:r w:rsidR="00CA1DD2">
        <w:rPr>
          <w:rFonts w:ascii="Book Antiqua" w:eastAsia="Times New Roman" w:hAnsi="Book Antiqua" w:cs="Arial"/>
          <w:color w:val="000000"/>
          <w:sz w:val="19"/>
          <w:szCs w:val="19"/>
          <w:lang w:eastAsia="pt-BR"/>
        </w:rPr>
        <w:t xml:space="preserve"> </w:t>
      </w:r>
      <w:r w:rsidR="00CA1DD2" w:rsidRPr="00BD5967">
        <w:rPr>
          <w:rFonts w:ascii="Book Antiqua" w:hAnsi="Book Antiqua"/>
          <w:b/>
          <w:bCs/>
          <w:color w:val="FF0000"/>
          <w:sz w:val="16"/>
          <w:szCs w:val="16"/>
          <w:u w:val="single"/>
        </w:rPr>
        <w:t>(TRT21-2015)</w:t>
      </w:r>
    </w:p>
    <w:tbl>
      <w:tblPr>
        <w:tblStyle w:val="Tabelacomgrade"/>
        <w:tblW w:w="0" w:type="auto"/>
        <w:tblLook w:val="04A0" w:firstRow="1" w:lastRow="0" w:firstColumn="1" w:lastColumn="0" w:noHBand="0" w:noVBand="1"/>
      </w:tblPr>
      <w:tblGrid>
        <w:gridCol w:w="8494"/>
      </w:tblGrid>
      <w:tr w:rsidR="00CA1DD2" w14:paraId="383C14C7" w14:textId="77777777" w:rsidTr="00B61622">
        <w:tc>
          <w:tcPr>
            <w:tcW w:w="8494" w:type="dxa"/>
            <w:shd w:val="clear" w:color="auto" w:fill="CCFFFF"/>
          </w:tcPr>
          <w:p w14:paraId="14A27A57" w14:textId="68683A64" w:rsidR="00CA1DD2" w:rsidRDefault="00CA1DD2" w:rsidP="00CA1DD2">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TRT21-2015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5967">
              <w:rPr>
                <w:rFonts w:ascii="Book Antiqua" w:eastAsia="Times New Roman" w:hAnsi="Book Antiqua" w:cs="Arial"/>
                <w:color w:val="000000"/>
                <w:sz w:val="19"/>
                <w:szCs w:val="19"/>
                <w:lang w:eastAsia="pt-BR"/>
              </w:rPr>
              <w:t>Sobre o Mercosul, é correto afirmar:</w:t>
            </w:r>
            <w:r>
              <w:rPr>
                <w:rFonts w:ascii="Book Antiqua" w:eastAsia="Times New Roman" w:hAnsi="Book Antiqua" w:cs="Arial"/>
                <w:color w:val="000000"/>
                <w:sz w:val="19"/>
                <w:szCs w:val="19"/>
                <w:lang w:eastAsia="pt-BR"/>
              </w:rPr>
              <w:t xml:space="preserve"> </w:t>
            </w:r>
            <w:r w:rsidRPr="00CA1DD2">
              <w:rPr>
                <w:rFonts w:ascii="Book Antiqua" w:eastAsia="Times New Roman" w:hAnsi="Book Antiqua" w:cs="Arial"/>
                <w:color w:val="000000"/>
                <w:sz w:val="19"/>
                <w:szCs w:val="19"/>
                <w:lang w:eastAsia="pt-BR"/>
              </w:rPr>
              <w:t>É admissível recurso de revisão do laudo do Tribunal Arbitral Ad Hoc ao Tribunal Permanente de Revisão do Mercosul, em prazo não superior a 15 (quinze) dias a partir da notificação do mesmo.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 item 1 do Protocolo.</w:t>
            </w:r>
          </w:p>
        </w:tc>
      </w:tr>
    </w:tbl>
    <w:p w14:paraId="64CE450B" w14:textId="072DF84E" w:rsidR="005C1B9A" w:rsidRPr="005C1B9A" w:rsidRDefault="005C1B9A" w:rsidP="005C6F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 Tribunal respectivo se expedirá sobre o recurso nos quinze (15) dias subseqüentes à apresentação da referida solicitação e poderá outorgar um prazo adicional para o cumprimento do laudo.</w:t>
      </w:r>
    </w:p>
    <w:p w14:paraId="583BAFB4" w14:textId="77777777" w:rsidR="005C1B9A" w:rsidRPr="007259C0"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7259C0">
        <w:rPr>
          <w:rFonts w:ascii="Book Antiqua" w:eastAsia="Times New Roman" w:hAnsi="Book Antiqua" w:cs="Arial"/>
          <w:b/>
          <w:bCs/>
          <w:color w:val="000000"/>
          <w:sz w:val="19"/>
          <w:szCs w:val="19"/>
          <w:highlight w:val="magenta"/>
          <w:lang w:eastAsia="pt-BR"/>
        </w:rPr>
        <w:t>Artigo 29</w:t>
      </w:r>
    </w:p>
    <w:p w14:paraId="04D07E2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Prazo e Modalidade de Cumprimento</w:t>
      </w:r>
    </w:p>
    <w:p w14:paraId="4D83ADDA" w14:textId="762DE226" w:rsidR="005C1B9A" w:rsidRPr="00F07B48" w:rsidRDefault="005C1B9A" w:rsidP="007259C0">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C1B9A">
        <w:rPr>
          <w:rFonts w:ascii="Book Antiqua" w:eastAsia="Times New Roman" w:hAnsi="Book Antiqua" w:cs="Arial"/>
          <w:color w:val="000000"/>
          <w:sz w:val="19"/>
          <w:szCs w:val="19"/>
          <w:lang w:eastAsia="pt-BR"/>
        </w:rPr>
        <w:t xml:space="preserve">        </w:t>
      </w:r>
      <w:r w:rsidRPr="00DF6FDB">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DF6FDB">
        <w:rPr>
          <w:rFonts w:ascii="Book Antiqua" w:eastAsia="Times New Roman" w:hAnsi="Book Antiqua" w:cs="Arial"/>
          <w:b/>
          <w:bCs/>
          <w:color w:val="000000"/>
          <w:sz w:val="19"/>
          <w:szCs w:val="19"/>
          <w:lang w:eastAsia="pt-BR"/>
        </w:rPr>
        <w:t xml:space="preserve">Os laudos do Tribunal Ad Hoc ou os do Tribunal Permanente de Revisão, conforme o caso, deverão ser cumpridos no prazo que os respectivos Tribunais estabelecerem. Se não for </w:t>
      </w:r>
      <w:r w:rsidRPr="00DF6FDB">
        <w:rPr>
          <w:rFonts w:ascii="Book Antiqua" w:eastAsia="Times New Roman" w:hAnsi="Book Antiqua" w:cs="Arial"/>
          <w:b/>
          <w:bCs/>
          <w:color w:val="000000"/>
          <w:sz w:val="19"/>
          <w:szCs w:val="19"/>
          <w:lang w:eastAsia="pt-BR"/>
        </w:rPr>
        <w:lastRenderedPageBreak/>
        <w:t xml:space="preserve">estabelecido um prazo, os laudos deverão ser cumpridos no prazo de trinta (30) dias seguintes à </w:t>
      </w:r>
      <w:r w:rsidRPr="00DF6FDB">
        <w:rPr>
          <w:rFonts w:ascii="Book Antiqua" w:eastAsia="Times New Roman" w:hAnsi="Book Antiqua" w:cs="Arial"/>
          <w:b/>
          <w:bCs/>
          <w:color w:val="000000"/>
          <w:sz w:val="19"/>
          <w:szCs w:val="19"/>
          <w:highlight w:val="cyan"/>
          <w:lang w:eastAsia="pt-BR"/>
        </w:rPr>
        <w:t>data de sua notificação</w:t>
      </w:r>
      <w:r w:rsidRPr="00F07B48">
        <w:rPr>
          <w:rFonts w:ascii="Book Antiqua" w:eastAsia="Times New Roman" w:hAnsi="Book Antiqua" w:cs="Arial"/>
          <w:color w:val="000000"/>
          <w:sz w:val="16"/>
          <w:szCs w:val="16"/>
          <w:lang w:eastAsia="pt-BR"/>
        </w:rPr>
        <w:t>.</w:t>
      </w:r>
      <w:r w:rsidR="007259C0" w:rsidRPr="00F07B48">
        <w:rPr>
          <w:rFonts w:ascii="Book Antiqua" w:eastAsia="Times New Roman" w:hAnsi="Book Antiqua" w:cs="Arial"/>
          <w:color w:val="000000"/>
          <w:sz w:val="16"/>
          <w:szCs w:val="16"/>
          <w:lang w:eastAsia="pt-BR"/>
        </w:rPr>
        <w:t xml:space="preserve"> </w:t>
      </w:r>
      <w:r w:rsidR="007259C0" w:rsidRPr="00F07B48">
        <w:rPr>
          <w:rFonts w:ascii="Book Antiqua" w:eastAsia="Times New Roman" w:hAnsi="Book Antiqua" w:cs="Arial"/>
          <w:b/>
          <w:bCs/>
          <w:color w:val="FF0000"/>
          <w:sz w:val="16"/>
          <w:szCs w:val="16"/>
          <w:u w:val="single"/>
          <w:lang w:eastAsia="pt-BR"/>
        </w:rPr>
        <w:t>(TRF2-2009)</w:t>
      </w:r>
    </w:p>
    <w:tbl>
      <w:tblPr>
        <w:tblStyle w:val="Tabelacomgrade"/>
        <w:tblW w:w="0" w:type="auto"/>
        <w:tblLook w:val="04A0" w:firstRow="1" w:lastRow="0" w:firstColumn="1" w:lastColumn="0" w:noHBand="0" w:noVBand="1"/>
      </w:tblPr>
      <w:tblGrid>
        <w:gridCol w:w="8494"/>
      </w:tblGrid>
      <w:tr w:rsidR="007259C0" w14:paraId="5544F6E5" w14:textId="77777777" w:rsidTr="007259C0">
        <w:tc>
          <w:tcPr>
            <w:tcW w:w="8494" w:type="dxa"/>
            <w:shd w:val="clear" w:color="auto" w:fill="CCFFFF"/>
          </w:tcPr>
          <w:p w14:paraId="75ABA77A" w14:textId="76CCE334" w:rsidR="007259C0" w:rsidRPr="007259C0" w:rsidRDefault="007259C0" w:rsidP="007259C0">
            <w:pPr>
              <w:spacing w:before="100" w:beforeAutospacing="1" w:after="100" w:afterAutospacing="1"/>
              <w:jc w:val="both"/>
              <w:rPr>
                <w:rFonts w:ascii="Book Antiqua" w:eastAsia="Times New Roman" w:hAnsi="Book Antiqua" w:cs="Arial"/>
                <w:color w:val="000000"/>
                <w:sz w:val="19"/>
                <w:szCs w:val="19"/>
                <w:lang w:eastAsia="pt-BR"/>
              </w:rPr>
            </w:pPr>
            <w:r w:rsidRPr="007259C0">
              <w:rPr>
                <w:rFonts w:ascii="Book Antiqua" w:eastAsia="Times New Roman" w:hAnsi="Book Antiqua" w:cs="Arial"/>
                <w:b/>
                <w:bCs/>
                <w:i/>
                <w:iCs/>
                <w:color w:val="FF0000"/>
                <w:sz w:val="19"/>
                <w:szCs w:val="19"/>
                <w:lang w:eastAsia="pt-BR"/>
              </w:rPr>
              <w:t>#</w:t>
            </w:r>
            <w:r w:rsidRPr="007259C0">
              <w:rPr>
                <w:rFonts w:ascii="Book Antiqua" w:eastAsia="Times New Roman" w:hAnsi="Book Antiqua" w:cs="Arial"/>
                <w:b/>
                <w:bCs/>
                <w:i/>
                <w:iCs/>
                <w:color w:val="FF0000"/>
                <w:sz w:val="19"/>
                <w:szCs w:val="19"/>
                <w:highlight w:val="green"/>
                <w:lang w:eastAsia="pt-BR"/>
              </w:rPr>
              <w:t>Atenção</w:t>
            </w:r>
            <w:r w:rsidRPr="007259C0">
              <w:rPr>
                <w:rFonts w:ascii="Book Antiqua" w:eastAsia="Times New Roman" w:hAnsi="Book Antiqua" w:cs="Arial"/>
                <w:b/>
                <w:bCs/>
                <w:i/>
                <w:iCs/>
                <w:color w:val="FF0000"/>
                <w:sz w:val="19"/>
                <w:szCs w:val="19"/>
                <w:lang w:eastAsia="pt-BR"/>
              </w:rPr>
              <w:t>: #</w:t>
            </w:r>
            <w:r w:rsidRPr="007259C0">
              <w:rPr>
                <w:rFonts w:ascii="Book Antiqua" w:eastAsia="Times New Roman" w:hAnsi="Book Antiqua" w:cs="Arial"/>
                <w:b/>
                <w:bCs/>
                <w:i/>
                <w:iCs/>
                <w:color w:val="FF0000"/>
                <w:sz w:val="19"/>
                <w:szCs w:val="19"/>
                <w:highlight w:val="green"/>
                <w:lang w:eastAsia="pt-BR"/>
              </w:rPr>
              <w:t>TRF2-2009</w:t>
            </w:r>
            <w:r w:rsidRPr="007259C0">
              <w:rPr>
                <w:rFonts w:ascii="Book Antiqua" w:eastAsia="Times New Roman" w:hAnsi="Book Antiqua" w:cs="Arial"/>
                <w:b/>
                <w:bCs/>
                <w:i/>
                <w:iCs/>
                <w:color w:val="FF0000"/>
                <w:sz w:val="19"/>
                <w:szCs w:val="19"/>
                <w:lang w:eastAsia="pt-BR"/>
              </w:rPr>
              <w:t>: #</w:t>
            </w:r>
            <w:r w:rsidRPr="007259C0">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Os</w:t>
            </w:r>
            <w:r w:rsidRPr="007259C0">
              <w:rPr>
                <w:rFonts w:ascii="Book Antiqua" w:eastAsia="Times New Roman" w:hAnsi="Book Antiqua" w:cs="Arial"/>
                <w:color w:val="000000"/>
                <w:sz w:val="19"/>
                <w:szCs w:val="19"/>
                <w:lang w:eastAsia="pt-BR"/>
              </w:rPr>
              <w:t xml:space="preserve"> laudo</w:t>
            </w:r>
            <w:r>
              <w:rPr>
                <w:rFonts w:ascii="Book Antiqua" w:eastAsia="Times New Roman" w:hAnsi="Book Antiqua" w:cs="Arial"/>
                <w:color w:val="000000"/>
                <w:sz w:val="19"/>
                <w:szCs w:val="19"/>
                <w:lang w:eastAsia="pt-BR"/>
              </w:rPr>
              <w:t>s do tribunal Ad Hoc e os do Tribunal Permanente de Revisão</w:t>
            </w:r>
            <w:r w:rsidRPr="007259C0">
              <w:rPr>
                <w:rFonts w:ascii="Book Antiqua" w:eastAsia="Times New Roman" w:hAnsi="Book Antiqua" w:cs="Arial"/>
                <w:color w:val="000000"/>
                <w:sz w:val="19"/>
                <w:szCs w:val="19"/>
                <w:lang w:eastAsia="pt-BR"/>
              </w:rPr>
              <w:t xml:space="preserve"> são obrigatórios a partir da notificação, não havendo prazo de um ano para que seja cumprido. Se o laudo for emitido por tribunal ad hoc, a parte interessada terá 15 dias para recorrer e, se não o fizer, deverá cumprir a decisão do tribunal. No caso do TAPR, a decisão é inapelável, devendo ser cumprida a partir da notificação. Os tribunais podem estabelecer um prazo para o cumprimento. Caso não estabeleçam, a decisão deverá ser cumprida no prazo de 30 dias a partir da notificação (artigo 29, 1).</w:t>
            </w:r>
          </w:p>
        </w:tc>
      </w:tr>
    </w:tbl>
    <w:p w14:paraId="4FB15352"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Caso um Estado parte interponha recurso de revisão, o cumprimento do laudo do Tribunal Arbitral Ad Hoc será suspenso durante o trâmite do mesmo.</w:t>
      </w:r>
    </w:p>
    <w:p w14:paraId="60D6436F"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O Estado parte obrigado a cumprir o laudo informará à outra parte na controvérsia, assim como ao Grupo Mercado Comum, por intermédio da Secretaria Administrativa do MERCOSUL, sobre as medidas que adotará para cumprir o laudo, dentro dos quinze (15) dia contados desde sua notificação.</w:t>
      </w:r>
    </w:p>
    <w:p w14:paraId="16E5E094"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30</w:t>
      </w:r>
    </w:p>
    <w:p w14:paraId="0BE54CC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Divergências sobre o Cumprimento do Laudo</w:t>
      </w:r>
    </w:p>
    <w:p w14:paraId="76BF6547"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Caso o Estado beneficiado pelo laudo entenda que as medidas adotadas não dão cumprimento ao mesmo, terá um prazo de trinta (30) dias, a partir da adoção das mesmas, para levar a situação à consideração do Tribunal Arbitral Ad Hoc ou do Tribunal Permanente de Revisão, conforme o caso.</w:t>
      </w:r>
    </w:p>
    <w:p w14:paraId="279D3FB8"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 Tribunal respectivo terá um prazo de trinta (30) dias a partir da data que tomou conhecimento da situação para dirimir as questões referidas no numeral anterior.</w:t>
      </w:r>
    </w:p>
    <w:p w14:paraId="56A2311C"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Caso não seja possível a convocação do Tribunal Arbitral Ad Hoc que conheceu do caso, outro será conformado com o ou os suplentes necessários mencionados nos artigos 10.2 e 10.3.</w:t>
      </w:r>
    </w:p>
    <w:p w14:paraId="2742F30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IX</w:t>
      </w:r>
    </w:p>
    <w:p w14:paraId="4E718CE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Medidas Compensatórias</w:t>
      </w:r>
    </w:p>
    <w:p w14:paraId="7536AF4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31</w:t>
      </w:r>
    </w:p>
    <w:p w14:paraId="4DEF8705"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Faculdade de Aplicar Medidas Compensatórias</w:t>
      </w:r>
    </w:p>
    <w:p w14:paraId="791B9C43"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Se um Estado parte na controvérsia não cumprir total ou parcialmente o laudo do Tribunal Arbitral, a outra parte na controvérsia terá a faculdade, dentro do prazo de um (1) ano, contado a partir do dia seguinte ao término do prazo referido no artigo 29.1, e independentemente de recorrer aos procedimentos do artigo 30, de iniciar a aplicação de medidas compensatórias temporárias, tais como a suspensão de concessões ou outras obrigações equivalentes, com vistas a obter o cumprimento do laudo.</w:t>
      </w:r>
    </w:p>
    <w:p w14:paraId="3346A130"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 Estado Parte beneficiado pelo laudo procurará, em primeiro lugar, suspender as concessões ou obrigações equivalentes no mesmo setor ou setores afetados. Caso considere impraticável ou ineficaz a suspensão no mesmo setor, poderá suspender concessões ou obrigações em outro setor, devendo indicar as razões que fundamentam essa decisão.</w:t>
      </w:r>
    </w:p>
    <w:p w14:paraId="37A2892D"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As medidas compensatórias a serem tomadas deverão ser informadas formalmente pelo Estado Parte que as aplicará, com uma antecedência mínima de quinze (15) dias, ao Estado Parte que deve cumprir o laudo.</w:t>
      </w:r>
    </w:p>
    <w:p w14:paraId="71755BE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32</w:t>
      </w:r>
    </w:p>
    <w:p w14:paraId="3E53EE4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Faculdade de Questionar Medidas Compensatórias</w:t>
      </w:r>
    </w:p>
    <w:p w14:paraId="34EA1F7F"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Caso o Estado Parte beneficiado pelo laudo aplique medidas compensatórias por considerar insuficiente o cumprimento do mesmo, mas o Estado Parte obrigado a cumprir o laudo considerar que as medidas adotadas são satisfatórias, este último terá um prazo de quinze (15) dias, contado a partir da notificação prevista no artigo 31.3, para levar esta situação à consideração do Tribunal Arbitral Ad Hoc ou do Tribunal Permanente de Revisão, conforme o caso, o qual terá um prazo de trinta (30) dias desde a sua constituição para se pronunciar sobre o assunto.</w:t>
      </w:r>
    </w:p>
    <w:p w14:paraId="14C719F7"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Caso o Estado Parte obrigado a cumprir o laudo considere excessivas as medidas compensatórias aplicadas, poderá solicitar, até quinze (15) dias depois da aplicação dessas medidas, que o Tribunal Ad Hoc ou o Tribunal Permanente de Revisão, conforme corresponda, se pronuncie a respeito, em um prazo não superior a (trinta) 30 dias, contado a partir da sua constituição.</w:t>
      </w:r>
    </w:p>
    <w:p w14:paraId="353BCF81"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 O Tribunal pronunciar-se-á sobre as medidas compensatórias adotadas. Avaliará, conforme o caso, a fundamentação apresentada para aplicá-las em um setor distinto daquele afetado, assim como sua proporcionalidade com relação às conseqüências derivadas do não cumprimento do laudo.</w:t>
      </w:r>
    </w:p>
    <w:p w14:paraId="5294593C"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 Ao analisar a proporcionalidade, o Tribunal deverá levar em consideração, entre outros elementos, o volume e/ou o valor de comércio no setor afetado, bem como qualquer outro prejuízo ou fator que tenha incidido na determinação do nível ou montante das medidas compensatórias.</w:t>
      </w:r>
    </w:p>
    <w:p w14:paraId="203036AE"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O Estado Parte que aplicou as medidas deverá adequá-las à decisão do Tribunal em um prazo máximo de dez (10) dias, salvo se o Tribunal estabelecer outro prazo.</w:t>
      </w:r>
    </w:p>
    <w:p w14:paraId="74AE698E"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X</w:t>
      </w:r>
    </w:p>
    <w:p w14:paraId="62145D34"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Disposições Comuns aos Capítulos VI e VII</w:t>
      </w:r>
    </w:p>
    <w:p w14:paraId="42486E08"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33</w:t>
      </w:r>
    </w:p>
    <w:p w14:paraId="6FB1F01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Jurisdição dos Tribunais</w:t>
      </w:r>
    </w:p>
    <w:p w14:paraId="18546B43"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Estados Partes declaram reconhecer como obrigatória, ipso facto e sem necessidade de acordo especial, a jurisdição dos Tribunais Arbitrais Ad Hoc que em cada caso se constituam para conhecer e resolver as controvérsias a que se refere o presente Protocolo, bem como a jurisdição do Tribunal Permanente de Revisão para conhecer e resolver as controvérsias conforme as competências que lhe confere o presente Protocolo.</w:t>
      </w:r>
    </w:p>
    <w:p w14:paraId="79A3B923" w14:textId="77777777" w:rsidR="005C1B9A" w:rsidRPr="00CA1DD2"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CA1DD2">
        <w:rPr>
          <w:rFonts w:ascii="Book Antiqua" w:eastAsia="Times New Roman" w:hAnsi="Book Antiqua" w:cs="Arial"/>
          <w:b/>
          <w:bCs/>
          <w:color w:val="000000"/>
          <w:sz w:val="19"/>
          <w:szCs w:val="19"/>
          <w:highlight w:val="magenta"/>
          <w:lang w:eastAsia="pt-BR"/>
        </w:rPr>
        <w:t>Artigo 34</w:t>
      </w:r>
    </w:p>
    <w:p w14:paraId="19025EB7"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Direito Aplicável</w:t>
      </w:r>
    </w:p>
    <w:p w14:paraId="0AF854A5" w14:textId="25C51D78"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CA1DD2">
        <w:rPr>
          <w:rFonts w:ascii="Book Antiqua" w:eastAsia="Times New Roman" w:hAnsi="Book Antiqua" w:cs="Arial"/>
          <w:b/>
          <w:bCs/>
          <w:color w:val="000000"/>
          <w:sz w:val="19"/>
          <w:szCs w:val="19"/>
          <w:lang w:eastAsia="pt-BR"/>
        </w:rPr>
        <w:t xml:space="preserve">        </w:t>
      </w:r>
      <w:r w:rsidRPr="00CA1DD2">
        <w:rPr>
          <w:rFonts w:ascii="Book Antiqua" w:eastAsia="Times New Roman" w:hAnsi="Book Antiqua" w:cs="Arial"/>
          <w:b/>
          <w:bCs/>
          <w:color w:val="000000"/>
          <w:sz w:val="19"/>
          <w:szCs w:val="19"/>
          <w:highlight w:val="magenta"/>
          <w:lang w:eastAsia="pt-BR"/>
        </w:rPr>
        <w:t>1</w:t>
      </w:r>
      <w:r w:rsidRPr="00CA1DD2">
        <w:rPr>
          <w:rFonts w:ascii="Book Antiqua" w:eastAsia="Times New Roman" w:hAnsi="Book Antiqua" w:cs="Arial"/>
          <w:b/>
          <w:bCs/>
          <w:color w:val="000000"/>
          <w:sz w:val="19"/>
          <w:szCs w:val="19"/>
          <w:lang w:eastAsia="pt-BR"/>
        </w:rPr>
        <w:t>. Os Tribunais Arbitrais Ad Hoc e o Tribunal Permanente de Revisão decidirão a controvérsia com base no Tratado de Assunção, no Protocolo de Ouro Preto, nos protocolos e acordos celebrados no marco do Tratado de Assunção, nas Decisões do Conselho do Mercado Comum, nas Resoluções do Grupo Mercado Comum e nas Diretrizes da Comissão de Comércio do MERCOSUL, bem como nos princípios e disposições de Direito Internacional aplicáveis à matéria</w:t>
      </w:r>
      <w:r w:rsidRPr="005C1B9A">
        <w:rPr>
          <w:rFonts w:ascii="Book Antiqua" w:eastAsia="Times New Roman" w:hAnsi="Book Antiqua" w:cs="Arial"/>
          <w:color w:val="000000"/>
          <w:sz w:val="19"/>
          <w:szCs w:val="19"/>
          <w:lang w:eastAsia="pt-BR"/>
        </w:rPr>
        <w:t>.</w:t>
      </w:r>
      <w:r w:rsidR="00CA1DD2">
        <w:rPr>
          <w:rFonts w:ascii="Book Antiqua" w:eastAsia="Times New Roman" w:hAnsi="Book Antiqua" w:cs="Arial"/>
          <w:color w:val="000000"/>
          <w:sz w:val="19"/>
          <w:szCs w:val="19"/>
          <w:lang w:eastAsia="pt-BR"/>
        </w:rPr>
        <w:t xml:space="preserve"> </w:t>
      </w:r>
      <w:r w:rsidR="00CA1DD2" w:rsidRPr="00BD5967">
        <w:rPr>
          <w:rFonts w:ascii="Book Antiqua" w:hAnsi="Book Antiqua"/>
          <w:b/>
          <w:bCs/>
          <w:color w:val="FF0000"/>
          <w:sz w:val="16"/>
          <w:szCs w:val="16"/>
          <w:u w:val="single"/>
        </w:rPr>
        <w:t>(TRT21-2015)</w:t>
      </w:r>
    </w:p>
    <w:tbl>
      <w:tblPr>
        <w:tblStyle w:val="Tabelacomgrade"/>
        <w:tblW w:w="0" w:type="auto"/>
        <w:tblLook w:val="04A0" w:firstRow="1" w:lastRow="0" w:firstColumn="1" w:lastColumn="0" w:noHBand="0" w:noVBand="1"/>
      </w:tblPr>
      <w:tblGrid>
        <w:gridCol w:w="8494"/>
      </w:tblGrid>
      <w:tr w:rsidR="00CA1DD2" w14:paraId="1F25B646" w14:textId="77777777" w:rsidTr="00CA1DD2">
        <w:tc>
          <w:tcPr>
            <w:tcW w:w="8494" w:type="dxa"/>
            <w:shd w:val="clear" w:color="auto" w:fill="CCFFFF"/>
          </w:tcPr>
          <w:p w14:paraId="3A4C60AE" w14:textId="518CB620" w:rsidR="00CA1DD2" w:rsidRDefault="00CA1DD2" w:rsidP="007259C0">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TRT21-2015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5967">
              <w:rPr>
                <w:rFonts w:ascii="Book Antiqua" w:eastAsia="Times New Roman" w:hAnsi="Book Antiqua" w:cs="Arial"/>
                <w:color w:val="000000"/>
                <w:sz w:val="19"/>
                <w:szCs w:val="19"/>
                <w:lang w:eastAsia="pt-BR"/>
              </w:rPr>
              <w:t>Sobre o Mercosul, é correto afirmar:</w:t>
            </w:r>
            <w:r>
              <w:rPr>
                <w:rFonts w:ascii="Book Antiqua" w:eastAsia="Times New Roman" w:hAnsi="Book Antiqua" w:cs="Arial"/>
                <w:color w:val="000000"/>
                <w:sz w:val="19"/>
                <w:szCs w:val="19"/>
                <w:lang w:eastAsia="pt-BR"/>
              </w:rPr>
              <w:t xml:space="preserve"> </w:t>
            </w:r>
            <w:r w:rsidRPr="00CA1DD2">
              <w:rPr>
                <w:rFonts w:ascii="Book Antiqua" w:eastAsia="Times New Roman" w:hAnsi="Book Antiqua" w:cs="Arial"/>
                <w:color w:val="000000"/>
                <w:sz w:val="19"/>
                <w:szCs w:val="19"/>
                <w:lang w:eastAsia="pt-BR"/>
              </w:rPr>
              <w:t>Os Tribunais Arbitrais Ad Hoc e o Tribunal Permanente de Revisão decidirão controvérsias postas a sua apreciação com base no Tratado de Assunção, no Protocolo de Ouro Preto, nos protocolos e acordos celebrados no marco do Tratado de Assunção, nas Decisões do Conselho do Mercado Comum, nas Resoluções do Grupo Mercado Comum e nas Diretrizes da Comissão de Comércio do Mercosul, bem como nos princípios e disposições de Direito Internacional aplicáveis à matéria.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34, item 1 do Protocolo.</w:t>
            </w:r>
          </w:p>
        </w:tc>
      </w:tr>
    </w:tbl>
    <w:p w14:paraId="73D40053" w14:textId="7DB8909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2. A presente disposição não restringe a faculdade dos Tribunais Arbitrais Ad Hoc ou a do Tribunal Permanente de Revisão, quando atue como instância direta e única conforme o disposto no artigo 23, de decidir a controvérsia ex aequo et bono, se as partes assim acordarem.</w:t>
      </w:r>
    </w:p>
    <w:p w14:paraId="271D6DCF" w14:textId="77777777" w:rsidR="005C1B9A" w:rsidRPr="007259C0"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7259C0">
        <w:rPr>
          <w:rFonts w:ascii="Book Antiqua" w:eastAsia="Times New Roman" w:hAnsi="Book Antiqua" w:cs="Arial"/>
          <w:b/>
          <w:bCs/>
          <w:color w:val="000000"/>
          <w:sz w:val="19"/>
          <w:szCs w:val="19"/>
          <w:highlight w:val="magenta"/>
          <w:lang w:eastAsia="pt-BR"/>
        </w:rPr>
        <w:t>Artigo 35</w:t>
      </w:r>
    </w:p>
    <w:p w14:paraId="2F0A6934"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Qualificação dos Árbitros</w:t>
      </w:r>
    </w:p>
    <w:p w14:paraId="3D72C2E9" w14:textId="1506828D" w:rsidR="005C1B9A" w:rsidRPr="00F07B48" w:rsidRDefault="005C1B9A" w:rsidP="007259C0">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5C1B9A">
        <w:rPr>
          <w:rFonts w:ascii="Book Antiqua" w:eastAsia="Times New Roman" w:hAnsi="Book Antiqua" w:cs="Arial"/>
          <w:color w:val="000000"/>
          <w:sz w:val="19"/>
          <w:szCs w:val="19"/>
          <w:lang w:eastAsia="pt-BR"/>
        </w:rPr>
        <w:t xml:space="preserve">        </w:t>
      </w:r>
      <w:r w:rsidRPr="00DF6FDB">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DF6FDB">
        <w:rPr>
          <w:rFonts w:ascii="Book Antiqua" w:eastAsia="Times New Roman" w:hAnsi="Book Antiqua" w:cs="Arial"/>
          <w:b/>
          <w:bCs/>
          <w:color w:val="000000"/>
          <w:sz w:val="19"/>
          <w:szCs w:val="19"/>
          <w:lang w:eastAsia="pt-BR"/>
        </w:rPr>
        <w:t xml:space="preserve">Os </w:t>
      </w:r>
      <w:r w:rsidRPr="00DF6FDB">
        <w:rPr>
          <w:rFonts w:ascii="Book Antiqua" w:eastAsia="Times New Roman" w:hAnsi="Book Antiqua" w:cs="Arial"/>
          <w:b/>
          <w:bCs/>
          <w:color w:val="000000"/>
          <w:sz w:val="19"/>
          <w:szCs w:val="19"/>
          <w:highlight w:val="yellow"/>
          <w:lang w:eastAsia="pt-BR"/>
        </w:rPr>
        <w:t>árbitros dos Tribunais Arbitrais Ad Hoc</w:t>
      </w:r>
      <w:r w:rsidRPr="00DF6FDB">
        <w:rPr>
          <w:rFonts w:ascii="Book Antiqua" w:eastAsia="Times New Roman" w:hAnsi="Book Antiqua" w:cs="Arial"/>
          <w:b/>
          <w:bCs/>
          <w:color w:val="000000"/>
          <w:sz w:val="19"/>
          <w:szCs w:val="19"/>
          <w:lang w:eastAsia="pt-BR"/>
        </w:rPr>
        <w:t xml:space="preserve"> e </w:t>
      </w:r>
      <w:r w:rsidRPr="00DF6FDB">
        <w:rPr>
          <w:rFonts w:ascii="Book Antiqua" w:eastAsia="Times New Roman" w:hAnsi="Book Antiqua" w:cs="Arial"/>
          <w:b/>
          <w:bCs/>
          <w:color w:val="000000"/>
          <w:sz w:val="19"/>
          <w:szCs w:val="19"/>
          <w:highlight w:val="yellow"/>
          <w:lang w:eastAsia="pt-BR"/>
        </w:rPr>
        <w:t>os do Tribunal Permanente de Revisão</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aps/>
          <w:color w:val="000000"/>
          <w:sz w:val="19"/>
          <w:szCs w:val="19"/>
          <w:highlight w:val="green"/>
          <w:lang w:eastAsia="pt-BR"/>
        </w:rPr>
        <w:t>deverão ser</w:t>
      </w:r>
      <w:r w:rsidRPr="00DF6FDB">
        <w:rPr>
          <w:rFonts w:ascii="Book Antiqua" w:eastAsia="Times New Roman" w:hAnsi="Book Antiqua" w:cs="Arial"/>
          <w:b/>
          <w:bCs/>
          <w:color w:val="000000"/>
          <w:sz w:val="19"/>
          <w:szCs w:val="19"/>
          <w:lang w:eastAsia="pt-BR"/>
        </w:rPr>
        <w:t xml:space="preserve"> </w:t>
      </w:r>
      <w:r w:rsidRPr="00DF6FDB">
        <w:rPr>
          <w:rFonts w:ascii="Book Antiqua" w:eastAsia="Times New Roman" w:hAnsi="Book Antiqua" w:cs="Arial"/>
          <w:b/>
          <w:bCs/>
          <w:caps/>
          <w:color w:val="000000"/>
          <w:sz w:val="19"/>
          <w:szCs w:val="19"/>
          <w:shd w:val="clear" w:color="auto" w:fill="F7CAAC" w:themeFill="accent2" w:themeFillTint="66"/>
          <w:lang w:eastAsia="pt-BR"/>
        </w:rPr>
        <w:t>juristas de reconhecida competência</w:t>
      </w:r>
      <w:r w:rsidRPr="00DF6FDB">
        <w:rPr>
          <w:rFonts w:ascii="Book Antiqua" w:eastAsia="Times New Roman" w:hAnsi="Book Antiqua" w:cs="Arial"/>
          <w:b/>
          <w:bCs/>
          <w:color w:val="000000"/>
          <w:sz w:val="19"/>
          <w:szCs w:val="19"/>
          <w:lang w:eastAsia="pt-BR"/>
        </w:rPr>
        <w:t xml:space="preserve"> nas matérias que possam ser objeto das controvérsias e ter conhecimento do conjunto normativo do MERCOSUL</w:t>
      </w:r>
      <w:r w:rsidRPr="00F07B48">
        <w:rPr>
          <w:rFonts w:ascii="Book Antiqua" w:eastAsia="Times New Roman" w:hAnsi="Book Antiqua" w:cs="Arial"/>
          <w:color w:val="000000"/>
          <w:sz w:val="16"/>
          <w:szCs w:val="16"/>
          <w:lang w:eastAsia="pt-BR"/>
        </w:rPr>
        <w:t>.</w:t>
      </w:r>
      <w:r w:rsidR="007259C0" w:rsidRPr="00F07B48">
        <w:rPr>
          <w:rFonts w:ascii="Book Antiqua" w:eastAsia="Times New Roman" w:hAnsi="Book Antiqua" w:cs="Arial"/>
          <w:color w:val="000000"/>
          <w:sz w:val="16"/>
          <w:szCs w:val="16"/>
          <w:lang w:eastAsia="pt-BR"/>
        </w:rPr>
        <w:t xml:space="preserve"> </w:t>
      </w:r>
      <w:r w:rsidR="007259C0" w:rsidRPr="00F07B48">
        <w:rPr>
          <w:rFonts w:ascii="Book Antiqua" w:eastAsia="Times New Roman" w:hAnsi="Book Antiqua" w:cs="Arial"/>
          <w:b/>
          <w:bCs/>
          <w:color w:val="FF0000"/>
          <w:sz w:val="16"/>
          <w:szCs w:val="16"/>
          <w:u w:val="single"/>
          <w:lang w:eastAsia="pt-BR"/>
        </w:rPr>
        <w:t>(TRF2-2009)</w:t>
      </w:r>
    </w:p>
    <w:p w14:paraId="76AC485F"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Os árbitros deverão observar a necessária imparcialidade e independência funcional da Administração Pública Central ou direta dos Estados Partes e não ter interesses de índole alguma na controvérsia. Serão designados em função de sua objetividade, confiabilidade e bom senso.</w:t>
      </w:r>
    </w:p>
    <w:p w14:paraId="4A615BA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36</w:t>
      </w:r>
    </w:p>
    <w:p w14:paraId="1405C1F4"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Custos</w:t>
      </w:r>
    </w:p>
    <w:p w14:paraId="3BEE6E87"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Os gastos e honorários ocasionados pela atividade dos árbitros serão custeados pelo país que os designe e os gastos e honorários do Presidente do Tribunal Arbitral Ad Hoc serão custeados em partes iguais pelos Estados partes na controvérsia, a menos que o Tribunal decida distribuí-los em proporção distinta.</w:t>
      </w:r>
    </w:p>
    <w:p w14:paraId="4513166C"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Os gastos e honorários ocasionados pela atividade dos árbitros do Tribunal Permanente de Revisão serão custeados em partes iguais pelos Estados partes na controvérsia, a menos que o Tribunal decida distribuí-los em proporção distinta.</w:t>
      </w:r>
    </w:p>
    <w:p w14:paraId="084FFDDC"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Os gastos a que se referem os incisos anteriores poderão ser pagos por intermédio da Secretaria Administrativa do MERCOSUL. Os pagamentos poderão ser realizados por intermédio de um Fundo Especial que poderá ser criado pelos Estados Partes ao depositar as contribuições relativas ao orçamento da Secretaria Administrativa do MERCOSUL, conforme o artigo 45 do Protocolo de Ouro Preto, ou no momento de iniciar os procedimentos previstos nos Capítulos VI ou VII do presente Protocolo. O Fundo será administrado pela Secretaria Administrativa do MERCOSUL, a qual deverá anualmente prestar contas aos Estados Partes sobre sua utilização.</w:t>
      </w:r>
    </w:p>
    <w:p w14:paraId="7FCAA57A"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37</w:t>
      </w:r>
    </w:p>
    <w:p w14:paraId="1C3B413E"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Honorários e demais Gastos</w:t>
      </w:r>
    </w:p>
    <w:p w14:paraId="2842AE2F" w14:textId="77777777" w:rsidR="005C1B9A" w:rsidRPr="005C1B9A" w:rsidRDefault="005C1B9A" w:rsidP="007259C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honorários, gastos de transporte, hospedagem, diárias e outros gastos dos árbitros serão determinados pelo Grupo Mercado Comum.</w:t>
      </w:r>
    </w:p>
    <w:p w14:paraId="2120FF91" w14:textId="77777777" w:rsidR="005C1B9A" w:rsidRPr="007259C0"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7259C0">
        <w:rPr>
          <w:rFonts w:ascii="Book Antiqua" w:eastAsia="Times New Roman" w:hAnsi="Book Antiqua" w:cs="Arial"/>
          <w:b/>
          <w:bCs/>
          <w:color w:val="000000"/>
          <w:sz w:val="19"/>
          <w:szCs w:val="19"/>
          <w:highlight w:val="magenta"/>
          <w:lang w:eastAsia="pt-BR"/>
        </w:rPr>
        <w:t>Artigo 38</w:t>
      </w:r>
    </w:p>
    <w:p w14:paraId="09F923E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Sede</w:t>
      </w:r>
    </w:p>
    <w:p w14:paraId="35E27682" w14:textId="503775B8" w:rsidR="005C1B9A" w:rsidRPr="00F07B48" w:rsidRDefault="005C1B9A" w:rsidP="007259C0">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50760C">
        <w:rPr>
          <w:rFonts w:ascii="Book Antiqua" w:eastAsia="Times New Roman" w:hAnsi="Book Antiqua" w:cs="Arial"/>
          <w:b/>
          <w:bCs/>
          <w:color w:val="000000"/>
          <w:sz w:val="19"/>
          <w:szCs w:val="19"/>
          <w:lang w:eastAsia="pt-BR"/>
        </w:rPr>
        <w:t xml:space="preserve">        A sede do Tribunal Arbitral Permanente de Revisão será a </w:t>
      </w:r>
      <w:r w:rsidRPr="0050760C">
        <w:rPr>
          <w:rFonts w:ascii="Book Antiqua" w:eastAsia="Times New Roman" w:hAnsi="Book Antiqua" w:cs="Arial"/>
          <w:b/>
          <w:bCs/>
          <w:color w:val="000000"/>
          <w:sz w:val="19"/>
          <w:szCs w:val="19"/>
          <w:highlight w:val="cyan"/>
          <w:lang w:eastAsia="pt-BR"/>
        </w:rPr>
        <w:t>cidade de Assunção</w:t>
      </w:r>
      <w:r w:rsidRPr="0050760C">
        <w:rPr>
          <w:rFonts w:ascii="Book Antiqua" w:eastAsia="Times New Roman" w:hAnsi="Book Antiqua" w:cs="Arial"/>
          <w:b/>
          <w:bCs/>
          <w:color w:val="000000"/>
          <w:sz w:val="19"/>
          <w:szCs w:val="19"/>
          <w:lang w:eastAsia="pt-BR"/>
        </w:rPr>
        <w:t>. Não obstante, por razões fundamentadas, o Tribunal poderá reunir-se, excepcionalmente, em outras cidades do MERCOSUL. Os Tribunais Arbitrais Ad Hoc poderão reunir-se em qualquer cidade dos Estados Partes do MERCOSUL</w:t>
      </w:r>
      <w:r w:rsidRPr="00F07B48">
        <w:rPr>
          <w:rFonts w:ascii="Book Antiqua" w:eastAsia="Times New Roman" w:hAnsi="Book Antiqua" w:cs="Arial"/>
          <w:color w:val="000000"/>
          <w:sz w:val="16"/>
          <w:szCs w:val="16"/>
          <w:lang w:eastAsia="pt-BR"/>
        </w:rPr>
        <w:t>.</w:t>
      </w:r>
      <w:r w:rsidR="007259C0" w:rsidRPr="00F07B48">
        <w:rPr>
          <w:rFonts w:ascii="Book Antiqua" w:eastAsia="Times New Roman" w:hAnsi="Book Antiqua" w:cs="Arial"/>
          <w:color w:val="000000"/>
          <w:sz w:val="16"/>
          <w:szCs w:val="16"/>
          <w:lang w:eastAsia="pt-BR"/>
        </w:rPr>
        <w:t xml:space="preserve"> </w:t>
      </w:r>
      <w:r w:rsidR="007259C0" w:rsidRPr="00F07B48">
        <w:rPr>
          <w:rFonts w:ascii="Book Antiqua" w:eastAsia="Times New Roman" w:hAnsi="Book Antiqua" w:cs="Arial"/>
          <w:b/>
          <w:bCs/>
          <w:color w:val="FF0000"/>
          <w:sz w:val="16"/>
          <w:szCs w:val="16"/>
          <w:u w:val="single"/>
          <w:lang w:eastAsia="pt-BR"/>
        </w:rPr>
        <w:t>(TRF2-2009)</w:t>
      </w:r>
    </w:p>
    <w:p w14:paraId="4BE9382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XI</w:t>
      </w:r>
    </w:p>
    <w:p w14:paraId="4D1C5C0E"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Reclamações de Particulares</w:t>
      </w:r>
    </w:p>
    <w:p w14:paraId="540452C9" w14:textId="77777777" w:rsidR="005C1B9A" w:rsidRPr="008253E2"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8253E2">
        <w:rPr>
          <w:rFonts w:ascii="Book Antiqua" w:eastAsia="Times New Roman" w:hAnsi="Book Antiqua" w:cs="Arial"/>
          <w:b/>
          <w:bCs/>
          <w:color w:val="000000"/>
          <w:sz w:val="19"/>
          <w:szCs w:val="19"/>
          <w:highlight w:val="magenta"/>
          <w:lang w:eastAsia="pt-BR"/>
        </w:rPr>
        <w:t>Artigo 39</w:t>
      </w:r>
    </w:p>
    <w:p w14:paraId="44E8D0B8"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Âmbito de Aplicação</w:t>
      </w:r>
    </w:p>
    <w:p w14:paraId="329C0BAB" w14:textId="779979E6" w:rsidR="005C1B9A" w:rsidRPr="006F3971" w:rsidRDefault="005C1B9A" w:rsidP="008253E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50760C">
        <w:rPr>
          <w:rFonts w:ascii="Book Antiqua" w:eastAsia="Times New Roman" w:hAnsi="Book Antiqua" w:cs="Arial"/>
          <w:b/>
          <w:bCs/>
          <w:color w:val="000000"/>
          <w:sz w:val="19"/>
          <w:szCs w:val="19"/>
          <w:lang w:eastAsia="pt-BR"/>
        </w:rPr>
        <w:t xml:space="preserve">        O procedimento estabelecido no presente Capítulo </w:t>
      </w:r>
      <w:r w:rsidRPr="0050760C">
        <w:rPr>
          <w:rFonts w:ascii="Book Antiqua" w:eastAsia="Times New Roman" w:hAnsi="Book Antiqua" w:cs="Arial"/>
          <w:b/>
          <w:bCs/>
          <w:caps/>
          <w:color w:val="000000"/>
          <w:sz w:val="19"/>
          <w:szCs w:val="19"/>
          <w:highlight w:val="green"/>
          <w:lang w:eastAsia="pt-BR"/>
        </w:rPr>
        <w:t>aplicar-se-á</w:t>
      </w:r>
      <w:r w:rsidRPr="0050760C">
        <w:rPr>
          <w:rFonts w:ascii="Book Antiqua" w:eastAsia="Times New Roman" w:hAnsi="Book Antiqua" w:cs="Arial"/>
          <w:b/>
          <w:bCs/>
          <w:color w:val="000000"/>
          <w:sz w:val="19"/>
          <w:szCs w:val="19"/>
          <w:lang w:eastAsia="pt-BR"/>
        </w:rPr>
        <w:t xml:space="preserve"> às </w:t>
      </w:r>
      <w:r w:rsidRPr="0050760C">
        <w:rPr>
          <w:rFonts w:ascii="Book Antiqua" w:eastAsia="Times New Roman" w:hAnsi="Book Antiqua" w:cs="Arial"/>
          <w:b/>
          <w:bCs/>
          <w:caps/>
          <w:color w:val="000000"/>
          <w:sz w:val="19"/>
          <w:szCs w:val="19"/>
          <w:shd w:val="clear" w:color="auto" w:fill="F7CAAC" w:themeFill="accent2" w:themeFillTint="66"/>
          <w:lang w:eastAsia="pt-BR"/>
        </w:rPr>
        <w:t>reclamações</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yellow"/>
          <w:lang w:eastAsia="pt-BR"/>
        </w:rPr>
        <w:t>efetuadas por particulares</w:t>
      </w:r>
      <w:r w:rsidRPr="0050760C">
        <w:rPr>
          <w:rFonts w:ascii="Book Antiqua" w:eastAsia="Times New Roman" w:hAnsi="Book Antiqua" w:cs="Arial"/>
          <w:b/>
          <w:bCs/>
          <w:color w:val="000000"/>
          <w:sz w:val="19"/>
          <w:szCs w:val="19"/>
          <w:lang w:eastAsia="pt-BR"/>
        </w:rPr>
        <w:t xml:space="preserve"> (</w:t>
      </w:r>
      <w:r w:rsidRPr="006F3971">
        <w:rPr>
          <w:rFonts w:ascii="Book Antiqua" w:eastAsia="Times New Roman" w:hAnsi="Book Antiqua" w:cs="Arial"/>
          <w:b/>
          <w:bCs/>
          <w:color w:val="000000"/>
          <w:sz w:val="19"/>
          <w:szCs w:val="19"/>
          <w:highlight w:val="yellow"/>
          <w:lang w:eastAsia="pt-BR"/>
        </w:rPr>
        <w:t>pessoas físicas</w:t>
      </w:r>
      <w:r w:rsidRPr="0050760C">
        <w:rPr>
          <w:rFonts w:ascii="Book Antiqua" w:eastAsia="Times New Roman" w:hAnsi="Book Antiqua" w:cs="Arial"/>
          <w:b/>
          <w:bCs/>
          <w:color w:val="000000"/>
          <w:sz w:val="19"/>
          <w:szCs w:val="19"/>
          <w:lang w:eastAsia="pt-BR"/>
        </w:rPr>
        <w:t xml:space="preserve"> ou </w:t>
      </w:r>
      <w:r w:rsidRPr="006F3971">
        <w:rPr>
          <w:rFonts w:ascii="Book Antiqua" w:eastAsia="Times New Roman" w:hAnsi="Book Antiqua" w:cs="Arial"/>
          <w:b/>
          <w:bCs/>
          <w:color w:val="000000"/>
          <w:sz w:val="19"/>
          <w:szCs w:val="19"/>
          <w:highlight w:val="yellow"/>
          <w:lang w:eastAsia="pt-BR"/>
        </w:rPr>
        <w:t>jurídicas</w:t>
      </w:r>
      <w:r w:rsidRPr="0050760C">
        <w:rPr>
          <w:rFonts w:ascii="Book Antiqua" w:eastAsia="Times New Roman" w:hAnsi="Book Antiqua" w:cs="Arial"/>
          <w:b/>
          <w:bCs/>
          <w:color w:val="000000"/>
          <w:sz w:val="19"/>
          <w:szCs w:val="19"/>
          <w:lang w:eastAsia="pt-BR"/>
        </w:rPr>
        <w:t xml:space="preserve">) em razão da sanção ou aplicação, por qualquer dos Estados Partes, </w:t>
      </w:r>
      <w:r w:rsidRPr="0050760C">
        <w:rPr>
          <w:rFonts w:ascii="Book Antiqua" w:eastAsia="Times New Roman" w:hAnsi="Book Antiqua" w:cs="Arial"/>
          <w:b/>
          <w:bCs/>
          <w:color w:val="000000"/>
          <w:sz w:val="19"/>
          <w:szCs w:val="19"/>
          <w:highlight w:val="cyan"/>
          <w:lang w:eastAsia="pt-BR"/>
        </w:rPr>
        <w:t>de medidas legais</w:t>
      </w:r>
      <w:r w:rsidRPr="0050760C">
        <w:rPr>
          <w:rFonts w:ascii="Book Antiqua" w:eastAsia="Times New Roman" w:hAnsi="Book Antiqua" w:cs="Arial"/>
          <w:b/>
          <w:bCs/>
          <w:color w:val="000000"/>
          <w:sz w:val="19"/>
          <w:szCs w:val="19"/>
          <w:lang w:eastAsia="pt-BR"/>
        </w:rPr>
        <w:t xml:space="preserve"> ou </w:t>
      </w:r>
      <w:r w:rsidRPr="0050760C">
        <w:rPr>
          <w:rFonts w:ascii="Book Antiqua" w:eastAsia="Times New Roman" w:hAnsi="Book Antiqua" w:cs="Arial"/>
          <w:b/>
          <w:bCs/>
          <w:color w:val="000000"/>
          <w:sz w:val="19"/>
          <w:szCs w:val="19"/>
          <w:highlight w:val="cyan"/>
          <w:lang w:eastAsia="pt-BR"/>
        </w:rPr>
        <w:t>administrativas</w:t>
      </w:r>
      <w:r w:rsidRPr="0050760C">
        <w:rPr>
          <w:rFonts w:ascii="Book Antiqua" w:eastAsia="Times New Roman" w:hAnsi="Book Antiqua" w:cs="Arial"/>
          <w:b/>
          <w:bCs/>
          <w:color w:val="000000"/>
          <w:sz w:val="19"/>
          <w:szCs w:val="19"/>
          <w:lang w:eastAsia="pt-BR"/>
        </w:rPr>
        <w:t xml:space="preserve"> de efeito restritivo, discriminatórias ou de concorrência desleal, </w:t>
      </w:r>
      <w:r w:rsidRPr="0050760C">
        <w:rPr>
          <w:rFonts w:ascii="Book Antiqua" w:eastAsia="Times New Roman" w:hAnsi="Book Antiqua" w:cs="Arial"/>
          <w:b/>
          <w:bCs/>
          <w:color w:val="000000"/>
          <w:sz w:val="19"/>
          <w:szCs w:val="19"/>
          <w:highlight w:val="cyan"/>
          <w:lang w:eastAsia="pt-BR"/>
        </w:rPr>
        <w:t>em violação</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yellow"/>
          <w:lang w:eastAsia="pt-BR"/>
        </w:rPr>
        <w:t>do Tratado de Assunção</w:t>
      </w:r>
      <w:r w:rsidRPr="0050760C">
        <w:rPr>
          <w:rFonts w:ascii="Book Antiqua" w:eastAsia="Times New Roman" w:hAnsi="Book Antiqua" w:cs="Arial"/>
          <w:b/>
          <w:bCs/>
          <w:color w:val="000000"/>
          <w:sz w:val="19"/>
          <w:szCs w:val="19"/>
          <w:lang w:eastAsia="pt-BR"/>
        </w:rPr>
        <w:t>, do Protocolo de Ouro Preto, dos protocolos e acordos celebrados no marco do Tratado de Assunção, das Decisões do Conselho do Mercado Comum, das Resoluções do Grupo Mercado Comum e das Diretrizes da Comissão de Comércio do MERCOSUL</w:t>
      </w:r>
      <w:r w:rsidRPr="00F07B48">
        <w:rPr>
          <w:rFonts w:ascii="Book Antiqua" w:eastAsia="Times New Roman" w:hAnsi="Book Antiqua" w:cs="Arial"/>
          <w:color w:val="000000"/>
          <w:sz w:val="16"/>
          <w:szCs w:val="16"/>
          <w:lang w:eastAsia="pt-BR"/>
        </w:rPr>
        <w:t>.</w:t>
      </w:r>
      <w:r w:rsidR="008253E2" w:rsidRPr="00F07B48">
        <w:rPr>
          <w:rFonts w:ascii="Book Antiqua" w:eastAsia="Times New Roman" w:hAnsi="Book Antiqua" w:cs="Arial"/>
          <w:color w:val="000000"/>
          <w:sz w:val="16"/>
          <w:szCs w:val="16"/>
          <w:lang w:eastAsia="pt-BR"/>
        </w:rPr>
        <w:t xml:space="preserve"> </w:t>
      </w:r>
      <w:r w:rsidR="008253E2" w:rsidRPr="00F07B48">
        <w:rPr>
          <w:rFonts w:ascii="Book Antiqua" w:eastAsia="Times New Roman" w:hAnsi="Book Antiqua" w:cs="Arial"/>
          <w:b/>
          <w:bCs/>
          <w:color w:val="FF0000"/>
          <w:sz w:val="16"/>
          <w:szCs w:val="16"/>
          <w:u w:val="single"/>
          <w:lang w:eastAsia="pt-BR"/>
        </w:rPr>
        <w:t>(TRF3-2011)</w:t>
      </w:r>
      <w:r w:rsidR="00843597" w:rsidRPr="00F07B48">
        <w:rPr>
          <w:rFonts w:ascii="Book Antiqua" w:eastAsia="Times New Roman" w:hAnsi="Book Antiqua" w:cs="Arial"/>
          <w:b/>
          <w:bCs/>
          <w:color w:val="FF0000"/>
          <w:sz w:val="16"/>
          <w:szCs w:val="16"/>
          <w:lang w:eastAsia="pt-BR"/>
        </w:rPr>
        <w:t xml:space="preserve"> </w:t>
      </w:r>
      <w:r w:rsidR="00843597" w:rsidRPr="00F07B48">
        <w:rPr>
          <w:rFonts w:ascii="Book Antiqua" w:eastAsia="Times New Roman" w:hAnsi="Book Antiqua" w:cs="Arial"/>
          <w:b/>
          <w:bCs/>
          <w:color w:val="FF0000"/>
          <w:sz w:val="16"/>
          <w:szCs w:val="16"/>
          <w:u w:val="single"/>
          <w:lang w:eastAsia="pt-BR"/>
        </w:rPr>
        <w:t>(TRF1-2013)</w:t>
      </w:r>
      <w:r w:rsidR="00CA1DD2">
        <w:rPr>
          <w:rFonts w:ascii="Book Antiqua" w:eastAsia="Times New Roman" w:hAnsi="Book Antiqua" w:cs="Arial"/>
          <w:b/>
          <w:bCs/>
          <w:color w:val="FF0000"/>
          <w:sz w:val="16"/>
          <w:szCs w:val="16"/>
          <w:lang w:eastAsia="pt-BR"/>
        </w:rPr>
        <w:t xml:space="preserve"> </w:t>
      </w:r>
      <w:bookmarkStart w:id="3" w:name="_Hlk158808039"/>
      <w:r w:rsidR="00CA1DD2">
        <w:rPr>
          <w:rFonts w:ascii="Book Antiqua" w:hAnsi="Book Antiqua"/>
          <w:b/>
          <w:color w:val="FF0000"/>
          <w:sz w:val="16"/>
          <w:szCs w:val="16"/>
          <w:u w:val="single"/>
        </w:rPr>
        <w:t>(TRT21-2015)</w:t>
      </w:r>
      <w:bookmarkEnd w:id="3"/>
      <w:r w:rsidR="006F3971">
        <w:rPr>
          <w:rFonts w:ascii="Book Antiqua" w:hAnsi="Book Antiqua"/>
          <w:b/>
          <w:color w:val="FF0000"/>
          <w:sz w:val="16"/>
          <w:szCs w:val="16"/>
        </w:rPr>
        <w:t xml:space="preserve"> </w:t>
      </w:r>
      <w:r w:rsidR="006F3971">
        <w:rPr>
          <w:rFonts w:ascii="Book Antiqua" w:hAnsi="Book Antiqua"/>
          <w:b/>
          <w:bCs/>
          <w:color w:val="FF0000"/>
          <w:sz w:val="16"/>
          <w:szCs w:val="16"/>
          <w:u w:val="single"/>
        </w:rPr>
        <w:t>(MPT-2024)</w:t>
      </w:r>
    </w:p>
    <w:p w14:paraId="27787D62" w14:textId="77777777" w:rsidR="005C1B9A" w:rsidRPr="00843597"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843597">
        <w:rPr>
          <w:rFonts w:ascii="Book Antiqua" w:eastAsia="Times New Roman" w:hAnsi="Book Antiqua" w:cs="Arial"/>
          <w:b/>
          <w:bCs/>
          <w:color w:val="000000"/>
          <w:sz w:val="19"/>
          <w:szCs w:val="19"/>
          <w:highlight w:val="magenta"/>
          <w:lang w:eastAsia="pt-BR"/>
        </w:rPr>
        <w:t>Artigo 40</w:t>
      </w:r>
    </w:p>
    <w:p w14:paraId="546EDF68"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Início do Trâmite</w:t>
      </w:r>
    </w:p>
    <w:p w14:paraId="3C7D8B92" w14:textId="033AA7FD" w:rsidR="005C1B9A" w:rsidRPr="006F3971" w:rsidRDefault="005C1B9A" w:rsidP="00843597">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5C1B9A">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Os </w:t>
      </w:r>
      <w:r w:rsidRPr="00843597">
        <w:rPr>
          <w:rFonts w:ascii="Book Antiqua" w:eastAsia="Times New Roman" w:hAnsi="Book Antiqua" w:cs="Arial"/>
          <w:b/>
          <w:bCs/>
          <w:color w:val="000000"/>
          <w:sz w:val="19"/>
          <w:szCs w:val="19"/>
          <w:highlight w:val="yellow"/>
          <w:lang w:eastAsia="pt-BR"/>
        </w:rPr>
        <w:t>particulares afetados</w:t>
      </w:r>
      <w:r w:rsidRPr="005C1B9A">
        <w:rPr>
          <w:rFonts w:ascii="Book Antiqua" w:eastAsia="Times New Roman" w:hAnsi="Book Antiqua" w:cs="Arial"/>
          <w:color w:val="000000"/>
          <w:sz w:val="19"/>
          <w:szCs w:val="19"/>
          <w:lang w:eastAsia="pt-BR"/>
        </w:rPr>
        <w:t xml:space="preserve"> </w:t>
      </w:r>
      <w:r w:rsidRPr="00843597">
        <w:rPr>
          <w:rFonts w:ascii="Book Antiqua" w:eastAsia="Times New Roman" w:hAnsi="Book Antiqua" w:cs="Arial"/>
          <w:b/>
          <w:bCs/>
          <w:caps/>
          <w:color w:val="000000"/>
          <w:sz w:val="19"/>
          <w:szCs w:val="19"/>
          <w:highlight w:val="green"/>
          <w:lang w:eastAsia="pt-BR"/>
        </w:rPr>
        <w:t>formalizarão</w:t>
      </w:r>
      <w:r w:rsidRPr="005C1B9A">
        <w:rPr>
          <w:rFonts w:ascii="Book Antiqua" w:eastAsia="Times New Roman" w:hAnsi="Book Antiqua" w:cs="Arial"/>
          <w:color w:val="000000"/>
          <w:sz w:val="19"/>
          <w:szCs w:val="19"/>
          <w:lang w:eastAsia="pt-BR"/>
        </w:rPr>
        <w:t xml:space="preserve"> as </w:t>
      </w:r>
      <w:r w:rsidRPr="00843597">
        <w:rPr>
          <w:rFonts w:ascii="Book Antiqua" w:eastAsia="Times New Roman" w:hAnsi="Book Antiqua" w:cs="Arial"/>
          <w:b/>
          <w:bCs/>
          <w:caps/>
          <w:color w:val="000000"/>
          <w:sz w:val="19"/>
          <w:szCs w:val="19"/>
          <w:shd w:val="clear" w:color="auto" w:fill="F7CAAC" w:themeFill="accent2" w:themeFillTint="66"/>
          <w:lang w:eastAsia="pt-BR"/>
        </w:rPr>
        <w:t>reclamações</w:t>
      </w:r>
      <w:r w:rsidRPr="005C1B9A">
        <w:rPr>
          <w:rFonts w:ascii="Book Antiqua" w:eastAsia="Times New Roman" w:hAnsi="Book Antiqua" w:cs="Arial"/>
          <w:color w:val="000000"/>
          <w:sz w:val="19"/>
          <w:szCs w:val="19"/>
          <w:lang w:eastAsia="pt-BR"/>
        </w:rPr>
        <w:t xml:space="preserve"> </w:t>
      </w:r>
      <w:r w:rsidRPr="00843597">
        <w:rPr>
          <w:rFonts w:ascii="Book Antiqua" w:eastAsia="Times New Roman" w:hAnsi="Book Antiqua" w:cs="Arial"/>
          <w:b/>
          <w:bCs/>
          <w:color w:val="000000"/>
          <w:sz w:val="19"/>
          <w:szCs w:val="19"/>
          <w:highlight w:val="yellow"/>
          <w:lang w:eastAsia="pt-BR"/>
        </w:rPr>
        <w:t>ante a Seção Nacional do Grupo Mercado Comum do Estado Parte</w:t>
      </w:r>
      <w:r w:rsidRPr="005C1B9A">
        <w:rPr>
          <w:rFonts w:ascii="Book Antiqua" w:eastAsia="Times New Roman" w:hAnsi="Book Antiqua" w:cs="Arial"/>
          <w:color w:val="000000"/>
          <w:sz w:val="19"/>
          <w:szCs w:val="19"/>
          <w:lang w:eastAsia="pt-BR"/>
        </w:rPr>
        <w:t xml:space="preserve"> </w:t>
      </w:r>
      <w:r w:rsidRPr="00843597">
        <w:rPr>
          <w:rFonts w:ascii="Book Antiqua" w:eastAsia="Times New Roman" w:hAnsi="Book Antiqua" w:cs="Arial"/>
          <w:b/>
          <w:bCs/>
          <w:color w:val="000000"/>
          <w:sz w:val="19"/>
          <w:szCs w:val="19"/>
          <w:highlight w:val="cyan"/>
          <w:lang w:eastAsia="pt-BR"/>
        </w:rPr>
        <w:t>onde tenham sua residência habitual</w:t>
      </w:r>
      <w:r w:rsidRPr="005C1B9A">
        <w:rPr>
          <w:rFonts w:ascii="Book Antiqua" w:eastAsia="Times New Roman" w:hAnsi="Book Antiqua" w:cs="Arial"/>
          <w:color w:val="000000"/>
          <w:sz w:val="19"/>
          <w:szCs w:val="19"/>
          <w:lang w:eastAsia="pt-BR"/>
        </w:rPr>
        <w:t xml:space="preserve"> ou </w:t>
      </w:r>
      <w:r w:rsidRPr="00843597">
        <w:rPr>
          <w:rFonts w:ascii="Book Antiqua" w:eastAsia="Times New Roman" w:hAnsi="Book Antiqua" w:cs="Arial"/>
          <w:b/>
          <w:bCs/>
          <w:color w:val="000000"/>
          <w:sz w:val="19"/>
          <w:szCs w:val="19"/>
          <w:highlight w:val="cyan"/>
          <w:lang w:eastAsia="pt-BR"/>
        </w:rPr>
        <w:t>a sede de seus negócios</w:t>
      </w:r>
      <w:r w:rsidRPr="00F07B48">
        <w:rPr>
          <w:rFonts w:ascii="Book Antiqua" w:eastAsia="Times New Roman" w:hAnsi="Book Antiqua" w:cs="Arial"/>
          <w:color w:val="000000"/>
          <w:sz w:val="18"/>
          <w:szCs w:val="18"/>
          <w:lang w:eastAsia="pt-BR"/>
        </w:rPr>
        <w:t>.</w:t>
      </w:r>
      <w:r w:rsidR="00843597" w:rsidRPr="00F07B48">
        <w:rPr>
          <w:rFonts w:ascii="Book Antiqua" w:eastAsia="Times New Roman" w:hAnsi="Book Antiqua" w:cs="Arial"/>
          <w:color w:val="000000"/>
          <w:sz w:val="18"/>
          <w:szCs w:val="18"/>
          <w:lang w:eastAsia="pt-BR"/>
        </w:rPr>
        <w:t xml:space="preserve"> </w:t>
      </w:r>
      <w:r w:rsidR="0050760C" w:rsidRPr="00F07B48">
        <w:rPr>
          <w:rFonts w:ascii="Book Antiqua" w:eastAsia="Times New Roman" w:hAnsi="Book Antiqua" w:cs="Arial"/>
          <w:b/>
          <w:bCs/>
          <w:color w:val="FF0000"/>
          <w:sz w:val="16"/>
          <w:szCs w:val="16"/>
          <w:u w:val="single"/>
          <w:lang w:eastAsia="pt-BR"/>
        </w:rPr>
        <w:t>(TRF1-2013)</w:t>
      </w:r>
      <w:r w:rsidR="00402F90">
        <w:rPr>
          <w:rFonts w:ascii="Book Antiqua" w:eastAsia="Times New Roman" w:hAnsi="Book Antiqua" w:cs="Arial"/>
          <w:b/>
          <w:bCs/>
          <w:color w:val="FF0000"/>
          <w:sz w:val="16"/>
          <w:szCs w:val="16"/>
          <w:lang w:eastAsia="pt-BR"/>
        </w:rPr>
        <w:t xml:space="preserve"> </w:t>
      </w:r>
      <w:r w:rsidR="00402F90">
        <w:rPr>
          <w:rFonts w:ascii="Book Antiqua" w:eastAsia="Times New Roman" w:hAnsi="Book Antiqua" w:cs="Arial"/>
          <w:b/>
          <w:bCs/>
          <w:color w:val="FF0000"/>
          <w:sz w:val="16"/>
          <w:szCs w:val="16"/>
          <w:u w:val="single"/>
          <w:lang w:eastAsia="pt-BR"/>
        </w:rPr>
        <w:t>(TRT15-2013)</w:t>
      </w:r>
      <w:r w:rsidR="00CA1DD2">
        <w:rPr>
          <w:rFonts w:ascii="Book Antiqua" w:eastAsia="Times New Roman" w:hAnsi="Book Antiqua" w:cs="Arial"/>
          <w:b/>
          <w:bCs/>
          <w:color w:val="FF0000"/>
          <w:sz w:val="16"/>
          <w:szCs w:val="16"/>
          <w:lang w:eastAsia="pt-BR"/>
        </w:rPr>
        <w:t xml:space="preserve"> </w:t>
      </w:r>
      <w:r w:rsidR="00CA1DD2" w:rsidRPr="00BD5967">
        <w:rPr>
          <w:rFonts w:ascii="Book Antiqua" w:hAnsi="Book Antiqua"/>
          <w:b/>
          <w:bCs/>
          <w:color w:val="FF0000"/>
          <w:sz w:val="16"/>
          <w:szCs w:val="16"/>
          <w:u w:val="single"/>
        </w:rPr>
        <w:t>(TRT21-2015)</w:t>
      </w:r>
      <w:r w:rsidR="006F3971">
        <w:rPr>
          <w:rFonts w:ascii="Book Antiqua" w:hAnsi="Book Antiqua"/>
          <w:b/>
          <w:bCs/>
          <w:color w:val="FF0000"/>
          <w:sz w:val="16"/>
          <w:szCs w:val="16"/>
        </w:rPr>
        <w:t xml:space="preserve"> </w:t>
      </w:r>
      <w:r w:rsidR="006F3971">
        <w:rPr>
          <w:rFonts w:ascii="Book Antiqua" w:hAnsi="Book Antiqua"/>
          <w:b/>
          <w:bCs/>
          <w:color w:val="FF0000"/>
          <w:sz w:val="16"/>
          <w:szCs w:val="16"/>
          <w:u w:val="single"/>
        </w:rPr>
        <w:t>(MPT-2024)</w:t>
      </w:r>
    </w:p>
    <w:tbl>
      <w:tblPr>
        <w:tblStyle w:val="Tabelacomgrade"/>
        <w:tblW w:w="0" w:type="auto"/>
        <w:tblLook w:val="04A0" w:firstRow="1" w:lastRow="0" w:firstColumn="1" w:lastColumn="0" w:noHBand="0" w:noVBand="1"/>
      </w:tblPr>
      <w:tblGrid>
        <w:gridCol w:w="8494"/>
      </w:tblGrid>
      <w:tr w:rsidR="00843597" w14:paraId="2EEC5C54" w14:textId="77777777" w:rsidTr="00843597">
        <w:tc>
          <w:tcPr>
            <w:tcW w:w="8494" w:type="dxa"/>
            <w:shd w:val="clear" w:color="auto" w:fill="CCFFFF"/>
          </w:tcPr>
          <w:p w14:paraId="747B07EF" w14:textId="1E8D94A8" w:rsidR="00843597" w:rsidRPr="00843597" w:rsidRDefault="00843597" w:rsidP="0084359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43597">
              <w:rPr>
                <w:rFonts w:ascii="Book Antiqua" w:eastAsia="Times New Roman" w:hAnsi="Book Antiqua" w:cs="Arial"/>
                <w:b/>
                <w:bCs/>
                <w:color w:val="000000"/>
                <w:sz w:val="19"/>
                <w:szCs w:val="19"/>
                <w:highlight w:val="yellow"/>
                <w:lang w:eastAsia="pt-BR"/>
              </w:rPr>
              <w:t>TRF1-2013-CESPE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43597">
              <w:rPr>
                <w:rFonts w:ascii="Book Antiqua" w:eastAsia="Times New Roman" w:hAnsi="Book Antiqua" w:cs="Arial"/>
                <w:color w:val="000000"/>
                <w:sz w:val="19"/>
                <w:szCs w:val="19"/>
                <w:lang w:eastAsia="pt-BR"/>
              </w:rPr>
              <w:t>Quanto ao MERCOSUL, assinale a opção correta</w:t>
            </w:r>
            <w:r>
              <w:rPr>
                <w:rFonts w:ascii="Book Antiqua" w:eastAsia="Times New Roman" w:hAnsi="Book Antiqua" w:cs="Arial"/>
                <w:color w:val="000000"/>
                <w:sz w:val="19"/>
                <w:szCs w:val="19"/>
                <w:lang w:eastAsia="pt-BR"/>
              </w:rPr>
              <w:t xml:space="preserve">: </w:t>
            </w:r>
            <w:r w:rsidRPr="00843597">
              <w:rPr>
                <w:rFonts w:ascii="Book Antiqua" w:eastAsia="Times New Roman" w:hAnsi="Book Antiqua" w:cs="Arial"/>
                <w:color w:val="000000"/>
                <w:sz w:val="19"/>
                <w:szCs w:val="19"/>
                <w:lang w:eastAsia="pt-BR"/>
              </w:rPr>
              <w:t>Os particulares, sejam pessoas físicas ou jurídicas, que se sintam prejudicados em decorrência da aplicação, por qualquer dos Estados-partes do MERCOSUL, de medidas administrativas de efeito restritivo, em infração ao Tratado de Assunção, deverão formalizar suas reclamações ante a seção nacional do Grupo Mercado Comum do país sede de seus negócios ou onde tenham sua residência habitual.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arts. 39 e 40 do Protocolo.</w:t>
            </w:r>
          </w:p>
        </w:tc>
      </w:tr>
    </w:tbl>
    <w:p w14:paraId="3760445E" w14:textId="77777777" w:rsidR="005C1B9A" w:rsidRPr="005C1B9A" w:rsidRDefault="005C1B9A" w:rsidP="0084359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Os particulares deverão fornecer elementos que permitam determinar a veracidade da violação e a existência ou ameaça de um prejuízo, para que a reclamação seja admitida pela Seção Nacional e para que seja avaliada pelo Grupo Mercado Comum e pelo grupo de especialistas, se for convocado.</w:t>
      </w:r>
    </w:p>
    <w:p w14:paraId="032BAC4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41</w:t>
      </w:r>
    </w:p>
    <w:p w14:paraId="3D7E043A"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Procedimento</w:t>
      </w:r>
    </w:p>
    <w:p w14:paraId="26750163"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A menos que a reclamação se refira a uma questão que tenha motivado o início de um procedimento de Solução de Controvérsias de acordo com os Capítulos IV a VII deste Protocolo, a Seção Nacional do Grupo Mercado Comum que tenha admitido a reclamação conforme o artigo 40 do presente Capítulo deverá entabular consultas com a Seção Nacional do Grupo Mercado Comum do Estado Parte a que se atribui a violação, a fim de buscar, mediante as consultas, uma solução imediata à questão levantada. Tais consultas se darão por concluídas automaticamente e sem mais trâmites se a questão não tiver sido resolvida em um prazo de quinze (15) dias contado a partir da comunicação da reclamação ao Estado Parte a que se atribui a violação, salvo se as partes decidirem outro prazo.</w:t>
      </w:r>
    </w:p>
    <w:p w14:paraId="71C2F50D"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Finalizadas as consultas, sem que se tenha alcançado uma solução, a Seção Nacional do Grupo Mercado Comum elevará a reclamação sem mais trâmite ao Grupo Mercado Comum.</w:t>
      </w:r>
    </w:p>
    <w:p w14:paraId="5F3FD581"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42</w:t>
      </w:r>
    </w:p>
    <w:p w14:paraId="2EEE915A"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Intervenção do Grupo Mercado Comum</w:t>
      </w:r>
    </w:p>
    <w:p w14:paraId="114AFB38"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Recebida a reclamação, o Grupo Mercado Comum avaliará os requisitos estabelecidos no artigo 40.2, sobre os quais se baseou sua admissão pela Seção Nacional, na primeira reunião subseqüente ao seu recebimento. Se concluir que não estão reunidos os requisitos necessários para dar-lhe curso, rejeitará a reclamação sem mais trâmite, devendo pronunciar-se por consenso.</w:t>
      </w:r>
    </w:p>
    <w:p w14:paraId="04945ECD"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Se o Grupo Mercado Comum não rejeitar a reclamação, esta considerar-se-á admitida. Neste caso, o Grupo Mercado Comum procederá de imediato à convocação de um grupo de especialistas que deverá emitir um parecer sobre sua procedência, no prazo improrrogável de trinta (30) dias contado a partir da sua designação.</w:t>
      </w:r>
    </w:p>
    <w:p w14:paraId="4B058E94"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3. Nesse prazo, o grupo de especialistas dará oportunidade ao particular reclamante e aos Estados envolvidos na reclamação de serem ouvidos e de apresentarem seus argumentos, em audiência conjunta.</w:t>
      </w:r>
    </w:p>
    <w:p w14:paraId="2F3B8EC5"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43</w:t>
      </w:r>
    </w:p>
    <w:p w14:paraId="1AE0EE97"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Grupo de Especialistas</w:t>
      </w:r>
    </w:p>
    <w:p w14:paraId="422DD439"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 grupo de especialistas a que faz referência o artigo 42.2 será composto de três (3) membros designados pelo Grupo Mercado Comum ou, na falta de acordo sobre um ou mais especialistas, estes serão escolhidos por votação que os Estados Partes realizarão dentre os integrantes de uma lista de vinte e quatro (24) especialistas. A Secretaria Administrativa do MERCOSUL comunicará ao Grupo Mercado Comum o nome do especialista ou dos especialistas que tiverem recebido o maior número de votos. Neste último caso, e salvo se o Grupo Mercado Comum decidir de outra maneira, um (1) dos especialistas designados não poderá ser nacional do Estado contra o qual foi formulada a reclamação, nem do Estado no qual o particular formalizou sua reclamação, nos termos do artigo 40.</w:t>
      </w:r>
    </w:p>
    <w:p w14:paraId="73335F7A"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Com o fim de constituir a lista dos especialistas, cada um dos Estados Partes designará seis (6) pessoas de reconhecida competência nas questões que possam ser objeto de reclamação. Esta lista ficará registrada na Secretaria Administrativa do MERCOSUL.</w:t>
      </w:r>
    </w:p>
    <w:p w14:paraId="14E2C42F"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Os gastos derivados da atuação do grupo de especialistas serão custeados na proporção que determinar o Grupo Mercado Comum ou, na falta de acordo, em montantes iguais pelas partes diretamente envolvidas na reclamação.</w:t>
      </w:r>
    </w:p>
    <w:p w14:paraId="5A8CF21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44</w:t>
      </w:r>
    </w:p>
    <w:p w14:paraId="6C309DAB"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Parecer do Grupo de Especialistas</w:t>
      </w:r>
    </w:p>
    <w:p w14:paraId="201D9B3D"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 grupo de especialistas elevará seu parecer ao Grupo Mercado Comum.</w:t>
      </w:r>
    </w:p>
    <w:p w14:paraId="2AD93F37"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 Se, em parecer unânime, se verificar a procedência da reclamação formulada contra um Estado Parte, qualquer outro Estado Parte poderá requerer-lhe a adoção de medidas corretivas ou a anulação das medidas questionadas. Se o requerimento não prosperar num prazo de quinze (15) dias, o Estado Parte que o efetuou poderá recorrer diretamente ao procedimento arbitral, nas condições estabelecidas no Capítulo VI do presente Protocolo.</w:t>
      </w:r>
    </w:p>
    <w:p w14:paraId="6B5AE277"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 Recebido um parecer que considere improcedente a reclamação por unanimidade, o Grupo Mercado Comum imediatamente dará por concluída a mesma no âmbito do presente Capítulo.</w:t>
      </w:r>
    </w:p>
    <w:p w14:paraId="18AEE5FF"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iii) Caso o grupo de especialistas não alcance unanimidade para emitir um parecer, elevará suas distintas conclusões ao Grupo Mercado Comum que, imediatamente, dará por concluída a reclamação no âmbito do presente Capítulo.</w:t>
      </w:r>
    </w:p>
    <w:p w14:paraId="08BA175F"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A conclusão da reclamação por parte do Grupo Mercado Comum, nos termos das alíneas (ii) e (iii) do numeral anterior, não impedirá que o Estado Parte reclamante dê início aos procedimentos previstos nos Capítulos IV a VI do presente Protocolo.</w:t>
      </w:r>
    </w:p>
    <w:p w14:paraId="661F3FA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XII</w:t>
      </w:r>
    </w:p>
    <w:p w14:paraId="57DA911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Disposições Gerais</w:t>
      </w:r>
    </w:p>
    <w:p w14:paraId="76FDC10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45</w:t>
      </w:r>
    </w:p>
    <w:p w14:paraId="7FE30BE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Acordo ou Desistência</w:t>
      </w:r>
    </w:p>
    <w:p w14:paraId="444D499B"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xml:space="preserve">        Em qualquer fase dos procedimentos, a parte que apresentou a controvérsia ou a reclamação poderá desistir das mesmas, ou as partes envolvidas no caso poderão chegar a um acordo dando-se </w:t>
      </w:r>
      <w:r w:rsidRPr="005C1B9A">
        <w:rPr>
          <w:rFonts w:ascii="Book Antiqua" w:eastAsia="Times New Roman" w:hAnsi="Book Antiqua" w:cs="Arial"/>
          <w:color w:val="000000"/>
          <w:sz w:val="19"/>
          <w:szCs w:val="19"/>
          <w:lang w:eastAsia="pt-BR"/>
        </w:rPr>
        <w:lastRenderedPageBreak/>
        <w:t>por concluída a controvérsia ou a reclamação, em ambos os casos. As desistências e acordos deverão ser comunicados por intermédio da Secretaria Administrativa do MERCOSUL ao Grupo Mercado Comum, ou ao Tribunal que corresponda, conforme o caso.</w:t>
      </w:r>
    </w:p>
    <w:p w14:paraId="640D964C"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46</w:t>
      </w:r>
    </w:p>
    <w:p w14:paraId="784BDD6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Confidencialidade</w:t>
      </w:r>
    </w:p>
    <w:p w14:paraId="117921DE"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Todos os documentos apresentados no âmbito dos procedimentos previstos neste Protocolo são de caráter reservado às partes na controvérsia, à exceção dos laudos arbitrais.</w:t>
      </w:r>
    </w:p>
    <w:p w14:paraId="6F1501B6"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A critério da Seção Nacional do Grupo Mercado Comum de cada Estado Parte e quando isso seja necessário para a elaboração das posições a serem apresentadas ante o Tribunal, esses documentos poderão ser dados a conhecer, exclusivamente, aos setores com interesse na questão.</w:t>
      </w:r>
    </w:p>
    <w:p w14:paraId="13EF8893"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Não obstante o estabelecido no numeral 1, o Conselho do Mercado Comum regulamentará a modalidade de divulgação dos textos e apresentações relativos a controvérsias já concluídas.</w:t>
      </w:r>
    </w:p>
    <w:p w14:paraId="675720C7"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47</w:t>
      </w:r>
    </w:p>
    <w:p w14:paraId="14916709"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Regulamentação</w:t>
      </w:r>
    </w:p>
    <w:p w14:paraId="292A7799"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 Conselho do Mercado Comum aprovará a regulamentação do presente Protocolo no prazo de sessenta (60) dias a partir de sua entrada em vigência.</w:t>
      </w:r>
    </w:p>
    <w:p w14:paraId="5D3AEC51"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48</w:t>
      </w:r>
    </w:p>
    <w:p w14:paraId="3888C10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Prazos</w:t>
      </w:r>
    </w:p>
    <w:p w14:paraId="716329EC"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Todos os prazos estabelecidos no presente Protocolo são peremptórios e serão contados por dias corridos a partir do dia seguinte ao ato ou fato a que se referem. Não obstante, se o vencimento do prazo para apresentar um texto ou cumprir uma diligência não ocorrer em dia útil na sede da Secretaria Administrativa do MERCOSUL, a apresentação do texto ou cumprimento da diligência poderão ser feitos no primeiro dia útil imediatamente posterior a essa data.</w:t>
      </w:r>
    </w:p>
    <w:p w14:paraId="044C3BE6"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Não obstante o estabelecido no numeral anterior, todos os prazos previstos no presente Protocolo poderão ser modificados de comum acordo pelas partes na controvérsia. Os prazos previstos para os procedimentos tramitados ante os Tribunais Arbitrais Ad Hoc e ante o Tribunal Permanente de Revisão poderão ser modificados quando as partes na controvérsia o solicitem ao respectivo Tribunal e este o conceda.</w:t>
      </w:r>
    </w:p>
    <w:p w14:paraId="7BA28F1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XIII</w:t>
      </w:r>
    </w:p>
    <w:p w14:paraId="2658497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Disposições Transitórias</w:t>
      </w:r>
    </w:p>
    <w:p w14:paraId="2407011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49</w:t>
      </w:r>
    </w:p>
    <w:p w14:paraId="3BC2C027"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Notificações Iniciais</w:t>
      </w:r>
    </w:p>
    <w:p w14:paraId="3952735B"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Os Estados Partes realizarão as primeiras designações e notificações previstas nos artigos 11, 18 e 43.2 em um prazo de trinta (30) dias, contado a partir da entrada em vigor do presente Protocolo.</w:t>
      </w:r>
    </w:p>
    <w:p w14:paraId="2B204612"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50</w:t>
      </w:r>
    </w:p>
    <w:p w14:paraId="102CFC7B"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Controvérsias em Trâmite</w:t>
      </w:r>
    </w:p>
    <w:p w14:paraId="28DEA94A"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lastRenderedPageBreak/>
        <w:t>        As controvérsias em trâmite iniciadas de acordo com o regime do Protocolo de Brasília continuarão a ser regidas exclusivamente pelo mesmo até sua total conclusão.</w:t>
      </w:r>
    </w:p>
    <w:p w14:paraId="011154FA"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51</w:t>
      </w:r>
    </w:p>
    <w:p w14:paraId="10F5AD2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Regras de Procedimento</w:t>
      </w:r>
    </w:p>
    <w:p w14:paraId="3C014D39"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 Tribunal Permanente de Revisão adotará suas próprias regras de procedimento no prazo de trinta (30) dias, contado a partir de sua constituição, as quais deverão ser aprovadas pelo Conselho do Mercado Comum.</w:t>
      </w:r>
    </w:p>
    <w:p w14:paraId="18FC59B1"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Os Tribunais Arbitrais Ad Hoc adotarão suas próprias regras de procedimento, tomando como referência as Regras Modelos a serem aprovadas pelo Conselho do Mercado Comum.</w:t>
      </w:r>
    </w:p>
    <w:p w14:paraId="24098C28"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As regras mencionadas nos numerais precedentes deste artigo garantirão que cada uma das partes na controvérsia tenha plena oportunidade de ser ouvida e de apresentar seus argumentos e assegurarão que os processos se realizem de forma expedita.</w:t>
      </w:r>
    </w:p>
    <w:p w14:paraId="1D529E7E"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Capítulo XIV</w:t>
      </w:r>
    </w:p>
    <w:p w14:paraId="059717F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Disposições Finais</w:t>
      </w:r>
    </w:p>
    <w:p w14:paraId="107E8665"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52</w:t>
      </w:r>
    </w:p>
    <w:p w14:paraId="60F67E3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Vigência e depósito</w:t>
      </w:r>
    </w:p>
    <w:p w14:paraId="6B562182"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1. O presente Protocolo, parte integrante do Tratado de Assunção, entrará em vigor no trigésimo dia a partir da data em que tenha sido depositado o quarto instrumento de ratificação.</w:t>
      </w:r>
    </w:p>
    <w:p w14:paraId="62506445"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A República do Paraguai será depositária do presente Protocolo e dos instrumentos de ratificação e notificará aos demais Estados Partes a data de depósito desses instrumentos, enviando cópia devidamente autenticada deste Protocolo ao demais Estados Partes.</w:t>
      </w:r>
    </w:p>
    <w:p w14:paraId="4123A892"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53</w:t>
      </w:r>
    </w:p>
    <w:p w14:paraId="1006CC66"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Revisão do Sistema</w:t>
      </w:r>
    </w:p>
    <w:p w14:paraId="6FDC12FC"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Antes de culminar o processo de convergência da tarifa externa comum, os Estados Partes efetuarão uma revisão do atual sistema de solução de controvérsias, com vistas à adoção do Sistema Permanente de Solução de Controvérsias para o Mercado Comum a que se refere o numeral 3 do Anexo III do Tratado de Assunção.</w:t>
      </w:r>
    </w:p>
    <w:p w14:paraId="68D134A5" w14:textId="77777777" w:rsidR="005C1B9A" w:rsidRPr="008253E2"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8253E2">
        <w:rPr>
          <w:rFonts w:ascii="Book Antiqua" w:eastAsia="Times New Roman" w:hAnsi="Book Antiqua" w:cs="Arial"/>
          <w:b/>
          <w:bCs/>
          <w:color w:val="000000"/>
          <w:sz w:val="19"/>
          <w:szCs w:val="19"/>
          <w:highlight w:val="magenta"/>
          <w:lang w:eastAsia="pt-BR"/>
        </w:rPr>
        <w:t>Artigo 54</w:t>
      </w:r>
    </w:p>
    <w:p w14:paraId="3CDD9BBF"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Adesão ou Denúncia Ipso Jure</w:t>
      </w:r>
    </w:p>
    <w:p w14:paraId="1CACC741" w14:textId="77777777" w:rsidR="005C1B9A" w:rsidRPr="005C1B9A" w:rsidRDefault="005C1B9A" w:rsidP="008253E2">
      <w:pPr>
        <w:spacing w:before="100" w:beforeAutospacing="1" w:after="100" w:afterAutospacing="1" w:line="240" w:lineRule="auto"/>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A adesão ao Tratado de Assunção significará ipso jure a adesão ao presente Protocolo.</w:t>
      </w:r>
    </w:p>
    <w:p w14:paraId="2B64CC6D" w14:textId="4B8E68A2" w:rsidR="005C1B9A" w:rsidRPr="00F07B48" w:rsidRDefault="005C1B9A" w:rsidP="008253E2">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8D0449">
        <w:rPr>
          <w:rFonts w:ascii="Book Antiqua" w:eastAsia="Times New Roman" w:hAnsi="Book Antiqua" w:cs="Arial"/>
          <w:b/>
          <w:bCs/>
          <w:color w:val="000000"/>
          <w:sz w:val="19"/>
          <w:szCs w:val="19"/>
          <w:lang w:eastAsia="pt-BR"/>
        </w:rPr>
        <w:t>        A denúncia do presente Protocolo significará ipso jure a denúncia do Tratado de Assunção</w:t>
      </w:r>
      <w:r w:rsidRPr="00F07B48">
        <w:rPr>
          <w:rFonts w:ascii="Book Antiqua" w:eastAsia="Times New Roman" w:hAnsi="Book Antiqua" w:cs="Arial"/>
          <w:b/>
          <w:bCs/>
          <w:color w:val="000000"/>
          <w:sz w:val="16"/>
          <w:szCs w:val="16"/>
          <w:lang w:eastAsia="pt-BR"/>
        </w:rPr>
        <w:t>.</w:t>
      </w:r>
      <w:r w:rsidR="008253E2" w:rsidRPr="00F07B48">
        <w:rPr>
          <w:rFonts w:ascii="Book Antiqua" w:eastAsia="Times New Roman" w:hAnsi="Book Antiqua" w:cs="Arial"/>
          <w:b/>
          <w:bCs/>
          <w:color w:val="000000"/>
          <w:sz w:val="16"/>
          <w:szCs w:val="16"/>
          <w:lang w:eastAsia="pt-BR"/>
        </w:rPr>
        <w:t xml:space="preserve"> </w:t>
      </w:r>
      <w:r w:rsidR="008253E2" w:rsidRPr="00F07B48">
        <w:rPr>
          <w:rFonts w:ascii="Book Antiqua" w:eastAsia="Times New Roman" w:hAnsi="Book Antiqua" w:cs="Arial"/>
          <w:b/>
          <w:bCs/>
          <w:color w:val="FF0000"/>
          <w:sz w:val="16"/>
          <w:szCs w:val="16"/>
          <w:u w:val="single"/>
          <w:lang w:eastAsia="pt-BR"/>
        </w:rPr>
        <w:t>(TRF3-2011)</w:t>
      </w:r>
    </w:p>
    <w:p w14:paraId="550333D5"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5C1B9A">
        <w:rPr>
          <w:rFonts w:ascii="Book Antiqua" w:eastAsia="Times New Roman" w:hAnsi="Book Antiqua" w:cs="Arial"/>
          <w:b/>
          <w:bCs/>
          <w:color w:val="000000"/>
          <w:sz w:val="19"/>
          <w:szCs w:val="19"/>
          <w:highlight w:val="magenta"/>
          <w:lang w:eastAsia="pt-BR"/>
        </w:rPr>
        <w:t>Artigo 55</w:t>
      </w:r>
    </w:p>
    <w:p w14:paraId="76E86218"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Derrogação</w:t>
      </w:r>
    </w:p>
    <w:p w14:paraId="4C082C41" w14:textId="419CABBE" w:rsidR="005C1B9A" w:rsidRPr="00F07B48" w:rsidRDefault="005C1B9A" w:rsidP="005C1B9A">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5C1B9A">
        <w:rPr>
          <w:rFonts w:ascii="Book Antiqua" w:eastAsia="Times New Roman" w:hAnsi="Book Antiqua" w:cs="Arial"/>
          <w:color w:val="000000"/>
          <w:sz w:val="19"/>
          <w:szCs w:val="19"/>
          <w:lang w:eastAsia="pt-BR"/>
        </w:rPr>
        <w:t>       </w:t>
      </w:r>
      <w:r w:rsidRPr="008D0449">
        <w:rPr>
          <w:rFonts w:ascii="Book Antiqua" w:eastAsia="Times New Roman" w:hAnsi="Book Antiqua" w:cs="Arial"/>
          <w:b/>
          <w:bCs/>
          <w:color w:val="000000"/>
          <w:sz w:val="19"/>
          <w:szCs w:val="19"/>
          <w:lang w:eastAsia="pt-BR"/>
        </w:rPr>
        <w:t xml:space="preserve"> </w:t>
      </w:r>
      <w:r w:rsidRPr="008D0449">
        <w:rPr>
          <w:rFonts w:ascii="Book Antiqua" w:eastAsia="Times New Roman" w:hAnsi="Book Antiqua" w:cs="Arial"/>
          <w:b/>
          <w:bCs/>
          <w:color w:val="000000"/>
          <w:sz w:val="19"/>
          <w:szCs w:val="19"/>
          <w:highlight w:val="magenta"/>
          <w:lang w:eastAsia="pt-BR"/>
        </w:rPr>
        <w:t>1</w:t>
      </w:r>
      <w:r w:rsidRPr="005C1B9A">
        <w:rPr>
          <w:rFonts w:ascii="Book Antiqua" w:eastAsia="Times New Roman" w:hAnsi="Book Antiqua" w:cs="Arial"/>
          <w:color w:val="000000"/>
          <w:sz w:val="19"/>
          <w:szCs w:val="19"/>
          <w:lang w:eastAsia="pt-BR"/>
        </w:rPr>
        <w:t xml:space="preserve">. </w:t>
      </w:r>
      <w:r w:rsidRPr="0050760C">
        <w:rPr>
          <w:rFonts w:ascii="Book Antiqua" w:eastAsia="Times New Roman" w:hAnsi="Book Antiqua" w:cs="Arial"/>
          <w:b/>
          <w:bCs/>
          <w:color w:val="000000"/>
          <w:sz w:val="19"/>
          <w:szCs w:val="19"/>
          <w:lang w:eastAsia="pt-BR"/>
        </w:rPr>
        <w:t xml:space="preserve">O presente Protocolo </w:t>
      </w:r>
      <w:r w:rsidRPr="0050760C">
        <w:rPr>
          <w:rFonts w:ascii="Book Antiqua" w:eastAsia="Times New Roman" w:hAnsi="Book Antiqua" w:cs="Arial"/>
          <w:b/>
          <w:bCs/>
          <w:caps/>
          <w:color w:val="000000"/>
          <w:sz w:val="19"/>
          <w:szCs w:val="19"/>
          <w:highlight w:val="green"/>
          <w:lang w:eastAsia="pt-BR"/>
        </w:rPr>
        <w:t>derroga</w:t>
      </w:r>
      <w:r w:rsidRPr="0050760C">
        <w:rPr>
          <w:rFonts w:ascii="Book Antiqua" w:eastAsia="Times New Roman" w:hAnsi="Book Antiqua" w:cs="Arial"/>
          <w:b/>
          <w:bCs/>
          <w:color w:val="000000"/>
          <w:sz w:val="19"/>
          <w:szCs w:val="19"/>
          <w:lang w:eastAsia="pt-BR"/>
        </w:rPr>
        <w:t xml:space="preserve">, </w:t>
      </w:r>
      <w:r w:rsidRPr="0050760C">
        <w:rPr>
          <w:rFonts w:ascii="Book Antiqua" w:eastAsia="Times New Roman" w:hAnsi="Book Antiqua" w:cs="Arial"/>
          <w:b/>
          <w:bCs/>
          <w:color w:val="000000"/>
          <w:sz w:val="19"/>
          <w:szCs w:val="19"/>
          <w:highlight w:val="cyan"/>
          <w:lang w:eastAsia="pt-BR"/>
        </w:rPr>
        <w:t>a partir de sua entrada em vigência</w:t>
      </w:r>
      <w:r w:rsidRPr="0050760C">
        <w:rPr>
          <w:rFonts w:ascii="Book Antiqua" w:eastAsia="Times New Roman" w:hAnsi="Book Antiqua" w:cs="Arial"/>
          <w:b/>
          <w:bCs/>
          <w:color w:val="000000"/>
          <w:sz w:val="19"/>
          <w:szCs w:val="19"/>
          <w:lang w:eastAsia="pt-BR"/>
        </w:rPr>
        <w:t xml:space="preserve">, o </w:t>
      </w:r>
      <w:r w:rsidRPr="0050760C">
        <w:rPr>
          <w:rFonts w:ascii="Book Antiqua" w:eastAsia="Times New Roman" w:hAnsi="Book Antiqua" w:cs="Arial"/>
          <w:b/>
          <w:bCs/>
          <w:color w:val="000000"/>
          <w:sz w:val="19"/>
          <w:szCs w:val="19"/>
          <w:highlight w:val="yellow"/>
          <w:lang w:eastAsia="pt-BR"/>
        </w:rPr>
        <w:t>Protocolo de Brasília para a Solução de Controvérsias</w:t>
      </w:r>
      <w:r w:rsidRPr="0050760C">
        <w:rPr>
          <w:rFonts w:ascii="Book Antiqua" w:eastAsia="Times New Roman" w:hAnsi="Book Antiqua" w:cs="Arial"/>
          <w:b/>
          <w:bCs/>
          <w:color w:val="000000"/>
          <w:sz w:val="19"/>
          <w:szCs w:val="19"/>
          <w:lang w:eastAsia="pt-BR"/>
        </w:rPr>
        <w:t xml:space="preserve">, adotado em 17 de dezembro de 1991 e </w:t>
      </w:r>
      <w:r w:rsidRPr="0050760C">
        <w:rPr>
          <w:rFonts w:ascii="Book Antiqua" w:eastAsia="Times New Roman" w:hAnsi="Book Antiqua" w:cs="Arial"/>
          <w:b/>
          <w:bCs/>
          <w:color w:val="000000"/>
          <w:sz w:val="19"/>
          <w:szCs w:val="19"/>
          <w:highlight w:val="yellow"/>
          <w:lang w:eastAsia="pt-BR"/>
        </w:rPr>
        <w:t>o Regulamento do Protocolo de Brasília</w:t>
      </w:r>
      <w:r w:rsidRPr="0050760C">
        <w:rPr>
          <w:rFonts w:ascii="Book Antiqua" w:eastAsia="Times New Roman" w:hAnsi="Book Antiqua" w:cs="Arial"/>
          <w:b/>
          <w:bCs/>
          <w:color w:val="000000"/>
          <w:sz w:val="19"/>
          <w:szCs w:val="19"/>
          <w:lang w:eastAsia="pt-BR"/>
        </w:rPr>
        <w:t>, aprovado pela Decisão CMC 17/98</w:t>
      </w:r>
      <w:r w:rsidRPr="00F07B48">
        <w:rPr>
          <w:rFonts w:ascii="Book Antiqua" w:eastAsia="Times New Roman" w:hAnsi="Book Antiqua" w:cs="Arial"/>
          <w:color w:val="000000"/>
          <w:sz w:val="16"/>
          <w:szCs w:val="16"/>
          <w:lang w:eastAsia="pt-BR"/>
        </w:rPr>
        <w:t xml:space="preserve">. </w:t>
      </w:r>
      <w:r w:rsidRPr="00F07B48">
        <w:rPr>
          <w:rFonts w:ascii="Book Antiqua" w:eastAsia="Times New Roman" w:hAnsi="Book Antiqua" w:cs="Arial"/>
          <w:b/>
          <w:bCs/>
          <w:color w:val="FF0000"/>
          <w:sz w:val="16"/>
          <w:szCs w:val="16"/>
          <w:u w:val="single"/>
          <w:lang w:eastAsia="pt-BR"/>
        </w:rPr>
        <w:t>(TRF1-2009)</w:t>
      </w:r>
      <w:r w:rsidR="008253E2" w:rsidRPr="00F07B48">
        <w:rPr>
          <w:rFonts w:ascii="Book Antiqua" w:eastAsia="Times New Roman" w:hAnsi="Book Antiqua" w:cs="Arial"/>
          <w:b/>
          <w:bCs/>
          <w:color w:val="FF0000"/>
          <w:sz w:val="16"/>
          <w:szCs w:val="16"/>
          <w:lang w:eastAsia="pt-BR"/>
        </w:rPr>
        <w:t xml:space="preserve"> </w:t>
      </w:r>
      <w:r w:rsidR="008253E2" w:rsidRPr="00F07B48">
        <w:rPr>
          <w:rFonts w:ascii="Book Antiqua" w:eastAsia="Times New Roman" w:hAnsi="Book Antiqua" w:cs="Arial"/>
          <w:b/>
          <w:bCs/>
          <w:color w:val="FF0000"/>
          <w:sz w:val="16"/>
          <w:szCs w:val="16"/>
          <w:u w:val="single"/>
          <w:lang w:eastAsia="pt-BR"/>
        </w:rPr>
        <w:t>(TRF3-2011)</w:t>
      </w:r>
      <w:r w:rsidR="00402F90">
        <w:rPr>
          <w:rFonts w:ascii="Book Antiqua" w:eastAsia="Times New Roman" w:hAnsi="Book Antiqua" w:cs="Arial"/>
          <w:b/>
          <w:bCs/>
          <w:color w:val="FF0000"/>
          <w:sz w:val="16"/>
          <w:szCs w:val="16"/>
          <w:lang w:eastAsia="pt-BR"/>
        </w:rPr>
        <w:t xml:space="preserve"> </w:t>
      </w:r>
      <w:bookmarkStart w:id="4" w:name="_Hlk158122236"/>
      <w:r w:rsidR="00402F90">
        <w:rPr>
          <w:rFonts w:ascii="Book Antiqua" w:eastAsia="Times New Roman" w:hAnsi="Book Antiqua" w:cs="Arial"/>
          <w:b/>
          <w:bCs/>
          <w:color w:val="FF0000"/>
          <w:sz w:val="16"/>
          <w:szCs w:val="16"/>
          <w:u w:val="single"/>
          <w:lang w:eastAsia="pt-BR"/>
        </w:rPr>
        <w:t>(TRT15-2013)</w:t>
      </w:r>
      <w:bookmarkEnd w:id="4"/>
      <w:r w:rsidR="008D0449" w:rsidRPr="00F07B48">
        <w:rPr>
          <w:rFonts w:ascii="Book Antiqua" w:eastAsia="Times New Roman" w:hAnsi="Book Antiqua" w:cs="Arial"/>
          <w:b/>
          <w:bCs/>
          <w:color w:val="FF0000"/>
          <w:sz w:val="16"/>
          <w:szCs w:val="16"/>
          <w:lang w:eastAsia="pt-BR"/>
        </w:rPr>
        <w:t xml:space="preserve"> </w:t>
      </w:r>
      <w:bookmarkStart w:id="5" w:name="_Hlk120804980"/>
      <w:r w:rsidR="008D0449" w:rsidRPr="00F07B48">
        <w:rPr>
          <w:rFonts w:ascii="Book Antiqua" w:hAnsi="Book Antiqua"/>
          <w:b/>
          <w:color w:val="FF0000"/>
          <w:sz w:val="16"/>
          <w:szCs w:val="16"/>
          <w:u w:val="single"/>
        </w:rPr>
        <w:t>(PFN-2015)</w:t>
      </w:r>
      <w:bookmarkEnd w:id="5"/>
    </w:p>
    <w:tbl>
      <w:tblPr>
        <w:tblStyle w:val="Tabelacomgrade"/>
        <w:tblW w:w="0" w:type="auto"/>
        <w:tblLook w:val="04A0" w:firstRow="1" w:lastRow="0" w:firstColumn="1" w:lastColumn="0" w:noHBand="0" w:noVBand="1"/>
      </w:tblPr>
      <w:tblGrid>
        <w:gridCol w:w="8494"/>
      </w:tblGrid>
      <w:tr w:rsidR="005C1B9A" w14:paraId="23DAFA23" w14:textId="77777777" w:rsidTr="009E5368">
        <w:tc>
          <w:tcPr>
            <w:tcW w:w="8494" w:type="dxa"/>
            <w:shd w:val="clear" w:color="auto" w:fill="CCFFFF"/>
          </w:tcPr>
          <w:p w14:paraId="2A867E5C" w14:textId="0A7CE908" w:rsidR="00402F90" w:rsidRDefault="00402F90" w:rsidP="009E5368">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TRT15-2013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Sobre o Protocolo de Olivos, relativo ao MERCOSUL, assinale a al</w:t>
            </w:r>
            <w:r>
              <w:rPr>
                <w:rFonts w:ascii="Book Antiqua" w:eastAsia="Times New Roman" w:hAnsi="Book Antiqua" w:cs="Arial"/>
                <w:color w:val="000000"/>
                <w:sz w:val="19"/>
                <w:szCs w:val="19"/>
                <w:lang w:eastAsia="pt-BR"/>
              </w:rPr>
              <w:t>tern</w:t>
            </w:r>
            <w:r w:rsidRPr="00402F90">
              <w:rPr>
                <w:rFonts w:ascii="Book Antiqua" w:eastAsia="Times New Roman" w:hAnsi="Book Antiqua" w:cs="Arial"/>
                <w:color w:val="000000"/>
                <w:sz w:val="19"/>
                <w:szCs w:val="19"/>
                <w:lang w:eastAsia="pt-BR"/>
              </w:rPr>
              <w:t>ativa correta:</w:t>
            </w:r>
            <w:r>
              <w:rPr>
                <w:rFonts w:ascii="Book Antiqua" w:eastAsia="Times New Roman" w:hAnsi="Book Antiqua" w:cs="Arial"/>
                <w:color w:val="000000"/>
                <w:sz w:val="19"/>
                <w:szCs w:val="19"/>
                <w:lang w:eastAsia="pt-BR"/>
              </w:rPr>
              <w:t xml:space="preserve"> </w:t>
            </w:r>
            <w:r w:rsidRPr="00402F90">
              <w:rPr>
                <w:rFonts w:ascii="Book Antiqua" w:eastAsia="Times New Roman" w:hAnsi="Book Antiqua" w:cs="Arial"/>
                <w:color w:val="000000"/>
                <w:sz w:val="19"/>
                <w:szCs w:val="19"/>
                <w:lang w:eastAsia="pt-BR"/>
              </w:rPr>
              <w:t>altera o mecanismo de resolução de controvérsias previsto no Protocolo de Brasília.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55, item 1, Protocolo de Olivos.</w:t>
            </w:r>
          </w:p>
          <w:p w14:paraId="7C5D56E1" w14:textId="50AA2627" w:rsidR="005C1B9A" w:rsidRPr="00F24000" w:rsidRDefault="005C1B9A" w:rsidP="009E5368">
            <w:pPr>
              <w:spacing w:before="100" w:beforeAutospacing="1" w:after="100" w:afterAutospacing="1"/>
              <w:jc w:val="both"/>
              <w:rPr>
                <w:rFonts w:ascii="Book Antiqua" w:eastAsia="Times New Roman" w:hAnsi="Book Antiqua" w:cs="Times New Roman"/>
                <w:color w:val="000000"/>
                <w:sz w:val="19"/>
                <w:szCs w:val="19"/>
                <w:lang w:eastAsia="pt-BR"/>
              </w:rPr>
            </w:pPr>
            <w:r w:rsidRPr="00F24000">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highlight w:val="green"/>
                <w:lang w:eastAsia="pt-BR"/>
              </w:rPr>
              <w:t>Atenção</w:t>
            </w:r>
            <w:r w:rsidRPr="00F24000">
              <w:rPr>
                <w:rFonts w:ascii="Book Antiqua" w:eastAsia="Times New Roman" w:hAnsi="Book Antiqua" w:cs="Times New Roman"/>
                <w:b/>
                <w:bCs/>
                <w:i/>
                <w:iCs/>
                <w:color w:val="FF0000"/>
                <w:sz w:val="19"/>
                <w:szCs w:val="19"/>
                <w:lang w:eastAsia="pt-BR"/>
              </w:rPr>
              <w:t>: #</w:t>
            </w:r>
            <w:r w:rsidRPr="00F24000">
              <w:rPr>
                <w:rFonts w:ascii="Book Antiqua" w:eastAsia="Times New Roman" w:hAnsi="Book Antiqua" w:cs="Times New Roman"/>
                <w:b/>
                <w:bCs/>
                <w:i/>
                <w:iCs/>
                <w:color w:val="FF0000"/>
                <w:sz w:val="19"/>
                <w:szCs w:val="19"/>
                <w:highlight w:val="green"/>
                <w:lang w:eastAsia="pt-BR"/>
              </w:rPr>
              <w:t>TRF1-2009</w:t>
            </w:r>
            <w:r w:rsidR="008253E2">
              <w:rPr>
                <w:rFonts w:ascii="Book Antiqua" w:eastAsia="Times New Roman" w:hAnsi="Book Antiqua" w:cs="Times New Roman"/>
                <w:b/>
                <w:bCs/>
                <w:i/>
                <w:iCs/>
                <w:color w:val="FF0000"/>
                <w:sz w:val="19"/>
                <w:szCs w:val="19"/>
                <w:lang w:eastAsia="pt-BR"/>
              </w:rPr>
              <w:t>: #</w:t>
            </w:r>
            <w:r w:rsidR="008253E2" w:rsidRPr="008253E2">
              <w:rPr>
                <w:rFonts w:ascii="Book Antiqua" w:eastAsia="Times New Roman" w:hAnsi="Book Antiqua" w:cs="Times New Roman"/>
                <w:b/>
                <w:bCs/>
                <w:i/>
                <w:iCs/>
                <w:color w:val="FF0000"/>
                <w:sz w:val="19"/>
                <w:szCs w:val="19"/>
                <w:highlight w:val="green"/>
                <w:lang w:eastAsia="pt-BR"/>
              </w:rPr>
              <w:t>TRF3-2011</w:t>
            </w:r>
            <w:r w:rsidRPr="00F24000">
              <w:rPr>
                <w:rFonts w:ascii="Book Antiqua" w:eastAsia="Times New Roman" w:hAnsi="Book Antiqua" w:cs="Times New Roman"/>
                <w:b/>
                <w:bCs/>
                <w:i/>
                <w:iCs/>
                <w:color w:val="FF0000"/>
                <w:sz w:val="19"/>
                <w:szCs w:val="19"/>
                <w:lang w:eastAsia="pt-BR"/>
              </w:rPr>
              <w:t>: #</w:t>
            </w:r>
            <w:r w:rsidRPr="00F2400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O</w:t>
            </w:r>
            <w:r w:rsidRPr="005C1B9A">
              <w:rPr>
                <w:rFonts w:ascii="Book Antiqua" w:eastAsia="Times New Roman" w:hAnsi="Book Antiqua" w:cs="Times New Roman"/>
                <w:color w:val="000000"/>
                <w:sz w:val="19"/>
                <w:szCs w:val="19"/>
                <w:lang w:eastAsia="pt-BR"/>
              </w:rPr>
              <w:t xml:space="preserve"> Protocolo de Brasília foi substituído pelo Protocolo de Olivos, de 2002, o qual deve ser seguido em caso de controvérsia entre os membros do MERCOSUL. Portanto, nos dias atuais, o sistema de controvérsias do Mercosul é regime pelo Protocolo de Olivos.</w:t>
            </w:r>
            <w:r w:rsidRPr="005C1B9A">
              <w:rPr>
                <w:rFonts w:ascii="Book Antiqua" w:hAnsi="Book Antiqua"/>
                <w:sz w:val="19"/>
                <w:szCs w:val="19"/>
              </w:rPr>
              <w:t xml:space="preserve"> Paulo Portela explica que “</w:t>
            </w:r>
            <w:r w:rsidRPr="005C1B9A">
              <w:rPr>
                <w:rFonts w:ascii="Book Antiqua" w:eastAsia="Times New Roman" w:hAnsi="Book Antiqua" w:cs="Times New Roman"/>
                <w:i/>
                <w:iCs/>
                <w:color w:val="000000"/>
                <w:sz w:val="19"/>
                <w:szCs w:val="19"/>
                <w:lang w:eastAsia="pt-BR"/>
              </w:rPr>
              <w:t>em 17/12/1991, foi firmado o Protocolo de Brasília para Solução de Controvérsias no Mercosul (Decreto 922. de 10/09/1991), com o objetivo de estruturar um esquema de composição dos litígios ocorridos dentro do bloco regional. Esse protocolo foi derrogado pelo Protocolo de Olivos para a Solução de Controvérsias, de 2002 ( Decreto 4.982, de 09/02/2004), embora tenha continuado, após essa data, a regular a resolução dos conflitos cujo exame fora iniciado sob sua égide</w:t>
            </w:r>
            <w:r>
              <w:rPr>
                <w:rFonts w:ascii="Book Antiqua" w:eastAsia="Times New Roman" w:hAnsi="Book Antiqua" w:cs="Times New Roman"/>
                <w:i/>
                <w:iCs/>
                <w:color w:val="000000"/>
                <w:sz w:val="19"/>
                <w:szCs w:val="19"/>
                <w:lang w:eastAsia="pt-BR"/>
              </w:rPr>
              <w:t>”</w:t>
            </w:r>
            <w:r w:rsidRPr="005C1B9A">
              <w:rPr>
                <w:rFonts w:ascii="Book Antiqua" w:eastAsia="Times New Roman" w:hAnsi="Book Antiqua" w:cs="Times New Roman"/>
                <w:color w:val="000000"/>
                <w:sz w:val="19"/>
                <w:szCs w:val="19"/>
                <w:lang w:eastAsia="pt-BR"/>
              </w:rPr>
              <w:t>. (PORTELA, 2014, PÁG. 1039).</w:t>
            </w:r>
            <w:r>
              <w:rPr>
                <w:rFonts w:ascii="Book Antiqua" w:eastAsia="Times New Roman" w:hAnsi="Book Antiqua" w:cs="Times New Roman"/>
                <w:color w:val="000000"/>
                <w:sz w:val="19"/>
                <w:szCs w:val="19"/>
                <w:lang w:eastAsia="pt-BR"/>
              </w:rPr>
              <w:t xml:space="preserve"> </w:t>
            </w:r>
          </w:p>
        </w:tc>
      </w:tr>
    </w:tbl>
    <w:p w14:paraId="70968510" w14:textId="77777777" w:rsidR="005C1B9A" w:rsidRPr="005C1B9A" w:rsidRDefault="005C1B9A" w:rsidP="005C1B9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2. Não obstante, enquanto as controvérsias iniciadas sob o regime do Protocolo de Brasília não estejam concluídas totalmente e até se completarem os procedimentos previstos no artigo 49, continuará sendo aplicado, no que corresponda, o Protocolo de Brasília e seu Regulamento.</w:t>
      </w:r>
    </w:p>
    <w:p w14:paraId="597BB3A4" w14:textId="77777777" w:rsidR="005C1B9A" w:rsidRPr="005C1B9A" w:rsidRDefault="005C1B9A" w:rsidP="005C1B9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3. As referências ao Protocolo de Brasília que figuram no Protocolo de Ouro Preto e seu Anexo, entendem-se remetidas, no que corresponda, ao presente Protocolo.</w:t>
      </w:r>
    </w:p>
    <w:p w14:paraId="79A78C17"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Artigo 56</w:t>
      </w:r>
    </w:p>
    <w:p w14:paraId="2BB655A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Idiomas</w:t>
      </w:r>
    </w:p>
    <w:p w14:paraId="0D01A97D"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Serão idiomas oficiais em todos os procedimentos previstos no presente Protocolo o português e o espanhol.</w:t>
      </w:r>
    </w:p>
    <w:p w14:paraId="13CFD982" w14:textId="77777777" w:rsidR="005C1B9A" w:rsidRPr="005C1B9A" w:rsidRDefault="005C1B9A" w:rsidP="0050760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        Feito na cidade de Olivos, Província de Buenos Aires, República Argentina aos dezoito dias do mês de fevereiro de dois mil e dois, em um original, nos idiomas português e espanhol, sendo ambos os textos igualmente autênticos.</w:t>
      </w:r>
    </w:p>
    <w:p w14:paraId="27D81370"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Pela República Argentina:</w:t>
      </w:r>
      <w:r w:rsidRPr="005C1B9A">
        <w:rPr>
          <w:rFonts w:ascii="Book Antiqua" w:eastAsia="Times New Roman" w:hAnsi="Book Antiqua" w:cs="Arial"/>
          <w:color w:val="000000"/>
          <w:sz w:val="19"/>
          <w:szCs w:val="19"/>
          <w:lang w:eastAsia="pt-BR"/>
        </w:rPr>
        <w:br/>
        <w:t>EDUARDO DUHALDE</w:t>
      </w:r>
      <w:r w:rsidRPr="005C1B9A">
        <w:rPr>
          <w:rFonts w:ascii="Book Antiqua" w:eastAsia="Times New Roman" w:hAnsi="Book Antiqua" w:cs="Arial"/>
          <w:color w:val="000000"/>
          <w:sz w:val="19"/>
          <w:szCs w:val="19"/>
          <w:lang w:eastAsia="pt-BR"/>
        </w:rPr>
        <w:br/>
        <w:t>CARLOS RUCKAUF</w:t>
      </w:r>
    </w:p>
    <w:p w14:paraId="276E86E8"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Pela República Federativa do Brasil:</w:t>
      </w:r>
      <w:r w:rsidRPr="005C1B9A">
        <w:rPr>
          <w:rFonts w:ascii="Book Antiqua" w:eastAsia="Times New Roman" w:hAnsi="Book Antiqua" w:cs="Arial"/>
          <w:color w:val="000000"/>
          <w:sz w:val="19"/>
          <w:szCs w:val="19"/>
          <w:lang w:eastAsia="pt-BR"/>
        </w:rPr>
        <w:br/>
        <w:t>FERNANDO HENRIQUE CARDOSO</w:t>
      </w:r>
      <w:r w:rsidRPr="005C1B9A">
        <w:rPr>
          <w:rFonts w:ascii="Book Antiqua" w:eastAsia="Times New Roman" w:hAnsi="Book Antiqua" w:cs="Arial"/>
          <w:color w:val="000000"/>
          <w:sz w:val="19"/>
          <w:szCs w:val="19"/>
          <w:lang w:eastAsia="pt-BR"/>
        </w:rPr>
        <w:br/>
        <w:t>CELSO LAFER</w:t>
      </w:r>
    </w:p>
    <w:p w14:paraId="563A363D"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Pela República do Paraguai:</w:t>
      </w:r>
      <w:r w:rsidRPr="005C1B9A">
        <w:rPr>
          <w:rFonts w:ascii="Book Antiqua" w:eastAsia="Times New Roman" w:hAnsi="Book Antiqua" w:cs="Arial"/>
          <w:color w:val="000000"/>
          <w:sz w:val="19"/>
          <w:szCs w:val="19"/>
          <w:lang w:eastAsia="pt-BR"/>
        </w:rPr>
        <w:br/>
        <w:t>LUIZ GONZALES MACCHI</w:t>
      </w:r>
      <w:r w:rsidRPr="005C1B9A">
        <w:rPr>
          <w:rFonts w:ascii="Book Antiqua" w:eastAsia="Times New Roman" w:hAnsi="Book Antiqua" w:cs="Arial"/>
          <w:color w:val="000000"/>
          <w:sz w:val="19"/>
          <w:szCs w:val="19"/>
          <w:lang w:eastAsia="pt-BR"/>
        </w:rPr>
        <w:br/>
        <w:t>JOSÉ ANTÔNIO MORENO RUFFINELLI</w:t>
      </w:r>
    </w:p>
    <w:p w14:paraId="123FB8B3" w14:textId="77777777" w:rsidR="005C1B9A" w:rsidRPr="005C1B9A" w:rsidRDefault="005C1B9A" w:rsidP="005C1B9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1B9A">
        <w:rPr>
          <w:rFonts w:ascii="Book Antiqua" w:eastAsia="Times New Roman" w:hAnsi="Book Antiqua" w:cs="Arial"/>
          <w:color w:val="000000"/>
          <w:sz w:val="19"/>
          <w:szCs w:val="19"/>
          <w:lang w:eastAsia="pt-BR"/>
        </w:rPr>
        <w:t>Pela República Oriental do Uruguai:</w:t>
      </w:r>
      <w:r w:rsidRPr="005C1B9A">
        <w:rPr>
          <w:rFonts w:ascii="Book Antiqua" w:eastAsia="Times New Roman" w:hAnsi="Book Antiqua" w:cs="Arial"/>
          <w:color w:val="000000"/>
          <w:sz w:val="19"/>
          <w:szCs w:val="19"/>
          <w:lang w:eastAsia="pt-BR"/>
        </w:rPr>
        <w:br/>
        <w:t>JORGE BATTLE IBAÑEZ</w:t>
      </w:r>
      <w:r w:rsidRPr="005C1B9A">
        <w:rPr>
          <w:rFonts w:ascii="Book Antiqua" w:eastAsia="Times New Roman" w:hAnsi="Book Antiqua" w:cs="Arial"/>
          <w:color w:val="000000"/>
          <w:sz w:val="19"/>
          <w:szCs w:val="19"/>
          <w:lang w:eastAsia="pt-BR"/>
        </w:rPr>
        <w:br/>
        <w:t>DIDIER OPERTTI</w:t>
      </w:r>
    </w:p>
    <w:p w14:paraId="24E7BF62" w14:textId="77777777" w:rsidR="00A41961" w:rsidRPr="005C1B9A" w:rsidRDefault="00A41961">
      <w:pPr>
        <w:rPr>
          <w:rFonts w:ascii="Book Antiqua" w:hAnsi="Book Antiqua"/>
          <w:sz w:val="19"/>
          <w:szCs w:val="19"/>
        </w:rPr>
      </w:pPr>
    </w:p>
    <w:sectPr w:rsidR="00A41961" w:rsidRPr="005C1B9A" w:rsidSect="001E0E51">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61"/>
    <w:rsid w:val="001E0E51"/>
    <w:rsid w:val="00391815"/>
    <w:rsid w:val="00402F90"/>
    <w:rsid w:val="00465DC6"/>
    <w:rsid w:val="00483A46"/>
    <w:rsid w:val="004C40C5"/>
    <w:rsid w:val="0050760C"/>
    <w:rsid w:val="00512549"/>
    <w:rsid w:val="005C1B9A"/>
    <w:rsid w:val="005C6FED"/>
    <w:rsid w:val="005F61D8"/>
    <w:rsid w:val="006F3971"/>
    <w:rsid w:val="007104B3"/>
    <w:rsid w:val="007259C0"/>
    <w:rsid w:val="00750938"/>
    <w:rsid w:val="008253E2"/>
    <w:rsid w:val="00843597"/>
    <w:rsid w:val="008D0449"/>
    <w:rsid w:val="008F40B0"/>
    <w:rsid w:val="009B5261"/>
    <w:rsid w:val="00A41961"/>
    <w:rsid w:val="00A60DD6"/>
    <w:rsid w:val="00AC64EB"/>
    <w:rsid w:val="00C369D1"/>
    <w:rsid w:val="00C50691"/>
    <w:rsid w:val="00CA1DD2"/>
    <w:rsid w:val="00D75ABF"/>
    <w:rsid w:val="00DF322F"/>
    <w:rsid w:val="00DF6FDB"/>
    <w:rsid w:val="00DF7C43"/>
    <w:rsid w:val="00E77B21"/>
    <w:rsid w:val="00F07B48"/>
    <w:rsid w:val="00F12D2E"/>
    <w:rsid w:val="00F516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FE52B"/>
  <w15:chartTrackingRefBased/>
  <w15:docId w15:val="{5BF45FD3-34C2-42CD-BBB5-6A283A07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9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C1B9A"/>
    <w:pPr>
      <w:ind w:left="720"/>
      <w:contextualSpacing/>
    </w:pPr>
  </w:style>
  <w:style w:type="table" w:styleId="Tabelacomgrade">
    <w:name w:val="Table Grid"/>
    <w:basedOn w:val="Tabelanormal"/>
    <w:uiPriority w:val="39"/>
    <w:rsid w:val="005C1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04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3%A7ao.htm" TargetMode="External"/><Relationship Id="rId4" Type="http://schemas.openxmlformats.org/officeDocument/2006/relationships/hyperlink" Target="http://legislacao.planalto.gov.br/legisla/legislacao.nsf/Viw_Identificacao/DEC%204.982-200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7720</Words>
  <Characters>41688</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21</cp:revision>
  <dcterms:created xsi:type="dcterms:W3CDTF">2020-12-25T15:35:00Z</dcterms:created>
  <dcterms:modified xsi:type="dcterms:W3CDTF">2025-02-21T20:59:00Z</dcterms:modified>
</cp:coreProperties>
</file>