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76BF4" w14:textId="080408FD" w:rsidR="00A515EB" w:rsidRPr="00A515EB" w:rsidRDefault="00A515EB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515EB">
        <w:rPr>
          <w:rFonts w:ascii="Book Antiqua" w:hAnsi="Book Antiqua"/>
          <w:b/>
          <w:bCs/>
          <w:color w:val="FF0000"/>
          <w:sz w:val="19"/>
          <w:szCs w:val="19"/>
        </w:rPr>
        <w:t>(Atualização em 27/03/2024: questões de concurso)</w:t>
      </w:r>
    </w:p>
    <w:p w14:paraId="668E5DA9" w14:textId="0CEF8F41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F6A82">
        <w:rPr>
          <w:rFonts w:ascii="Book Antiqua" w:hAnsi="Book Antiqua"/>
          <w:b/>
          <w:bCs/>
          <w:sz w:val="19"/>
          <w:szCs w:val="19"/>
        </w:rPr>
        <w:t>CONSELHO NACIONAL DOS DIREITOS HUMANOS</w:t>
      </w:r>
    </w:p>
    <w:p w14:paraId="7EAC1B2B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F6A82">
        <w:rPr>
          <w:rFonts w:ascii="Book Antiqua" w:hAnsi="Book Antiqua"/>
          <w:b/>
          <w:bCs/>
          <w:sz w:val="19"/>
          <w:szCs w:val="19"/>
        </w:rPr>
        <w:t>RESOLUÇÃO Nº 10, DE 17 DE OUTUBRO DE 2018</w:t>
      </w:r>
    </w:p>
    <w:p w14:paraId="724FA47D" w14:textId="4772B6CF" w:rsidR="00BF6A82" w:rsidRPr="00BF6A82" w:rsidRDefault="00BF6A82" w:rsidP="00E97D3E">
      <w:pPr>
        <w:spacing w:before="100" w:beforeAutospacing="1" w:after="100" w:afterAutospacing="1" w:line="240" w:lineRule="auto"/>
        <w:ind w:left="1985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Dispõe sobre soluções garantidoras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direitos humanos e medidas preventivas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 situações de conflitos fundiários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coletivos rurais e urbanos.</w:t>
      </w:r>
    </w:p>
    <w:p w14:paraId="7466317D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F6A82">
        <w:rPr>
          <w:rFonts w:ascii="Book Antiqua" w:hAnsi="Book Antiqua"/>
          <w:b/>
          <w:bCs/>
          <w:sz w:val="19"/>
          <w:szCs w:val="19"/>
        </w:rPr>
        <w:t>EXPOSIÇÃO DE MOTIVOS</w:t>
      </w:r>
    </w:p>
    <w:p w14:paraId="5D905FAC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Quase metade da área rural brasileira pertence a 1% das propriedades do país, de acordo com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 estudo Terrenos da Desigualdade: terra, agricultura e desigualdades no Brasil rural divulgado, em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01/12/2016</w:t>
      </w:r>
      <w:r>
        <w:rPr>
          <w:rStyle w:val="Refdenotaderodap"/>
          <w:rFonts w:ascii="Book Antiqua" w:hAnsi="Book Antiqua"/>
          <w:sz w:val="19"/>
          <w:szCs w:val="19"/>
        </w:rPr>
        <w:footnoteReference w:id="1"/>
      </w:r>
      <w:r w:rsidRPr="00BF6A82">
        <w:rPr>
          <w:rFonts w:ascii="Book Antiqua" w:hAnsi="Book Antiqua"/>
          <w:sz w:val="19"/>
          <w:szCs w:val="19"/>
        </w:rPr>
        <w:t>, pela organização não governamental (ONG) britânica Oxfam. Os estabelecimentos rurais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partir de mil hectares (0,91%) concentravam 45% de toda a área de produção agrícola, de gado e plantação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florestal. Nesse mesmo sentido, os dados preliminares do Censo Agropecuário 2017 mostram que os grandes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estabelecimentos rurais elevaram a concentração de terras para 47,5%, enquanto os pequenos agricultores,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cujas propriedades têm até 10 hectares de terra e representam metade dos estabelecimentos do país,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utilizavam apenas 2,2% do território produtivo em 2017, tendo sofrido uma pequena redução desde 2006,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quando esse percentual era de 2,7%</w:t>
      </w:r>
      <w:r>
        <w:rPr>
          <w:rStyle w:val="Refdenotaderodap"/>
          <w:rFonts w:ascii="Book Antiqua" w:hAnsi="Book Antiqua"/>
          <w:sz w:val="19"/>
          <w:szCs w:val="19"/>
        </w:rPr>
        <w:footnoteReference w:id="2"/>
      </w:r>
      <w:r w:rsidRPr="00BF6A82">
        <w:rPr>
          <w:rFonts w:ascii="Book Antiqua" w:hAnsi="Book Antiqua"/>
          <w:sz w:val="19"/>
          <w:szCs w:val="19"/>
        </w:rPr>
        <w:t>.</w:t>
      </w:r>
    </w:p>
    <w:p w14:paraId="40A2F8FD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Por outro lado, ainda conforme os dados apresentados pelo estudo Terrenos da Desigualdade,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estabelecimentos com menos de 10 hectares representam cerca de 47% do total das propriedades do país,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mas ocupavam menos de 2,3% da área rural total. Esses pequenos agricultores produzem mais de 70% dos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alimentos que chegam à mesa do brasileiro, já que as grandes monoculturas exportam a maior parte da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produção.</w:t>
      </w:r>
    </w:p>
    <w:p w14:paraId="5A0957BA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O estudo mostra a cidade de Correntina, na Bahia, como exemplo emblemático dessa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realidade, onde os latifúndios ocupam 75,35% da área total dos estabelecimentos agropecuários. Nessa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cidade, a pobreza atinge 45% da população rural e 31,8% da população geral. Os municípios com maior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concentração de terra apresentam os menores índices de Desenvolvimento Humano e aqueles com a menor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concentração tinham os melhores indicadores sociais.</w:t>
      </w:r>
    </w:p>
    <w:p w14:paraId="675D0F9B" w14:textId="750E10E9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 mesma realidade ocorre na América Latina, em que 1% concentra 51,19% de toda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superfície agrícola da região. O dado está no relatório Terra, Poder e Desigualdade na América Latina,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também divulgado em 01/12/2016</w:t>
      </w:r>
      <w:r>
        <w:rPr>
          <w:rStyle w:val="Refdenotaderodap"/>
          <w:rFonts w:ascii="Book Antiqua" w:hAnsi="Book Antiqua"/>
          <w:sz w:val="19"/>
          <w:szCs w:val="19"/>
        </w:rPr>
        <w:footnoteReference w:id="3"/>
      </w:r>
      <w:r w:rsidRPr="00BF6A82">
        <w:rPr>
          <w:rFonts w:ascii="Book Antiqua" w:hAnsi="Book Antiqua"/>
          <w:sz w:val="19"/>
          <w:szCs w:val="19"/>
        </w:rPr>
        <w:t>, que analisa o cenário de concentração das propriedades rurais em 15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países da região com base nos censos agropecuários locais.</w:t>
      </w:r>
    </w:p>
    <w:p w14:paraId="58C553A5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O Brasil ocupa o quinto lugar no ranking da região do coeficiente de Gini - que mede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desigualdade na distribuição de terra, em que 0 corresponde à completa igualdade e 1 corresponde à completa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desigualdade. A nota brasileira é 0,87. O Paraguai aparece com o pior índice de Gini (0,93), seguido do Chile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(0,91) e da Venezuela e Colômbia (0,88), onde 0,4% das propriedades concentram mais de 67% da terra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agricultável.</w:t>
      </w:r>
    </w:p>
    <w:p w14:paraId="262D74D6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Os assentamentos e regularizações de terras tradicionalmente ocupadas não foram capazes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aplacar os conflitos, que já mataram 2.262 pessoas entre 1964 e 2010, de acordo com o estudo.</w:t>
      </w:r>
    </w:p>
    <w:p w14:paraId="4FC8B336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 violência no campo pela disputa da terra ocasionou 70 mortes no ano passado, segundo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dados da Comissão Pastoral da Terra (CPT). O Brasil está no topo da lista dos países onde mais ativistas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ambientais e da terra foram mortos em 2015, segundo outra pesquisa divulgada em junho de 2016 pela ONG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Global </w:t>
      </w:r>
      <w:proofErr w:type="spellStart"/>
      <w:r w:rsidRPr="00BF6A82">
        <w:rPr>
          <w:rFonts w:ascii="Book Antiqua" w:hAnsi="Book Antiqua"/>
          <w:sz w:val="19"/>
          <w:szCs w:val="19"/>
        </w:rPr>
        <w:t>Witness.</w:t>
      </w:r>
      <w:proofErr w:type="spellEnd"/>
    </w:p>
    <w:p w14:paraId="601B36DE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No que tange à violência contra a ocupação e a posse é de se destacar os seguintes dados,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obtidos no Caderno “Conflitos no Campo em 2017”, da CPT: foram registradas mais 1.100 ocorrências,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envolvendo 106.180 famílias, sendo que teve a utilização de pistolagem em 16.800 ocorrências. Destas, 1.448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foram expulsas, 10.622 despejadas e tentaram ou ameaçaram expulsar 24.577. 26.688 encontram-se em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estado permanente de ameaça de despejo. 4.573 casas, 3.288 roças e 4.257 bens destruídos, mediante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utilização arbitrária da força, por exemplo, pistolagem, milícias, dentre outros, contra 16.800 famílias</w:t>
      </w:r>
      <w:r>
        <w:rPr>
          <w:rStyle w:val="Refdenotaderodap"/>
          <w:rFonts w:ascii="Book Antiqua" w:hAnsi="Book Antiqua"/>
          <w:sz w:val="19"/>
          <w:szCs w:val="19"/>
        </w:rPr>
        <w:footnoteReference w:id="4"/>
      </w:r>
      <w:r w:rsidRPr="00BF6A82">
        <w:rPr>
          <w:rFonts w:ascii="Book Antiqua" w:hAnsi="Book Antiqua"/>
          <w:sz w:val="19"/>
          <w:szCs w:val="19"/>
        </w:rPr>
        <w:t>.</w:t>
      </w:r>
    </w:p>
    <w:p w14:paraId="461934DA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Igualmente, em relação às comunidades quilombolas foram registradas ameaças, violências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um aumento exponencial no número de assassinatos: foram 18 mortes no ano de 2017. Se comparado ao ano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2016, 2017 apresentou um aumento de 350% de quilombolas assassinados</w:t>
      </w:r>
      <w:r>
        <w:rPr>
          <w:rStyle w:val="Refdenotaderodap"/>
          <w:rFonts w:ascii="Book Antiqua" w:hAnsi="Book Antiqua"/>
          <w:sz w:val="19"/>
          <w:szCs w:val="19"/>
        </w:rPr>
        <w:footnoteReference w:id="5"/>
      </w:r>
      <w:r w:rsidRPr="00BF6A82">
        <w:rPr>
          <w:rFonts w:ascii="Book Antiqua" w:hAnsi="Book Antiqua"/>
          <w:sz w:val="19"/>
          <w:szCs w:val="19"/>
        </w:rPr>
        <w:t>. O mesmo se aplica à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situação dos povos e comunidades tradicionais, afetados pela negação de seus direitos territoriais e pelo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aumento da pressão do agronegócio sobre suas terras.</w:t>
      </w:r>
    </w:p>
    <w:p w14:paraId="784BB5E5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No que se refere ao contexto urbano, mais da metade da população mundial, hoje, mora em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áreas urbanas, ou seja, aproximadamente 3,3 bilhões de pessoas, cifras que para o ano de 2030 já serão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mais/cerca de 5 bilhões. No ano de 2020, cidades como Bombaim, Cidade do México, São Paulo, Nova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Delhi, Dacca e Lagos, terão mais de 20 milhões de habitantes. Para 2050, espera-se que a taxa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urbanização do mundo seja de 65%. As cidades serão responsáveis por praticamente todo o crescimento da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população, que ficará concentrada nos países periféricos (95%).</w:t>
      </w:r>
    </w:p>
    <w:p w14:paraId="6CA256AE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O acelerado processo de urbanização, o acesso ao solo urbanizado e a moradia se torna cada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vez mais difícil para grande parte da população, especialmente a população pobre que se vê obrigada a ocupar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áreas da cidade consideradas de alto risco aumentando a vulnerabilidade frente às tragédias naturais. Apesar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um certo avanço nas últimas décadas com a criação do Ministério das Cidades, do Conselho das Cidades,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 Programa Minha Casa Minha Vida e de todo um marco regulatório do acesso à terra e dos Planos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Diretores, o Brasil vive um forte retrocesso na área da moradia e do direito à cidade. Com a inatividade do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Conselho das Cidades, por não convocação da Conferência e designação dos conselheiros da sociedade civil,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a revisão do programa Minha Casa Minha Vida houve uma brutal redução nos investimentos públicos em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produção de moradias e em obras de </w:t>
      </w:r>
      <w:proofErr w:type="spellStart"/>
      <w:r w:rsidRPr="00BF6A82">
        <w:rPr>
          <w:rFonts w:ascii="Book Antiqua" w:hAnsi="Book Antiqua"/>
          <w:sz w:val="19"/>
          <w:szCs w:val="19"/>
        </w:rPr>
        <w:t>infra-estrutura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urbana. Por isso, o Brasil colhe um déficit de 7,757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milhões de moradias e 7,9 milhões de imóveis vagos, segundo dados da Fundação João Pinheiro (2015).</w:t>
      </w:r>
    </w:p>
    <w:p w14:paraId="6EFC3347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 Secretaria de Patrimônio da União (SPU) possui 10.304 imóveis vagos e outras 16 mil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propriedades que não possuem informação se estão ou não ocupadas segundo dados de 2017</w:t>
      </w:r>
      <w:r>
        <w:rPr>
          <w:rStyle w:val="Refdenotaderodap"/>
          <w:rFonts w:ascii="Book Antiqua" w:hAnsi="Book Antiqua"/>
          <w:sz w:val="19"/>
          <w:szCs w:val="19"/>
        </w:rPr>
        <w:footnoteReference w:id="6"/>
      </w:r>
      <w:r w:rsidRPr="00BF6A82">
        <w:rPr>
          <w:rFonts w:ascii="Book Antiqua" w:hAnsi="Book Antiqua"/>
          <w:sz w:val="19"/>
          <w:szCs w:val="19"/>
        </w:rPr>
        <w:t>. A função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social da propriedade também se aplica aos imóveis do poder público, e os imóveis sem uso deveriam ser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destinados à moradia de interesse social, reduzindo o déficit habitacional. A falha do Estado em dar função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social aos imóveis do patrimônio público leva ao descaso, à ruína e submete a população a um risco agravado,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como no caso do Edifício Wilson Paes de Almeida, de propriedade da União, na cidade de São Paulo, que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não era utilizado há mais de 10 anos e desabou após um incêndio em maio de 2018.</w:t>
      </w:r>
    </w:p>
    <w:p w14:paraId="4C9A9B50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 falta de uma política habitacional adequada e permanente leva a um contingente significativo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pessoas a ocuparem áreas abandonadas ou precárias ou de preservação permanente ou de risco nas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cidades. É onde ocorrem os despejos e as violações ao direito humano à moradia digna.</w:t>
      </w:r>
    </w:p>
    <w:p w14:paraId="65F1DA9A" w14:textId="77777777" w:rsidR="00BF6A82" w:rsidRDefault="00BF6A82" w:rsidP="00E97D3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b/>
          <w:bCs/>
          <w:sz w:val="19"/>
          <w:szCs w:val="19"/>
        </w:rPr>
        <w:t>O CONSELHO NACIONAL DOS DIREITOS HUMANOS – CNDH</w:t>
      </w:r>
      <w:r w:rsidRPr="00BF6A82">
        <w:rPr>
          <w:rFonts w:ascii="Book Antiqua" w:hAnsi="Book Antiqua"/>
          <w:sz w:val="19"/>
          <w:szCs w:val="19"/>
        </w:rPr>
        <w:t>, no exercício das atribuições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previstas no art. 4º da Lei nº 12.986, de 02 de junho de 2014, e dando cumprimento à deliberação tomada,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forma unânime, em sua 41ª Reunião Ordinária, realizada nos dias 17 e 18 de outubro de 2018:</w:t>
      </w:r>
    </w:p>
    <w:p w14:paraId="2E2EC056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CONSIDERANDO que o Brasil é signatário do Pacto Internacional de Direitos Econômicos,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Sociais e Culturais (Decreto nº 591/1992), que reconhece o direito de todos a um adequado nível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vida para si e sua família, incluindo alimentação, vestuário, moradia e trabalho;</w:t>
      </w:r>
    </w:p>
    <w:p w14:paraId="1C085595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Comentário Geral nº 4 do Comitê de Direitos Econômicos, Sociais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Culturais da Organização das Nações Unidas sobre o direito à moradia adequada, que aponta 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seus elementos e, dentre eles, especifica a segurança na posse;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EC89068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Comentário Geral nº 7 do Comitê de Direitos Econômicos, Sociais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Culturais da Organização das Nações Unidas sobre o direito à moradia adequada e despejos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forçados, que esclarece o conceito de despejos forçados e enuncia procedimentos para proteção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das pessoas afetadas por despejos;</w:t>
      </w:r>
    </w:p>
    <w:p w14:paraId="7202E9D6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 Resolução nº 2004/2841 do Conselho de Direitos Humanos das Nações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Unidas que refere que “a prática de despejos forçados é considerada contrária às leis que estão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 conformidade com os padrões internacionais de direitos humanos, e constitui uma grave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violação de uma ampla gama de direitos humanos, em particular o direito à moradia adequada”;</w:t>
      </w:r>
    </w:p>
    <w:p w14:paraId="6815DE3D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 Convenção Americana sobre Direitos Humanos (Pacto de São José da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Costa Rica), de 22 de novembro de 1969, ratificada pelo Brasil no Decreto 678/1992,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especialmente no que se refere ao Direito à integridade pessoal (artigo 5), à Liberdade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associação (artigo 16), e o Direito de circulação e de residência (artigo 22);</w:t>
      </w:r>
    </w:p>
    <w:p w14:paraId="7E7AB156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Convenção 169 da Organização Internacional do Trabalho (OIT) foi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ratificada e incorporada ao ordenamento jurídico brasileiro pelo Decreto Federal nº 5.051/2014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prevê, em seu art. 6.1, alínea “a”, a obrigação do Estado de consultar os povos interessados,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mediante procedimentos apropriados e, em particular, de suas instituições representativas, sempre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que sejam previstas medidas legislativas ou administrativas suscetíveis de afetá-los diretamente;</w:t>
      </w:r>
    </w:p>
    <w:p w14:paraId="1339DFC8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Constituição Federal de 1988 tem como princípio a cidadania e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dignidade da pessoa humana (Art. 1º), cujos objetivos fundamentais são construir uma sociedade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livre, justa e solidária, erradicar a pobreza e a marginalização e reduzir as desigualdades sociais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regionais, e promover o bem de todos, sem preconceitos de origem, raça, sexo, cor, idade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quaisquer outras formas de discriminação (Art. 3º), sendo assegurados os direitos sociais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educação, a saúde, a alimentação, o trabalho, a moradia, o transporte, o lazer, a segurança,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previdência social, a proteção à maternidade e à infância, a assistência aos desamparados (Art.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6º);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AC42A4C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preceito constitucional do princípio da função social da propriedade (Art.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5º- XXIII, e Art. 170), que impede o abuso do exercício deste direito, exigindo, assim, deveres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seu titular para o uso racional do bem que condiciona o seu exercício ao adimplemento de deveres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sociais (Art. 5º);</w:t>
      </w:r>
    </w:p>
    <w:p w14:paraId="280235F6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União poderá desapropriar, por interesse social, para fins de reforma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agrária, o imóvel rural que não esteja cumprindo sua função social, mediante prévia e justa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indenização em títulos da dívida agrária (Art. 184), entendendo como função social 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aproveitamento racional e adequado, a utilização adequada dos recursos naturais disponíveis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preservação do meio ambiente, a observância das disposições que regulam as relações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trabalho, e a exploração que favoreça o bem-estar dos proprietários e dos trabalhadores (Art.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186);</w:t>
      </w:r>
    </w:p>
    <w:p w14:paraId="31A340D3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comando inscrito no art. 126 da Constituição Federal é “sempre que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necessário à eficiente prestação jurisdicional, o/a juiz/a far-se-á presente no local do litígio” e há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previsão de que os Tribunais de Justiça proponham a criação de varas especializadas para dirimir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conflitos fundiários;</w:t>
      </w:r>
    </w:p>
    <w:p w14:paraId="0CEB8CBA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destinação de terras públicas e devolutas será compatibilizada com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política agrícola e com o plano nacional de reforma agrária (Art. 188), de acordo com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Constituição Federal de 1988, regulamentando a demarcação de imóveis da União para 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regularização fundiária de interesse social e reforçando a responsabilidade da SPU em realizar tais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demarcações, a partir do Decreto-Lei nº 9.760/1946;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D59B4C2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CONSIDERANDO a eficácia horizontal dos direitos humanos e os objetivos fundamentais da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República previstos no art. 3º da Constituição Federal de 1988 que vinculam todo o povo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brasileiro na construção de uma sociedade livre, justa e solidária;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3C7B97C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ser dever do Poder Público exigir do proprietário do solo urbano não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edificado, subutilizado ou não utilizado, que promova seu adequado aproveitamento, sob pena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aplicação dos instrumentos indutores da função social da propriedade, como o parcelamento ou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edificação compulsórios, o imposto sobre a propriedade predial e territorial urbana progressivo no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tempo e a desapropriação com pagamento mediante títulos da dívida pública, conforme artigo 182,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§4º, da Constituição da República de 1988;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C43E093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os dispositivos do Código de Processo Civil que tratam das ações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possessórias envolvendo no polo passivo “grande número de pessoas” e o reconhecimento de que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 conflito coletivo pelo imóvel urbano e rural é, antes de mais nada, um conflito social do qual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devem participar não só órgãos tutelares do interesse público e social (Ministério Público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Defensoria Pública), como também órgãos do Poder Executivo federal, estadual, distrital 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municipal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responsáveis pela política agrária e pela política urbana do Estado;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0A1ACEF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disposto na Lei de Introdução às Normas do Direito Brasileiro (Decreto</w:t>
      </w:r>
      <w:r>
        <w:rPr>
          <w:rFonts w:ascii="Book Antiqua" w:hAnsi="Book Antiqua"/>
          <w:sz w:val="19"/>
          <w:szCs w:val="19"/>
        </w:rPr>
        <w:t>-</w:t>
      </w:r>
      <w:r w:rsidRPr="00BF6A82">
        <w:rPr>
          <w:rFonts w:ascii="Book Antiqua" w:hAnsi="Book Antiqua"/>
          <w:sz w:val="19"/>
          <w:szCs w:val="19"/>
        </w:rPr>
        <w:t xml:space="preserve">Lei 4657/42, </w:t>
      </w:r>
      <w:proofErr w:type="spellStart"/>
      <w:r w:rsidRPr="00BF6A82">
        <w:rPr>
          <w:rFonts w:ascii="Book Antiqua" w:hAnsi="Book Antiqua"/>
          <w:sz w:val="19"/>
          <w:szCs w:val="19"/>
        </w:rPr>
        <w:t>art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20, nas esferas administrativa controladora e judicial, não se decidirá com base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 valores jurídicos abstratos sem que sejam consideradas as consequências práticas da decisão),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 destaque para as implicações sobre direitos humanos;</w:t>
      </w:r>
    </w:p>
    <w:p w14:paraId="3ED16F64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Recomendação do Conselho Nacional de Justiça nº 22 de 04 de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março de 2009 que trata da questão fundiária sobre mediação orienta os Tribunais e as Varas que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priorizem e monitorem constantemente o andamento dos processos judiciais envolvendo conflitos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fundiários e implementem medidas concretas e efetivas objetivando o controle desses andamentos;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1782F0B" w14:textId="77777777" w:rsid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conteúdo da Resolução 87/2009 do Conselho Nacional das Cidades que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cria a Política Nacional de Prevenção e Mediação de Conflitos Fundiários Urbanos e aponta como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princípio das mediações a garantia do direito à cidade e à moradia, conceituando o conflito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fundiário urbano como a disputa pela posse ou propriedade de imóvel urbano, bem como impacto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empreendimentos públicos e privados, envolvendo famílias de baixa renda ou grupos sociais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vulneráveis que necessitem ou demandem a proteção do Estado na garantia do direito humano à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moradia e à cidade;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29FA8EA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Relatório com ferramentas práticas para implementação do direito à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moradia e Guia com princípios básicos em caso de remoções forçadas, e o Manual “Como atuar</w:t>
      </w:r>
      <w:r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 projetos que envolvem despejos e remoções” todos elaborados pela Relatoria Especial da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Organização das Nações Unidas para o direito à moradia adequada;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75187795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 Resolução Recomendada nº 127, de 16 de setembro de 2011,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Conselho das Cidades, publicada no Diário Oficial da União em 27 de março de 2012, Seção 1,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página 113, que delibera que as obras e empreendimentos que envolvam recursos oriundos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programas federais voltados ao desenvolvimento urbano que ensejem reassentamentos garantam 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direito à moradia e à cidade no seu processo de implantação”;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340EADA9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Supremo Tribunal Federal declarou validade ao Decreto nº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4.887/2003, que regulamenta o procedimento para identificação, reconhecimento, delimitação,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demarcação e titulação das terras ocupadas por remanescentes das comunidades dos quilombos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que trata o Art. 68, do Ato das Disposições Constitucionais Transitórias, durante julgamento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da Ação Direta de Inconstitucionalidade (ADI) nº 3.239;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47FE12F8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a Política Nacional de Desenvolvimento Sustentável dos Povos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Comunidades Tradicionais (Decreto nº 6.040/2007) reconhece e consolida os direitos dos povos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comunidades tradicionais garantindo seus direitos territoriais, sociais, ambientais, econômicos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culturais, em diferentes biomas e ecossistemas, em áreas rurais ou urbanas;</w:t>
      </w:r>
    </w:p>
    <w:p w14:paraId="1F4FDAC2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CONSIDERANDO que o Brasil assumiu o compromisso de cumprir as recomendações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recebidas no último ciclo da Revisão Periódica Universal, dentre elas as que recomendam: i)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Fortalecer as políticas públicas para reduzir a escassez de moradia e criar condições de acesso 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habitação acessível para famílias de baixa e média renda (136, Angola); </w:t>
      </w:r>
      <w:proofErr w:type="spellStart"/>
      <w:r w:rsidRPr="00BF6A82">
        <w:rPr>
          <w:rFonts w:ascii="Book Antiqua" w:hAnsi="Book Antiqua"/>
          <w:sz w:val="19"/>
          <w:szCs w:val="19"/>
        </w:rPr>
        <w:t>ii</w:t>
      </w:r>
      <w:proofErr w:type="spellEnd"/>
      <w:r w:rsidRPr="00BF6A82">
        <w:rPr>
          <w:rFonts w:ascii="Book Antiqua" w:hAnsi="Book Antiqua"/>
          <w:sz w:val="19"/>
          <w:szCs w:val="19"/>
        </w:rPr>
        <w:t>) Manter os esforços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para garantir habitação adequada para todos (137, Bangladesh); </w:t>
      </w:r>
      <w:proofErr w:type="spellStart"/>
      <w:r w:rsidRPr="00BF6A82">
        <w:rPr>
          <w:rFonts w:ascii="Book Antiqua" w:hAnsi="Book Antiqua"/>
          <w:sz w:val="19"/>
          <w:szCs w:val="19"/>
        </w:rPr>
        <w:t>iii</w:t>
      </w:r>
      <w:proofErr w:type="spellEnd"/>
      <w:r w:rsidRPr="00BF6A82">
        <w:rPr>
          <w:rFonts w:ascii="Book Antiqua" w:hAnsi="Book Antiqua"/>
          <w:sz w:val="19"/>
          <w:szCs w:val="19"/>
        </w:rPr>
        <w:t>) Tomar medidas adicionais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para aprimorar a promoção e proteção dos direitos da criança, com vistas a erradicar totalmente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a falta de moradia para crianças (138, Croácia); e </w:t>
      </w:r>
      <w:proofErr w:type="spellStart"/>
      <w:r w:rsidRPr="00BF6A82">
        <w:rPr>
          <w:rFonts w:ascii="Book Antiqua" w:hAnsi="Book Antiqua"/>
          <w:sz w:val="19"/>
          <w:szCs w:val="19"/>
        </w:rPr>
        <w:t>iv</w:t>
      </w:r>
      <w:proofErr w:type="spellEnd"/>
      <w:r w:rsidRPr="00BF6A82">
        <w:rPr>
          <w:rFonts w:ascii="Book Antiqua" w:hAnsi="Book Antiqua"/>
          <w:sz w:val="19"/>
          <w:szCs w:val="19"/>
        </w:rPr>
        <w:t>) Tomar as medidas necessárias para resolver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prevenir conflitos relacionados às terras e concluir os processos de demarcação de terras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decorrentes do Artigo 231 da Constituição de 1988 (238, França);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43CD453B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Estado brasileiro é signatário da Agenda 2030 dos Objetivos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Desenvolvimento Sustentável, que traz uma mudança de paradigma sobre o desenvolvimento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econômico, social e ambiental, e que especificamente o Objetivo 11 apresenta diretrizes com vistas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 tornar as cidades e os assentamentos humanos inclusivos, seguros, resilientes e sustentáveis até 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ano de 2030;</w:t>
      </w:r>
    </w:p>
    <w:p w14:paraId="4FCB023B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Terceiro Programa Nacional de Direitos Humanos (PNDH-3),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produzido a partir das deliberações da 11ª Conferência Nacional de Direitos Humanos, instituído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pelo Decreto nº 7.037 de 21 de dezembro de 2009 e atualizado pelo Decreto nº 7.177 de 12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maio de 2010, busca assegurar, em seu objetivo estratégico III, a garantia do acesso à terra e à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moradia para a população de baixa renda, por meio de ações programáticas coordenadas entre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diversos órgãos integrantes da Administração Pública Federal;</w:t>
      </w:r>
    </w:p>
    <w:p w14:paraId="7F1B7491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PNDH -3 prevê a promoção de um sistema de justiça mais acessível,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ágil e efetivo, para o conhecimento, a garantia e a defesa dos direitos (diretriz 17) e traz entre 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objetivos estratégicos o acesso à justiça no campo e na cidade (VI) elencando, como meios para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tanto: a) Assegurar a criação de marco legal para a prevenção e mediação de conflitos fundiários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urbanos, garantindo o devido processo legal e a função social da propriedade; e d) Propor projeto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lei para institucionalizar a utilização da mediação nas demandas de conflitos coletivos agrários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urbanos, priorizando a oitiva do INCRA, institutos de terras estaduais, Ministério Público e outros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órgãos públicos especializados, sem prejuízo de outros meios institucionais para solução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conflitos;</w:t>
      </w:r>
    </w:p>
    <w:p w14:paraId="327AEB5B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Relatório da Comissão Especial “Atingidos por Barragens” do Conselho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Defesa da Pessoa Humana de 2010, que em suas considerações gerais garante a preservação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dos direitos humanos dos atingidos por barragens, estendendo o escopo para o conceito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atingidos por grandes empreendimentos, que abrange os grupos sociais, comunidades, famílias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indivíduos impactados não apenas pela implantação das obras diretas associadas ao grande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empreendimento, mas também pelas demais intervenções dele decorrentes</w:t>
      </w:r>
      <w:r w:rsidR="00B73997">
        <w:rPr>
          <w:rFonts w:ascii="Book Antiqua" w:hAnsi="Book Antiqua"/>
          <w:sz w:val="19"/>
          <w:szCs w:val="19"/>
        </w:rPr>
        <w:t xml:space="preserve">; </w:t>
      </w:r>
    </w:p>
    <w:p w14:paraId="272D0063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 morosidade dos processos de demarcação e titulação de áreas indígenas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quilombos, a ineficiência dos processos de desapropriação de terras para fins de reforma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agrária, o consequente aumento da violência e da exclusão no campo, e a baixa implementação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políticas e ações de promoção do direito à moradia;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0F018211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os despejos são realizados em sua grande maioria baseados em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decisões judiciais que desconsideram a natureza coletiva dos conflitos pela posse ou propriedade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envolvendo famílias de baixa renda e grupos sociais vulneráveis;</w:t>
      </w:r>
    </w:p>
    <w:p w14:paraId="128E7FFA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Manual de Diretrizes Nacionais para execução de mandados judiciais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manutenção e reintegração de posse coletiva, elaborado pelo Ministério do Desenvolvimento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Agrário - Departamento de Ouvidoria Agrária e Mediação de Conflitos;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78590786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o avanço da jurisprudência do Supremo Tribunal Federal suspendendo 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reintegração de posse da Vila Soma (Ação Cautelar 4.085) ao reconhecer que a atividade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jurisdição estatal tem como escopo a pacificação de conflitos sociais, garantindo direitos não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reconhecidos individualmente e a decisão sobre a Ocupação </w:t>
      </w:r>
      <w:proofErr w:type="spellStart"/>
      <w:r w:rsidRPr="00BF6A82">
        <w:rPr>
          <w:rFonts w:ascii="Book Antiqua" w:hAnsi="Book Antiqua"/>
          <w:sz w:val="19"/>
          <w:szCs w:val="19"/>
        </w:rPr>
        <w:t>Izidora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na qual o Superior Tribunal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de Justiça (Ag. </w:t>
      </w:r>
      <w:proofErr w:type="spellStart"/>
      <w:r w:rsidRPr="00BF6A82">
        <w:rPr>
          <w:rFonts w:ascii="Book Antiqua" w:hAnsi="Book Antiqua"/>
          <w:sz w:val="19"/>
          <w:szCs w:val="19"/>
        </w:rPr>
        <w:t>Rg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no RMS 48316) entendeu pela necessidade da suspensão da ordem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lastRenderedPageBreak/>
        <w:t>reintegração de posse afirmando que a questão envolvia a proteção dos direitos à dignidade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humana, especialmente no tocante à integridade física, à segurança e à moradia;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66D32CD1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que, no âmbito do sistema global, o Brasil é signatário do Pacto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Internacional</w:t>
      </w:r>
      <w:r w:rsidRPr="00BF6A82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sobre Direitos Civis e Políticos, internalizado pelo Decreto 592/92, o qual estabelece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 ideal da igualdade em seu art. 2º, proibindo qualquer espécie de discriminação. Haja vista tratar-se de cláusula aberta, e por ser consectário do ideal de igualdade, a discriminação em virtude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gênero, portanto, é vedada; ainda, de acordo com os Princípios de Yogyakarta: “Toda pessoa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tem o direito à habitação adequada, inclusive à proteção contra o despejo, sem discriminação por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motivo de orientação sexual ou identidade de gênero.”;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737C7C94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que o Supremo Tribunal Federal (STF), quando do julgamento da ACO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362 e ACO 366 em 16 de agosto de 2017, reconheceu a validade do § 6º, do art. 231 da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Constituição Federal, que prevê que são nulos e extintos, não produzindo efeitos jurídicos, 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atos que tenham por objeto a ocupação, o domínio e a posse das terras a que se refere este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artigo, ou a exploração das riquezas naturais do solo, dos rios e dos lagos nelas existentes,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ressalvado relevante interesse público da União, segundo o que dispuser lei complementar,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não gerando a nulidade e a extinção direito a indenização ou a ações contra a União, salvo,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na forma da lei, quanto às benfeitorias derivadas da ocupação de </w:t>
      </w:r>
      <w:proofErr w:type="spellStart"/>
      <w:r w:rsidRPr="00BF6A82">
        <w:rPr>
          <w:rFonts w:ascii="Book Antiqua" w:hAnsi="Book Antiqua"/>
          <w:sz w:val="19"/>
          <w:szCs w:val="19"/>
        </w:rPr>
        <w:t>boa fé</w:t>
      </w:r>
      <w:proofErr w:type="spellEnd"/>
      <w:r w:rsidRPr="00BF6A82">
        <w:rPr>
          <w:rFonts w:ascii="Book Antiqua" w:hAnsi="Book Antiqua"/>
          <w:sz w:val="19"/>
          <w:szCs w:val="19"/>
        </w:rPr>
        <w:t>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518CF766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 jurisprudência do STF, que entendeu ser atentatória aos princípios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contraditório e ampla defesa, nos procedimentos demarcatórios de terrenos de marinha, a citação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dos interessados por edital, devendo a citação ser feita pessoalmente (ADI 4264 MC/PE, Relator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Ministro Ricardo Lewandowski);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264B404C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as dificuldades e desigualdades históricas de acesso à moradia, terra urbana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rural, e de reconhecimento e de consolidação dos territórios indígenas, quilombolas e das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comunidades tradicionais; e presentemente a apropriação dos espaços públicos pela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mercantilização das cidades e o impacto da chamada economia verde sobre os bens e as áreas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uso comuns;</w:t>
      </w:r>
    </w:p>
    <w:p w14:paraId="6ACF2A4D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as possibilidades jurídicas de regularização fundiária sustentável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ocupações em área de proteção ambiental caracterizadas como de interesse social e em benefício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populações em situação de vulnerabilidade, nos locais onde vivem, ocupam e reivindicam;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44E5879F" w14:textId="77777777" w:rsidR="00B73997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CONSIDERANDO as diversas denúncias de violações de direitos humanos em conflitos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possessórios, urbanos e rurais, recebidas por este Conselho, que abrangem todo o país;</w:t>
      </w:r>
    </w:p>
    <w:p w14:paraId="6D33AEA5" w14:textId="187B151C" w:rsidR="00BF6A82" w:rsidRPr="00BF6A82" w:rsidRDefault="00BF6A82" w:rsidP="00E97D3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RESOLVE:</w:t>
      </w:r>
    </w:p>
    <w:p w14:paraId="72BFDB76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CAPÍTULO I</w:t>
      </w:r>
    </w:p>
    <w:p w14:paraId="455330E2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DIRETRIZES GERAIS</w:t>
      </w:r>
    </w:p>
    <w:p w14:paraId="75E648A9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1º Esta resolução tem por destinatários os agentes e as instituições do Estado, inclusive do sistema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justiça, cujas finalidades institucionais demandem sua intervenção, nos casos de conflitos coletivos pelo uso,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posse ou propriedade de imóvel, urbano ou rural, envolvendo grupos que demandam proteção especial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Estado, tais como trabalhadores e trabalhadoras rurais sem terra e sem teto, povos indígenas, comunidades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quilombolas, povos e comunidades tradicionais, pessoas em situação de rua e atingidos e deslocados por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empreendimentos, obras de infraestrutura ou congêneres.</w:t>
      </w:r>
    </w:p>
    <w:p w14:paraId="214A73ED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 1º Os despejos e deslocamentos forçados de grupos que demandam proteção especial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Estado implicam violações de direitos humanos e devem ser evitados, buscando-se sempre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soluções alternativas.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64EC9336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 2º Os despejos e deslocamentos forçados de grupos que demandam proteção especial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Estado só podem eventualmente ocorrer mediante decisão judicial, nos termos desta resolução,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jamais por decisão meramente administrativa.</w:t>
      </w:r>
    </w:p>
    <w:p w14:paraId="05283BBF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§ 3º Os direitos humanos das coletividades devem preponderar em relação ao direito individual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propriedade.</w:t>
      </w:r>
    </w:p>
    <w:p w14:paraId="76E535CA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 4º Quando se tratar de imóvel público, a efetivação da função social deverá ser respeitada,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assegurando-se a regularização fundiária dos ocupantes.</w:t>
      </w:r>
    </w:p>
    <w:p w14:paraId="1AB9445A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2º É responsabilidade do Estado garantir e promover os direitos humanos à cidade, à terra, à moradia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ao território, devendo prevenir e remediar violações de direitos humanos.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1B364C11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 1º A propositura de demanda judicial, visando à retirada forçada de grupos que demandam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proteção especial do Estado, sem que seja oferecida solução adequada, nos termos do capítulo IV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desta resolução, viola direitos humanos.</w:t>
      </w:r>
    </w:p>
    <w:p w14:paraId="7FFE2C69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 2º O poder público não deve empregar medidas coercitivas que impliquem em violação à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dignidade humana, em especial o corte de luz, água ou qualquer outro serviço essencial que resulte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na inacessibilidade, inabitabilidade ou insalubridade da área ocupada.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68287CFF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3º A atuação do Estado deve ser orientada à solução pacífica e definitiva dos conflitos, primando pela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garantia de permanência dos grupos em situação de vulnerabilidade nas áreas em que vivem, ocupam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reivindicam, em condições de segurança e vida digna.</w:t>
      </w:r>
    </w:p>
    <w:p w14:paraId="16F9889A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4º A efetivação da função social da terra, da cidade, e da propriedade alcança tanto a propriedade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privada quanto a pública, urbana e rural, impondo ao Estado formular e executar políticas que visem ao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acesso, a permanência, a justa distribuição e utilização dos imóveis para a moradia e para atividades rurais, e,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ainda, que respeitem e facilitem o reconhecimento dos territórios para reprodução dos modos de vida dos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povos indígenas, das comunidades quilombolas e dos povos e comunidades tradicionais.</w:t>
      </w:r>
    </w:p>
    <w:p w14:paraId="31A7C2B2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5º A presença e a permanência das populações e sujeitos coletivos na perspectiva de luta por direitos não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pode ser objeto de nenhum tipo de repressão ou perseguição administrativa, civil ou criminal.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5E9C6C76" w14:textId="3AA39C16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CAPÍTULO II</w:t>
      </w:r>
    </w:p>
    <w:p w14:paraId="31F9C1A3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MEDIDAS DE PREVENÇÃO</w:t>
      </w:r>
    </w:p>
    <w:p w14:paraId="55864ABA" w14:textId="77777777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6º No tratamento e prevenção de conflitos fundiários coletivos deve-se:</w:t>
      </w:r>
    </w:p>
    <w:p w14:paraId="1BEDAA79" w14:textId="77777777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 - Reconhecer a desigualdade das partes envolvidas nos litígios;</w:t>
      </w:r>
    </w:p>
    <w:p w14:paraId="44C03B57" w14:textId="6BDE0032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 - Destinar prioritariamente terras públicas devolutas à finalidade da reforma agrária, titulação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territórios tradicionais e regularização fundiária de interesse social urbana e rural;</w:t>
      </w:r>
    </w:p>
    <w:p w14:paraId="0124648D" w14:textId="53A2CEF5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III - Aplicar o princípio constitucional da razoável duração aos processos de demarcação de terras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indígenas, de titulação de quilombos, de desapropriação para fins de reforma agrária,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reconhecimento de direitos de povos e comunidades tradicionais e de regularização fundiária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interesse social;</w:t>
      </w:r>
    </w:p>
    <w:p w14:paraId="5DD0E51A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IV - Garantir o respeito aos princípios constitucionais do devido processo legal, do contraditório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da ampla defesa, assegurando inclusive assistência jurídica integral gratuita aos grupos em situação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vulnerabilidade;</w:t>
      </w:r>
    </w:p>
    <w:p w14:paraId="716578D7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V- Realizar e publicar levantamento estatístico de demandas judiciais relacionadas a conflitos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coletivos, catalogando as experiências de autocomposição conduzidas pelo judiciário;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7D9E5C39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 - Disponibilizar gratuitamente os registros públicos imobiliários às partes envolvidas, aos órgãos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às instituições públicas com atuação relacionada à questão fundiária;</w:t>
      </w:r>
    </w:p>
    <w:p w14:paraId="0BCD7DA8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VII - Elaborar cadastro unificado, com acesso universal, das propriedades públicas federais,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estaduais e municipais, da administração direta e indireta com indicação expressa da finalidade, uso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atual efetivo e indicação dos imóveis rurais e urbanos não afetados;</w:t>
      </w:r>
    </w:p>
    <w:p w14:paraId="50F9EA68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VIII - Primar pela agilidade do acesso à terra, à moradia, e à regularização fundiária: (a) em terras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públicas, por intermédio de processos administrativos céleres e adequados destinados ao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atendimento de grupos que demandem proteção especial do Estado; (b) em propriedades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particulares, devendo o Estado tomar todas as medidas para transferência de domínio, locação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social ou outras medidas pertinentes.</w:t>
      </w:r>
    </w:p>
    <w:p w14:paraId="4B511F62" w14:textId="64B6B991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CAPÍTULO III</w:t>
      </w:r>
    </w:p>
    <w:p w14:paraId="022DD968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DO CONFLITO COLETIVO JUDICIALIZADO</w:t>
      </w:r>
    </w:p>
    <w:p w14:paraId="553F68DD" w14:textId="74656605" w:rsidR="00BF6A82" w:rsidRP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E97D3E">
        <w:rPr>
          <w:rFonts w:ascii="Book Antiqua" w:hAnsi="Book Antiqua"/>
          <w:b/>
          <w:bCs/>
          <w:sz w:val="19"/>
          <w:szCs w:val="19"/>
          <w:highlight w:val="magenta"/>
        </w:rPr>
        <w:t>Art. 7º</w:t>
      </w:r>
      <w:r w:rsidRPr="00BF6A82">
        <w:rPr>
          <w:rFonts w:ascii="Book Antiqua" w:hAnsi="Book Antiqua"/>
          <w:sz w:val="19"/>
          <w:szCs w:val="19"/>
        </w:rPr>
        <w:t xml:space="preserve">. </w:t>
      </w:r>
      <w:r w:rsidRPr="00E97D3E">
        <w:rPr>
          <w:rFonts w:ascii="Book Antiqua" w:hAnsi="Book Antiqua"/>
          <w:b/>
          <w:bCs/>
          <w:sz w:val="19"/>
          <w:szCs w:val="19"/>
        </w:rPr>
        <w:t xml:space="preserve">Quando se tratar de conflito fundiário coletivo, primando pelos princípios da cooperação, </w:t>
      </w:r>
      <w:proofErr w:type="spellStart"/>
      <w:r w:rsidRPr="00E97D3E">
        <w:rPr>
          <w:rFonts w:ascii="Book Antiqua" w:hAnsi="Book Antiqua"/>
          <w:b/>
          <w:bCs/>
          <w:sz w:val="19"/>
          <w:szCs w:val="19"/>
        </w:rPr>
        <w:t>boa fé</w:t>
      </w:r>
      <w:proofErr w:type="spellEnd"/>
      <w:r w:rsidRPr="00E97D3E">
        <w:rPr>
          <w:rFonts w:ascii="Book Antiqua" w:hAnsi="Book Antiqua"/>
          <w:b/>
          <w:bCs/>
          <w:sz w:val="19"/>
          <w:szCs w:val="19"/>
        </w:rPr>
        <w:t>,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>busca da autocomposição e do atendimento aos fins sociais, bem como do resguardo da dignidade da pessoa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>humana, proporcionalidade, razoabilidade, legalidade, publicidade e eficiência, previstos na Constituição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 xml:space="preserve">Federal de 1988 e no Código de Processo Civil, o/a juiz/a deverá, </w:t>
      </w:r>
      <w:r w:rsidRPr="00E97D3E">
        <w:rPr>
          <w:rFonts w:ascii="Book Antiqua" w:hAnsi="Book Antiqua"/>
          <w:b/>
          <w:bCs/>
          <w:sz w:val="19"/>
          <w:szCs w:val="19"/>
          <w:highlight w:val="cyan"/>
        </w:rPr>
        <w:t>antes da apreciação da liminar</w:t>
      </w:r>
      <w:r w:rsidRPr="00E97D3E">
        <w:rPr>
          <w:rFonts w:ascii="Book Antiqua" w:hAnsi="Book Antiqua"/>
          <w:b/>
          <w:bCs/>
          <w:sz w:val="19"/>
          <w:szCs w:val="19"/>
        </w:rPr>
        <w:t>, adotar as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>seguintes medidas:</w:t>
      </w:r>
      <w:r w:rsid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="00E97D3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(DPEPA-2022)</w:t>
      </w:r>
    </w:p>
    <w:p w14:paraId="47D8AA48" w14:textId="0355FDAA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 xml:space="preserve">I </w:t>
      </w:r>
      <w:r w:rsidR="00E97D3E">
        <w:rPr>
          <w:rFonts w:ascii="Book Antiqua" w:hAnsi="Book Antiqua"/>
          <w:sz w:val="19"/>
          <w:szCs w:val="19"/>
        </w:rPr>
        <w:t>–</w:t>
      </w:r>
      <w:r w:rsidRPr="00BF6A82">
        <w:rPr>
          <w:rFonts w:ascii="Book Antiqua" w:hAnsi="Book Antiqua"/>
          <w:sz w:val="19"/>
          <w:szCs w:val="19"/>
        </w:rPr>
        <w:t xml:space="preserve"> Todos/as </w:t>
      </w:r>
      <w:proofErr w:type="gramStart"/>
      <w:r w:rsidRPr="00BF6A82">
        <w:rPr>
          <w:rFonts w:ascii="Book Antiqua" w:hAnsi="Book Antiqua"/>
          <w:sz w:val="19"/>
          <w:szCs w:val="19"/>
        </w:rPr>
        <w:t>os/as afetados/as</w:t>
      </w:r>
      <w:proofErr w:type="gramEnd"/>
      <w:r w:rsidRPr="00BF6A82">
        <w:rPr>
          <w:rFonts w:ascii="Book Antiqua" w:hAnsi="Book Antiqua"/>
          <w:sz w:val="19"/>
          <w:szCs w:val="19"/>
        </w:rPr>
        <w:t xml:space="preserve"> devem ser pessoalmente citados/as, não se admitindo citação ficta,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nem mesmo sob justificativa de insegurança ou de não localização das pessoas afetadas;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660DC805" w14:textId="7D7C29A9" w:rsidR="00B73997" w:rsidRP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E97D3E">
        <w:rPr>
          <w:rFonts w:ascii="Book Antiqua" w:hAnsi="Book Antiqua"/>
          <w:b/>
          <w:bCs/>
          <w:sz w:val="19"/>
          <w:szCs w:val="19"/>
        </w:rPr>
        <w:t xml:space="preserve">II </w:t>
      </w:r>
      <w:r w:rsidR="00E97D3E">
        <w:rPr>
          <w:rFonts w:ascii="Book Antiqua" w:hAnsi="Book Antiqua"/>
          <w:b/>
          <w:bCs/>
          <w:sz w:val="19"/>
          <w:szCs w:val="19"/>
        </w:rPr>
        <w:t>–</w:t>
      </w:r>
      <w:r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  <w:highlight w:val="yellow"/>
        </w:rPr>
        <w:t>Intimar a Defensoria Pública</w:t>
      </w:r>
      <w:r w:rsidRPr="00E97D3E">
        <w:rPr>
          <w:rFonts w:ascii="Book Antiqua" w:hAnsi="Book Antiqua"/>
          <w:b/>
          <w:bCs/>
          <w:sz w:val="19"/>
          <w:szCs w:val="19"/>
        </w:rPr>
        <w:t xml:space="preserve"> para o adequado exercício </w:t>
      </w:r>
      <w:r w:rsidRPr="00E97D3E">
        <w:rPr>
          <w:rFonts w:ascii="Book Antiqua" w:hAnsi="Book Antiqua"/>
          <w:b/>
          <w:bCs/>
          <w:sz w:val="19"/>
          <w:szCs w:val="19"/>
          <w:highlight w:val="cyan"/>
        </w:rPr>
        <w:t>de sua intervenção obrigatória</w:t>
      </w:r>
      <w:r w:rsidRPr="00E97D3E">
        <w:rPr>
          <w:rFonts w:ascii="Book Antiqua" w:hAnsi="Book Antiqua"/>
          <w:b/>
          <w:bCs/>
          <w:sz w:val="19"/>
          <w:szCs w:val="19"/>
        </w:rPr>
        <w:t>,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>independentemente da constituição de advogado pelas partes, para exercício de sua missão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97D3E">
        <w:rPr>
          <w:rFonts w:ascii="Book Antiqua" w:hAnsi="Book Antiqua"/>
          <w:b/>
          <w:bCs/>
          <w:sz w:val="19"/>
          <w:szCs w:val="19"/>
        </w:rPr>
        <w:t>constitucional de promoção e defesa dos direitos humanos, na relação jurídico-processual;</w:t>
      </w:r>
      <w:r w:rsidR="00B73997" w:rsidRPr="00E97D3E">
        <w:rPr>
          <w:rFonts w:ascii="Book Antiqua" w:hAnsi="Book Antiqua"/>
          <w:b/>
          <w:bCs/>
          <w:sz w:val="19"/>
          <w:szCs w:val="19"/>
        </w:rPr>
        <w:t xml:space="preserve"> </w:t>
      </w:r>
      <w:bookmarkStart w:id="0" w:name="_Hlk162446736"/>
      <w:r w:rsidR="00E97D3E" w:rsidRPr="00E97D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97D3E" w14:paraId="1331534A" w14:textId="77777777" w:rsidTr="00E97D3E">
        <w:tc>
          <w:tcPr>
            <w:tcW w:w="8494" w:type="dxa"/>
            <w:shd w:val="clear" w:color="auto" w:fill="CCFFFF"/>
          </w:tcPr>
          <w:p w14:paraId="2967EE65" w14:textId="64AF681C" w:rsidR="00E97D3E" w:rsidRPr="00E97D3E" w:rsidRDefault="00E97D3E" w:rsidP="00E97D3E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21"/>
                <w:szCs w:val="21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97D3E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DPEPA-2022-CESPE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97D3E">
              <w:rPr>
                <w:rFonts w:ascii="Book Antiqua" w:hAnsi="Book Antiqua"/>
                <w:sz w:val="19"/>
                <w:szCs w:val="19"/>
              </w:rPr>
              <w:t>De acordo com a Resolução CNDH n.º 10/2018, quando se tratar de conflito fundiário coletivo, o juiz deverá, antes da apreciação da liminar, intimar a DP,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97D3E">
              <w:rPr>
                <w:rFonts w:ascii="Book Antiqua" w:hAnsi="Book Antiqua"/>
                <w:sz w:val="19"/>
                <w:szCs w:val="19"/>
              </w:rPr>
              <w:t>obrigatoriamente.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7º,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II, Res. 10/2018, CNDH.</w:t>
            </w:r>
          </w:p>
        </w:tc>
      </w:tr>
    </w:tbl>
    <w:p w14:paraId="2A2CEC5F" w14:textId="7FCA259C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III - Zelar pela obrigatória intervenção do Ministério Público nos litígios coletivos pela posse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terra rural ou urbana, sempre que não for parte, que deverá atuar no sentido de garantir o respeito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aos direitos humanos dos grupos que demandam especial proteção do Estado afetados pelo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conflito;</w:t>
      </w:r>
    </w:p>
    <w:p w14:paraId="5D2C2BEE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IV - Designar audiência para que o autor justifique previamente o alegado, como medida de boa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prática processual e realização do princípio da cooperação e autocomposição, ainda que os fatos,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objeto do litígio, datem de período inferior a ano e dia;</w:t>
      </w:r>
    </w:p>
    <w:p w14:paraId="189A04E6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 - Verificar se o autor da ação possessória demonstrou a função social da posse do imóvel, se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comprovou o exercício da posse efetiva sobre o bem e, cumulativamente, em caso de posse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decorrente de propriedade, se apresentou título válido;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6B719242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 xml:space="preserve">VI - Considerar a </w:t>
      </w:r>
      <w:proofErr w:type="spellStart"/>
      <w:r w:rsidRPr="00BF6A82">
        <w:rPr>
          <w:rFonts w:ascii="Book Antiqua" w:hAnsi="Book Antiqua"/>
          <w:sz w:val="19"/>
          <w:szCs w:val="19"/>
        </w:rPr>
        <w:t>dominialidade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do imóvel, tanto em ações possessórias quanto em petitórias,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como mecanismo necessário à garantia da correta utilização do patrimônio público fundiário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combate à grilagem e especulação imobiliária, devendo para tanto exigir a certidão de inteiro teor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da cadeia dominial do imóvel desde a origem, aferindo o seu regular destacamento do patrimônio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público e a regularidade jurídica e tributária dos imóveis;</w:t>
      </w:r>
    </w:p>
    <w:p w14:paraId="586193B3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 - Avaliar o impacto social, econômico e ambiental das decisões judiciais tendo em conta 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proteção de grupos em situação de vulnerabilidade, inclusive considerando o número de pessoas,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grupos e famílias, com suas especificidades;</w:t>
      </w:r>
    </w:p>
    <w:p w14:paraId="5A3F432D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VIII - Realizar inspeção judicial tendo como premissa que tal medida em conflitos coletivos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fundiários é procedimento indispensável à eficiente prestação jurisdicional nos termos do artigo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126, parágrafo único, da Constituição Federal, com a devida intimação prévia e pessoal das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pessoas afetadas;</w:t>
      </w:r>
    </w:p>
    <w:p w14:paraId="5C4F67FD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IX - Designar audiência de mediação, de acordo com o art. 565 do CPC, expedindo intimações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para comparecimento do Ministério Público, Defensoria Pública e os órgãos responsáveis pela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política agrária e pela política urbana da União, de Estado ou do Distrito Federal e do Município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onde se situe a área objeto do litígio, devendo estes aportar propostas e informações relevantes</w:t>
      </w:r>
      <w:r w:rsidR="00B73997">
        <w:rPr>
          <w:rFonts w:ascii="Book Antiqua" w:hAnsi="Book Antiqua"/>
          <w:sz w:val="19"/>
          <w:szCs w:val="19"/>
        </w:rPr>
        <w:t xml:space="preserve"> p</w:t>
      </w:r>
      <w:r w:rsidRPr="00BF6A82">
        <w:rPr>
          <w:rFonts w:ascii="Book Antiqua" w:hAnsi="Book Antiqua"/>
          <w:sz w:val="19"/>
          <w:szCs w:val="19"/>
        </w:rPr>
        <w:t>ara a solução do conflito, observado o que dispõem os artigos 378 e 380 do CPC.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06A38717" w14:textId="118F6D48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Parágrafo único. Concedida a liminar, se essa não for executada no prazo de 1 (um) ano, a contar da data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distribuição, caberá ao/à juiz/a designar audiência de mediação nos termos do art. 565, parágrafo 1º, do CPC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adotar as medidas acima previstas.</w:t>
      </w:r>
    </w:p>
    <w:p w14:paraId="308E10D0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CAPÍTULO IV</w:t>
      </w:r>
    </w:p>
    <w:p w14:paraId="5527CA16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SOLUÇÕES GARANTIDORAS DE DIREITOS HUMANOS</w:t>
      </w:r>
    </w:p>
    <w:p w14:paraId="4F318645" w14:textId="023A8CD6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8º As negociações desenvolvidas perante instâncias do Poder Público que atuem ou venham a atuar no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tratamento de conflitos coletivos fundiários urbanos e rurais, seja na esfera extrajudicial, no bojo de um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processo judicial ou em paralelo ao processo judicial, devem se orientar pela busca de soluções garantidoras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direitos humanos, haja vista a assimetria entre as partes envolvidas, devendo observar os ditames a seguir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descritos:</w:t>
      </w:r>
    </w:p>
    <w:p w14:paraId="7379F581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 - Escuta e participação dos ocupantes, seus apoiadores e assessorias técnicas, na criação das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instâncias e procedimentos a serem adotados para soluções garantidoras de direitos humanos;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51AB600C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 - Participação dos órgãos responsáveis pela política fundiária, bem como órgãos do sistema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justiça, favorecendo a adoção de soluções consensuais;</w:t>
      </w:r>
    </w:p>
    <w:p w14:paraId="5C9BFE88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III - Tratando-se de demanda promovida por particular, devem os agentes e instituições do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Estado, inclusive do sistema de justiça, a quem esta resolução se direciona, ingressar na demanda,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requerendo sua suspensão, para promover soluções garantidoras de direitos humanos;</w:t>
      </w:r>
    </w:p>
    <w:p w14:paraId="62A862FE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IV - A natureza possessória da demanda não deverá ser óbice para tentativa de autocomposição,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nem mesmo pelo órgão público que </w:t>
      </w:r>
      <w:proofErr w:type="spellStart"/>
      <w:r w:rsidRPr="00BF6A82">
        <w:rPr>
          <w:rFonts w:ascii="Book Antiqua" w:hAnsi="Book Antiqua"/>
          <w:sz w:val="19"/>
          <w:szCs w:val="19"/>
        </w:rPr>
        <w:t>detem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a </w:t>
      </w:r>
      <w:proofErr w:type="spellStart"/>
      <w:r w:rsidRPr="00BF6A82">
        <w:rPr>
          <w:rFonts w:ascii="Book Antiqua" w:hAnsi="Book Antiqua"/>
          <w:sz w:val="19"/>
          <w:szCs w:val="19"/>
        </w:rPr>
        <w:t>dominialidade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do imóvel, tendo em vista sua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responsabilidade de gestão e proteção ao patrimônio público fundiário;</w:t>
      </w:r>
    </w:p>
    <w:p w14:paraId="2EFCD6C7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 - Priorização do modo de vida, cultura, usos e costumes dos envolvidos, bem como suas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crenças e tradições, respeitando a organização social de cada comunidade afetada, considerando,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ainda, a necessidade de consulta prévia, livre, informada e de boa-fé;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58612B49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 - A prova oral eventualmente feita por grupos em audiência deve ter um especial valor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probatório, sobretudo pelo reconhecimento de que o saber produzido em muitas das coletividades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é transmitido via oral por gerações;</w:t>
      </w:r>
    </w:p>
    <w:p w14:paraId="6AE0578B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 - Os procedimentos devem buscar aplicação de instrumentos de acesso à terra e ao território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estabelecidos nas legislações pertinentes, maximizando a implementação do direito à permanência;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74C08523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VIII - Os acordos adotados não poderão gerar a flexibilização de garantias e de princípios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constitucionalmente previstos e que são passíveis de reconhecimento pela via judicial;</w:t>
      </w:r>
    </w:p>
    <w:p w14:paraId="57301CEB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IX - No curso da negociação não serão expedidos atos judiciais em desfavor dos ocupantes, dada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 irreversibilidade do ato e ao esvaziamento da possibilidade de negociação;</w:t>
      </w:r>
    </w:p>
    <w:p w14:paraId="5E752EAE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X - Os acordos firmados no âmbito da instância de negociação deverão ser respeitados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implementados pelos juízes da causa, independentemente de terem sido por eles conduzidos;</w:t>
      </w:r>
    </w:p>
    <w:p w14:paraId="41864A54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XI - No caso do poder público, o esgotamento da instância fica condicionado à manifestação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bilateral dos participantes;</w:t>
      </w:r>
    </w:p>
    <w:p w14:paraId="4AA81C06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XII - A negociação deve ser priorizada a qualquer tempo, existindo ou não ação judicial, em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qualquer fase processual;</w:t>
      </w:r>
    </w:p>
    <w:p w14:paraId="2BE82FE5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XIII - Nos acordos deve ser garantido o direito à territorialidade tradicional, que envolve não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apenas a área ocupada fisicamente pela coletividade, mas sim toda a área necessária para sua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reprodução econômica, social cultural.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4026FAB3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9º Enquanto não houver solução garantidora de direitos humanos, deve-se permitir a permanência das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populações nos locais em que tiverem se estabelecido, adotando providências para a regularização de sua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situação jurídica no local, ainda que temporariamente, garantindo-se o acesso a todos os serviços essenciais.</w:t>
      </w:r>
    </w:p>
    <w:p w14:paraId="3D99E6EA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Parágrafo único. A negativa de acesso a serviços públicos essenciais, pela falta de apresentação de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comprovante de residência, viola direitos humanos.</w:t>
      </w:r>
    </w:p>
    <w:p w14:paraId="571849EC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10 O Estado tem dever de priorizar as alternativas que permitam a permanência regular dos grupos que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demandam proteção especial nas áreas por eles ocupadas, admitindo-se a realocação desde que mediante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negociações coletivas com as comunidades, resguardado seus interesses.</w:t>
      </w:r>
    </w:p>
    <w:p w14:paraId="318405E0" w14:textId="5F39DD2E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Parágrafo único. Em caso de riscos à saúde ou à segurança dessas comunidades, que deverão ser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comprovados por perícia técnica especializada, devendo todas as informações serem disponibilizadas aos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afetados, para exercício do direito à defesa, assegurada assistência técnica e jurídica gratuita, para livre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decisão da coletividade.</w:t>
      </w:r>
    </w:p>
    <w:p w14:paraId="5DB7F041" w14:textId="6471A4F7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11 Cabe ao Poder Público o atendimento de exigências administrativas e jurídicas relativas à aprovação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projetos de regularização e de registros públicos, em colaboração com as pessoas afetadas, ficando vedada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 retirada forçada como meio de saná-las.</w:t>
      </w:r>
    </w:p>
    <w:p w14:paraId="4052680D" w14:textId="061614C7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12 A prévia destinação da área para outro fim público ou privado não é impeditivo para a manutenção da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população no local.</w:t>
      </w:r>
    </w:p>
    <w:p w14:paraId="04346B57" w14:textId="1E6054AB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13 A retirada forçada de populações e a posterior destinação da área para outros fins públicos ou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privados consolida a violação de direitos humanos ocorrida, e dá ensejo à reparação de todos os afetados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pela privação sofrida, bem como é fundamento para obrigação do Estado de realocação em condições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adequadas.</w:t>
      </w:r>
    </w:p>
    <w:p w14:paraId="6A068C7E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CAPÍTULO V</w:t>
      </w:r>
    </w:p>
    <w:p w14:paraId="1848BE34" w14:textId="77777777" w:rsidR="00BF6A82" w:rsidRPr="00BF6A82" w:rsidRDefault="00BF6A82" w:rsidP="00E97D3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DA EXCEPCIONALIDADE DO DESPEJO</w:t>
      </w:r>
    </w:p>
    <w:p w14:paraId="632574AB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14 Remoções e despejos devem ocorrer apenas em circunstâncias excepcionais, quando o deslocamento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é a única medida capaz de garantir os direitos humanos.</w:t>
      </w:r>
    </w:p>
    <w:p w14:paraId="69930DC9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 xml:space="preserve">§1º Os deslocamentos não deverão resultar em pessoas ou populações sem teto, </w:t>
      </w:r>
      <w:proofErr w:type="spellStart"/>
      <w:r w:rsidRPr="00BF6A82">
        <w:rPr>
          <w:rFonts w:ascii="Book Antiqua" w:hAnsi="Book Antiqua"/>
          <w:sz w:val="19"/>
          <w:szCs w:val="19"/>
        </w:rPr>
        <w:t>sem terra</w:t>
      </w:r>
      <w:proofErr w:type="spellEnd"/>
      <w:r w:rsidRPr="00BF6A82">
        <w:rPr>
          <w:rFonts w:ascii="Book Antiqua" w:hAnsi="Book Antiqua"/>
          <w:sz w:val="19"/>
          <w:szCs w:val="19"/>
        </w:rPr>
        <w:t xml:space="preserve"> e sem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território.</w:t>
      </w:r>
      <w:r w:rsidR="00B73997">
        <w:rPr>
          <w:rFonts w:ascii="Book Antiqua" w:hAnsi="Book Antiqua"/>
          <w:sz w:val="19"/>
          <w:szCs w:val="19"/>
        </w:rPr>
        <w:t xml:space="preserve"> </w:t>
      </w:r>
    </w:p>
    <w:p w14:paraId="19341D55" w14:textId="77777777" w:rsidR="00B73997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§2º Não deverão ser realizadas remoções que afetem as atividades escolares de crianças e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adolescentes, o acesso à educação e a assistência à pessoa atingida, que faz acompanhamento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médico, para evitar a suspensão do tratamento.</w:t>
      </w:r>
    </w:p>
    <w:p w14:paraId="05CEF79E" w14:textId="206E682E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§3º Não deverão ser realizadas remoções antes da retirada das colheitas, devendo-se assegurar</w:t>
      </w:r>
      <w:r w:rsidR="00B73997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tempo razoável para o levantamento das benfeitorias.</w:t>
      </w:r>
    </w:p>
    <w:p w14:paraId="5E8EA776" w14:textId="77777777" w:rsidR="00313D1A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15 Nas remoções inevitáveis, deve ser elaborado plano prévio de remoção e reassentamento.</w:t>
      </w:r>
      <w:r w:rsidR="00313D1A">
        <w:rPr>
          <w:rFonts w:ascii="Book Antiqua" w:hAnsi="Book Antiqua"/>
          <w:sz w:val="19"/>
          <w:szCs w:val="19"/>
        </w:rPr>
        <w:t xml:space="preserve"> </w:t>
      </w:r>
    </w:p>
    <w:p w14:paraId="6B38C008" w14:textId="2614946B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16 O plano de remoção, de responsabilidade do/a juiz/a da causa, deverá necessariamente observar as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seguintes diretrizes:</w:t>
      </w:r>
    </w:p>
    <w:p w14:paraId="26D79084" w14:textId="77777777" w:rsidR="00313D1A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I - A participação do grupo atingido, através de reuniões presenciais, sempre que possível, no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local da ocupação, ou em local de fácil acesso, em que todos e todas devem ter voz assegurada e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considerada, sem qualquer tipo de intimidação e com respeito às formas de expressão das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comunidades atingidas, nos termos da Convenção 169/OIT;</w:t>
      </w:r>
    </w:p>
    <w:p w14:paraId="0EB9FB08" w14:textId="49B8B8AA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 - Participação de representantes dos órgãos responsáveis pela política urbana e rural na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elaboração e execução do plano, tais como INCRA, Fundação Cultural Palmares, FUNAI,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Ouvidorias Agrárias, Ministério Público e Defensoria Pública, por suas subdivisões especializadas,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os quais devem aportar ao plano, informações concretas sobre as possibilidades de realocação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dos grupos deslocados;</w:t>
      </w:r>
    </w:p>
    <w:p w14:paraId="09D3CFF3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III - É parte essencial do plano, que se oportunize às pessoas afetadas, de forma prévia a qualquer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ato de remoção, informar o número de pessoas, grupos e famílias, seu histórico de violações de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direitos, além de contemplar todos os traços das populações, como classe, gênero, raça,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 xml:space="preserve">orientação sexual, identidade de gênero, idade, deficiência, origem étnica, </w:t>
      </w:r>
      <w:proofErr w:type="gramStart"/>
      <w:r w:rsidRPr="00BF6A82">
        <w:rPr>
          <w:rFonts w:ascii="Book Antiqua" w:hAnsi="Book Antiqua"/>
          <w:sz w:val="19"/>
          <w:szCs w:val="19"/>
        </w:rPr>
        <w:t>regional, ou</w:t>
      </w:r>
      <w:r w:rsidR="00313D1A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nacionalidade</w:t>
      </w:r>
      <w:proofErr w:type="gramEnd"/>
      <w:r w:rsidRPr="00BF6A82">
        <w:rPr>
          <w:rFonts w:ascii="Book Antiqua" w:hAnsi="Book Antiqua"/>
          <w:sz w:val="19"/>
          <w:szCs w:val="19"/>
        </w:rPr>
        <w:t>;</w:t>
      </w:r>
    </w:p>
    <w:p w14:paraId="051C9F00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IV - Verificada a presença de grupos com necessidade de cuidado (como por exemplo, crianças,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mulheres, idosos, pessoas com deficiência, população LGBTI e imigrantes), devem ser tomadas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medidas de proteção e acompanhamento específico;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5841AA18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 - Devem ser comunicados da remoção, a Defensoria Pública local, ou outro órgão de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assistência jurídica, no caso de ausência de instalação da primeira na localidade, a comunidade 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seus apoiadores, além de órgãos de assistência social e de direitos humanos;</w:t>
      </w:r>
    </w:p>
    <w:p w14:paraId="390FF6E3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 - Será concedido prazo razoável para a desocupação voluntária em assembleia especificamente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convocada para essa finalidade, informando às pessoas, grupos e famílias os detalhes sobre 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cumprimento da ordem judicial;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0D1E1FD4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 - Durante a remoção devem estar presentes representantes dos órgãos locais de assistência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social (CRAS e CREAS), de proteção à criança e ao adolescente (Conselho Tutelar), de controle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zoonoses e demais órgãos responsáveis justificados pelas peculiaridades da população atingida;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7D58C660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VIII - Deve-se garantir a presença de observadores independentes devidamente identificados, os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quais devem estar presentes para monitorar eventuais ilegalidades, tais como, excesso no uso da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força, violência ou intimidação;</w:t>
      </w:r>
    </w:p>
    <w:p w14:paraId="236CE34B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IX - Na data prevista para cumprimento dos mandados judiciais, o oficial de justiça acompanhará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 execução dos termos do plano, procedendo às anotações de todas as intercorrências por meio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certidão.</w:t>
      </w:r>
    </w:p>
    <w:p w14:paraId="50B7885A" w14:textId="12592CD4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17 O/a juiz/a, ao requerer a intervenção de força policial para cumprimento de decisão, deve determinar,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além dos requisitos já enumerados nesta resolução:</w:t>
      </w:r>
    </w:p>
    <w:p w14:paraId="1F90E171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 - A manifestação do órgão policial competente sobre as condições para o cumprimento do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mandado e previsão expressa dos riscos subjacentes, a qual deve ser considerada para elaboração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 plano de remoção e reassentamento;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3C4448AE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 - A juntada ao processo dos protocolos de atuação, da cadeia de comando da operação e da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identificação dos agentes, devendo estes serem apresentados aos ocupantes e publicizados.</w:t>
      </w:r>
    </w:p>
    <w:p w14:paraId="667E6EE8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Parágrafo único. A atividade policial obrigatoriamente seguirá em estrito acordo com o plano de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remoção e com as normas internacionais de direitos humanos, sob pena de ensejar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responsabilização estatal dos agentes públicos.</w:t>
      </w:r>
    </w:p>
    <w:p w14:paraId="0B3A9A15" w14:textId="11F5AE38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18 Mesmo nos casos de excepcionalidade acima elencados, é vedada a realização de despejos durante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mau tempo, à noite, nos finais de semana, dias festivos, ou em dias litúrgicos próprios da cultura e das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divindades da comunidade afetada.</w:t>
      </w:r>
    </w:p>
    <w:p w14:paraId="00B70441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lastRenderedPageBreak/>
        <w:t>Art. 19 O uso de violência física, psicológica, simbólica, constrangimento ilegal, ameaça, e qualquer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apropriação dos pertences pessoais durante as remoções é ilegal e passível de responsabilização cível, criminal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 administrativa, devendo ser observados o direito à intimidade, privacidade, não discriminação e dignidade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humana.</w:t>
      </w:r>
    </w:p>
    <w:p w14:paraId="23FA3379" w14:textId="730D7938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20 O plano de remoção, de responsabilidade do/a juiz/a da causa, deverá necessariamente observar as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seguintes diretrizes:</w:t>
      </w:r>
    </w:p>
    <w:p w14:paraId="4976A18B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 - A participação do grupo atingido, através de reuniões presenciais, sempre que possível, no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local da ocupação, ou em local de fácil acesso, em que todos e todas devem ter voz assegurada 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considerada, sem qualquer tipo de intimidação e com respeito às formas de expressão das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comunidades atingidas, nos termos da Convenção 169/OIT;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3A3B26E6" w14:textId="0BF35EB2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 - Participação de representantes dos órgãos responsáveis pela política urbana e rural na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elaboração e execução do plano, tais como INCRA, Fundação Cultural Palmares, FUNAI,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Ouvidorias Agrárias, Ministério Público e Defensoria Pública, por suas subdivisões especializadas,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os quais devem aportar ao plano, informações concretas sobre as possibilidades de realocação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dos grupos deslocados;</w:t>
      </w:r>
    </w:p>
    <w:p w14:paraId="43BFF3EB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III - O reassentamento deverá ser garantido em local que assegure que não haja impacto negativo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nas ligações sociais e econômicas das pessoas afetadas e seu acesso a outros direitos humanos;</w:t>
      </w:r>
    </w:p>
    <w:p w14:paraId="5078760A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IV - O reassentamento não poderá impor ao grupo transferido, nem ao grupo que anteriormente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residia no local de destino, consequências socioambientais negativas;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2359C7E2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 - O local de reassentamento, em se tratando de povos indígenas, quilombolas, e povos 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comunidades tradicionais, ficará condicionado ao consentimento obtido via consulta livre, prévia,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informada e de boa-fé, nos termos da Convenção 169/OIT, devendo a área ser próxima ao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território e guardar as mesmas características dele, de forma a permitir a reprodução dos modos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vida tradicionais, assegurada a consulta prévia também na escolha do novo território, e o direito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retorno tão logo cessem as condições que forçaram a referida remoção;</w:t>
      </w:r>
    </w:p>
    <w:p w14:paraId="02AA17B6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 - O local de reassentamento ofertado pelo poder público deve estar pronto (construção de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casas, fornecimento de água, saneamento, eletricidade, escolas, alocação de terras e moradias)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antes da remoção da comunidade, respeitando os elementos que compõem a moradia adequada;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7A607E7E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 - A saída e transporte das pessoas e de seus pertences será responsabilidade e gestão do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poder público;</w:t>
      </w:r>
    </w:p>
    <w:p w14:paraId="5080E34F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VIII - Nos casos excepcionais, em que o deslocamento decorrer de motivos comprovados de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risco grave e imediato à saúde e segurança dos ocupantes, nos termos do art. 10, deve-se garantir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o abrigamento imediato, temporário, em condições dignas, até que se oferte solução garantidora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de direitos humanos em caráter definitivo, com as características indicadas no inciso anterior;</w:t>
      </w:r>
    </w:p>
    <w:p w14:paraId="7C108E49" w14:textId="77777777" w:rsidR="00E97D3E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IX - Quando o reassentamento não for imediato, a autoridade pública deverá responsabilizar-se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pela guarda temporária e devolução dos pertences dos atingidos, até que a realocação se efetive,</w:t>
      </w:r>
      <w:r w:rsidR="00E97D3E">
        <w:rPr>
          <w:rFonts w:ascii="Book Antiqua" w:hAnsi="Book Antiqua"/>
          <w:sz w:val="19"/>
          <w:szCs w:val="19"/>
        </w:rPr>
        <w:t xml:space="preserve"> </w:t>
      </w:r>
      <w:r w:rsidRPr="00BF6A82">
        <w:rPr>
          <w:rFonts w:ascii="Book Antiqua" w:hAnsi="Book Antiqua"/>
          <w:sz w:val="19"/>
          <w:szCs w:val="19"/>
        </w:rPr>
        <w:t>sendo vedada a sua destruição.</w:t>
      </w:r>
      <w:r w:rsidR="00E97D3E">
        <w:rPr>
          <w:rFonts w:ascii="Book Antiqua" w:hAnsi="Book Antiqua"/>
          <w:sz w:val="19"/>
          <w:szCs w:val="19"/>
        </w:rPr>
        <w:t xml:space="preserve"> </w:t>
      </w:r>
    </w:p>
    <w:p w14:paraId="072D55F3" w14:textId="420CB1DF" w:rsidR="00BF6A82" w:rsidRPr="00BF6A82" w:rsidRDefault="00BF6A82" w:rsidP="00E97D3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F6A82">
        <w:rPr>
          <w:rFonts w:ascii="Book Antiqua" w:hAnsi="Book Antiqua"/>
          <w:sz w:val="19"/>
          <w:szCs w:val="19"/>
        </w:rPr>
        <w:t>Art. 21 Essa Resolução entra em vigor na data da sua publicação.</w:t>
      </w:r>
    </w:p>
    <w:p w14:paraId="5A0A4061" w14:textId="77777777" w:rsidR="00BF6A82" w:rsidRDefault="00BF6A82" w:rsidP="00E97D3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136DCA7" w14:textId="77777777" w:rsidR="00E97D3E" w:rsidRDefault="00E97D3E" w:rsidP="00E97D3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38D65724" w14:textId="77777777" w:rsidR="00E97D3E" w:rsidRPr="00BF6A82" w:rsidRDefault="00E97D3E" w:rsidP="00E97D3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97D3E" w:rsidRPr="00BF6A82" w:rsidSect="008E2F4A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4D15E" w14:textId="77777777" w:rsidR="008E2F4A" w:rsidRDefault="008E2F4A" w:rsidP="00BF6A82">
      <w:pPr>
        <w:spacing w:after="0" w:line="240" w:lineRule="auto"/>
      </w:pPr>
      <w:r>
        <w:separator/>
      </w:r>
    </w:p>
  </w:endnote>
  <w:endnote w:type="continuationSeparator" w:id="0">
    <w:p w14:paraId="581D7D0D" w14:textId="77777777" w:rsidR="008E2F4A" w:rsidRDefault="008E2F4A" w:rsidP="00BF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BBD3E" w14:textId="77777777" w:rsidR="008E2F4A" w:rsidRDefault="008E2F4A" w:rsidP="00BF6A82">
      <w:pPr>
        <w:spacing w:after="0" w:line="240" w:lineRule="auto"/>
      </w:pPr>
      <w:r>
        <w:separator/>
      </w:r>
    </w:p>
  </w:footnote>
  <w:footnote w:type="continuationSeparator" w:id="0">
    <w:p w14:paraId="24E9737A" w14:textId="77777777" w:rsidR="008E2F4A" w:rsidRDefault="008E2F4A" w:rsidP="00BF6A82">
      <w:pPr>
        <w:spacing w:after="0" w:line="240" w:lineRule="auto"/>
      </w:pPr>
      <w:r>
        <w:continuationSeparator/>
      </w:r>
    </w:p>
  </w:footnote>
  <w:footnote w:id="1">
    <w:p w14:paraId="5204FDC6" w14:textId="0C416150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</w:t>
      </w:r>
      <w:r w:rsidRPr="00BF6A82">
        <w:rPr>
          <w:rFonts w:ascii="Book Antiqua" w:hAnsi="Book Antiqua"/>
          <w:sz w:val="18"/>
          <w:szCs w:val="18"/>
        </w:rPr>
        <w:t>http://agenciabrasil.ebc.com.br/geral/noticia/2016-11/menos-de-1-das-propriedades-agricolas-detem-quase</w:t>
      </w:r>
      <w:r w:rsidRPr="00BF6A82">
        <w:rPr>
          <w:rFonts w:ascii="Book Antiqua" w:hAnsi="Book Antiqua"/>
          <w:sz w:val="18"/>
          <w:szCs w:val="18"/>
        </w:rPr>
        <w:t>metade-da-</w:t>
      </w:r>
      <w:proofErr w:type="spellStart"/>
      <w:r w:rsidRPr="00BF6A82">
        <w:rPr>
          <w:rFonts w:ascii="Book Antiqua" w:hAnsi="Book Antiqua"/>
          <w:sz w:val="18"/>
          <w:szCs w:val="18"/>
        </w:rPr>
        <w:t>area</w:t>
      </w:r>
      <w:proofErr w:type="spellEnd"/>
      <w:r w:rsidRPr="00BF6A82">
        <w:rPr>
          <w:rFonts w:ascii="Book Antiqua" w:hAnsi="Book Antiqua"/>
          <w:sz w:val="18"/>
          <w:szCs w:val="18"/>
        </w:rPr>
        <w:t>-rural</w:t>
      </w:r>
    </w:p>
  </w:footnote>
  <w:footnote w:id="2">
    <w:p w14:paraId="1A51C225" w14:textId="57C4FE03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Retirado de: </w:t>
      </w:r>
      <w:proofErr w:type="gramStart"/>
      <w:r w:rsidRPr="00BF6A82">
        <w:rPr>
          <w:rFonts w:ascii="Book Antiqua" w:hAnsi="Book Antiqua"/>
          <w:sz w:val="18"/>
          <w:szCs w:val="18"/>
        </w:rPr>
        <w:t>http://www4.planalto.gov.br/consea/comunicacao/noticias/2018/copy2_of_maio/censo</w:t>
      </w:r>
      <w:r>
        <w:rPr>
          <w:rFonts w:ascii="Book Antiqua" w:hAnsi="Book Antiqua"/>
          <w:sz w:val="18"/>
          <w:szCs w:val="18"/>
        </w:rPr>
        <w:t>-</w:t>
      </w:r>
      <w:r w:rsidRPr="00BF6A82">
        <w:rPr>
          <w:rFonts w:ascii="Book Antiqua" w:hAnsi="Book Antiqua"/>
          <w:sz w:val="18"/>
          <w:szCs w:val="18"/>
        </w:rPr>
        <w:t>aponta-aumento-de-numero-de-produtores-que-utilizam-agrotoxicos-na-lavoura Visitado</w:t>
      </w:r>
      <w:proofErr w:type="gramEnd"/>
      <w:r w:rsidRPr="00BF6A82">
        <w:rPr>
          <w:rFonts w:ascii="Book Antiqua" w:hAnsi="Book Antiqua"/>
          <w:sz w:val="18"/>
          <w:szCs w:val="18"/>
        </w:rPr>
        <w:t xml:space="preserve"> em 27/09/2018, às 12:05</w:t>
      </w:r>
      <w:r>
        <w:rPr>
          <w:rFonts w:ascii="Book Antiqua" w:hAnsi="Book Antiqua"/>
          <w:sz w:val="18"/>
          <w:szCs w:val="18"/>
        </w:rPr>
        <w:t>.</w:t>
      </w:r>
    </w:p>
  </w:footnote>
  <w:footnote w:id="3">
    <w:p w14:paraId="37ABBAEC" w14:textId="44B70E40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Idem</w:t>
      </w:r>
      <w:r>
        <w:rPr>
          <w:rFonts w:ascii="Book Antiqua" w:hAnsi="Book Antiqua"/>
          <w:sz w:val="18"/>
          <w:szCs w:val="18"/>
        </w:rPr>
        <w:t>.</w:t>
      </w:r>
    </w:p>
  </w:footnote>
  <w:footnote w:id="4">
    <w:p w14:paraId="21E882D0" w14:textId="73C922DE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https://www.cptnacional.org.br/component/jdownloads/send/13-violencia-contra-a-ocupacao-e-a-posse/14090-violencia-contra-a-ocupacao-e-a-posse-2017?Itemid=0</w:t>
      </w:r>
    </w:p>
  </w:footnote>
  <w:footnote w:id="5">
    <w:p w14:paraId="27D12AC4" w14:textId="4F9F9260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Racismo e violência contra quilombos no Brasil. CONAQ e Terra de Direitos, 2018.</w:t>
      </w:r>
    </w:p>
  </w:footnote>
  <w:footnote w:id="6">
    <w:p w14:paraId="372E0BDA" w14:textId="7CD3ECBB" w:rsidR="00BF6A82" w:rsidRPr="00BF6A82" w:rsidRDefault="00BF6A82" w:rsidP="00BF6A82">
      <w:pPr>
        <w:pStyle w:val="Textodenotaderodap"/>
        <w:jc w:val="both"/>
        <w:rPr>
          <w:rFonts w:ascii="Book Antiqua" w:hAnsi="Book Antiqua"/>
        </w:rPr>
      </w:pPr>
      <w:r w:rsidRPr="00BF6A82">
        <w:rPr>
          <w:rStyle w:val="Refdenotaderodap"/>
          <w:rFonts w:ascii="Book Antiqua" w:hAnsi="Book Antiqua"/>
          <w:sz w:val="18"/>
          <w:szCs w:val="18"/>
        </w:rPr>
        <w:footnoteRef/>
      </w:r>
      <w:r w:rsidRPr="00BF6A82">
        <w:rPr>
          <w:rFonts w:ascii="Book Antiqua" w:hAnsi="Book Antiqua"/>
          <w:sz w:val="18"/>
          <w:szCs w:val="18"/>
        </w:rPr>
        <w:t xml:space="preserve"> https://apublica.org/2018/06/milhares-de-imoveis-da-uniao-estao-vagos-para-uso/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FF"/>
    <w:rsid w:val="00313D1A"/>
    <w:rsid w:val="008E2F4A"/>
    <w:rsid w:val="00A515EB"/>
    <w:rsid w:val="00B73997"/>
    <w:rsid w:val="00BB7FE6"/>
    <w:rsid w:val="00BF6A82"/>
    <w:rsid w:val="00D346F6"/>
    <w:rsid w:val="00D479FF"/>
    <w:rsid w:val="00E9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3ABD"/>
  <w15:chartTrackingRefBased/>
  <w15:docId w15:val="{DBC57CDA-A0A6-4597-B19E-8D28510B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6A8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6A8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6A82"/>
    <w:rPr>
      <w:vertAlign w:val="superscript"/>
    </w:rPr>
  </w:style>
  <w:style w:type="table" w:styleId="Tabelacomgrade">
    <w:name w:val="Table Grid"/>
    <w:basedOn w:val="Tabelanormal"/>
    <w:uiPriority w:val="39"/>
    <w:rsid w:val="00E97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29383-902D-485C-B041-E12BE9874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6750</Words>
  <Characters>36450</Characters>
  <Application>Microsoft Office Word</Application>
  <DocSecurity>0</DocSecurity>
  <Lines>303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2024-03-27T18:10:00Z</dcterms:created>
  <dcterms:modified xsi:type="dcterms:W3CDTF">2024-03-27T18:47:00Z</dcterms:modified>
</cp:coreProperties>
</file>