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F063A" w14:textId="74349293" w:rsidR="00112C0F" w:rsidRPr="00112C0F" w:rsidRDefault="00112C0F" w:rsidP="00B14C8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112C0F">
        <w:rPr>
          <w:rFonts w:ascii="Book Antiqua" w:hAnsi="Book Antiqua"/>
          <w:b/>
          <w:bCs/>
          <w:color w:val="FF0000"/>
          <w:sz w:val="19"/>
          <w:szCs w:val="19"/>
        </w:rPr>
        <w:t>(Atualização em 27/11/2024: questões de concurso)</w:t>
      </w:r>
    </w:p>
    <w:p w14:paraId="19BF0AD8" w14:textId="00C5FEDD" w:rsidR="00B14C80" w:rsidRPr="00B14C80" w:rsidRDefault="00B14C80" w:rsidP="00B14C8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B14C80">
        <w:rPr>
          <w:rFonts w:ascii="Book Antiqua" w:hAnsi="Book Antiqua"/>
          <w:b/>
          <w:bCs/>
          <w:sz w:val="19"/>
          <w:szCs w:val="19"/>
        </w:rPr>
        <w:t>Resolução 1503</w:t>
      </w:r>
      <w:r w:rsidRPr="00B14C80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14C80">
        <w:rPr>
          <w:rFonts w:ascii="Book Antiqua" w:hAnsi="Book Antiqua"/>
          <w:b/>
          <w:bCs/>
          <w:sz w:val="19"/>
          <w:szCs w:val="19"/>
        </w:rPr>
        <w:t>do Conselho Econômico e Social</w:t>
      </w:r>
      <w:r w:rsidRPr="00B14C80">
        <w:rPr>
          <w:rFonts w:ascii="Book Antiqua" w:hAnsi="Book Antiqua"/>
          <w:b/>
          <w:bCs/>
          <w:sz w:val="19"/>
          <w:szCs w:val="19"/>
        </w:rPr>
        <w:t xml:space="preserve"> de</w:t>
      </w:r>
      <w:r w:rsidRPr="00B14C80">
        <w:rPr>
          <w:rFonts w:ascii="Book Antiqua" w:hAnsi="Book Antiqua"/>
          <w:b/>
          <w:bCs/>
          <w:sz w:val="19"/>
          <w:szCs w:val="19"/>
        </w:rPr>
        <w:t xml:space="preserve"> 1970</w:t>
      </w:r>
    </w:p>
    <w:p w14:paraId="625A5DE1" w14:textId="77777777" w:rsidR="00B14C80" w:rsidRPr="00B14C80" w:rsidRDefault="00B14C80" w:rsidP="00B14C8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B14C80">
        <w:rPr>
          <w:rFonts w:ascii="Book Antiqua" w:hAnsi="Book Antiqua"/>
          <w:b/>
          <w:bCs/>
          <w:sz w:val="19"/>
          <w:szCs w:val="19"/>
        </w:rPr>
        <w:t>Procedimento para o tratamento das comunicações relativas a violações dos direitos humanos e liberdades fundamentais.</w:t>
      </w:r>
    </w:p>
    <w:p w14:paraId="04842B95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O conselho Econômico e Social,</w:t>
      </w:r>
    </w:p>
    <w:p w14:paraId="5E7AB955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Levando em conta as resoluções 7 (XXVI) e 17 (XXV) da Comissão de Direitos Humanos e a Resolução 2 (XXI) da Subcomissão para Prevenção da Discriminação e Proteção às minorias,</w:t>
      </w:r>
    </w:p>
    <w:p w14:paraId="124025A5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1. Autoriza a Subcomissão para Prevenção da Discriminação e Proteção as minorias a nomear um grupo de trabalho composto de não mais que cinco de seus membros, com a devida consideração geográfica`, para reunir-se uma vez ao ano em reuniões privadas por um período não excedendo dez dias, imediatamente antes das sessões da Subcomissão, para considerar todas as comunicações, inclusive respostas de governos a este respeito, recebidas pelo Secretário-Geral sob a Resolução 728 F (XXVIII) do conselho, de 30 de julho de 1959, com vistas a trazer atenção da Subcomissão aquelas comunicações, juntamente com as respostas dos governos, se existentes, que pareçam revelar um padrão consistente de violações flagrantes e seguramente comprovadas de direitos humanos e liberdades fundamentais nos termos de referência da Subcomissão.</w:t>
      </w:r>
    </w:p>
    <w:p w14:paraId="51915508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 xml:space="preserve">2. Decide que a Subcomissão-Para-Prevenção da Discriminação e Proteção às Minorias deve, como primeira etapa na implementação da presente resolução, preparar me sua 23a sessão procedimentos adequados </w:t>
      </w:r>
      <w:proofErr w:type="gramStart"/>
      <w:r w:rsidRPr="00B14C80">
        <w:rPr>
          <w:rFonts w:ascii="Book Antiqua" w:hAnsi="Book Antiqua"/>
          <w:sz w:val="19"/>
          <w:szCs w:val="19"/>
        </w:rPr>
        <w:t>para  tratar</w:t>
      </w:r>
      <w:proofErr w:type="gramEnd"/>
      <w:r w:rsidRPr="00B14C80">
        <w:rPr>
          <w:rFonts w:ascii="Book Antiqua" w:hAnsi="Book Antiqua"/>
          <w:sz w:val="19"/>
          <w:szCs w:val="19"/>
        </w:rPr>
        <w:t xml:space="preserve"> da questão de admissibilidade de comunicações recebidas pelo Secretário-Geral sob a Resolução 728 F (XXVIII) do Conselho e de acordo com a resolução 1235 (XLII) do conselho de 6 de junho de 1967;</w:t>
      </w:r>
    </w:p>
    <w:p w14:paraId="495E0DBC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3. Solicita ao Secretário-Geral preparar um documento sobre a questão da admissibilidade de comunicações para a consideração da Subcomissão em sua 23a sessão;</w:t>
      </w:r>
    </w:p>
    <w:p w14:paraId="4FF7B4BC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4. Solicita ademais ao Secretário-Geral:</w:t>
      </w:r>
    </w:p>
    <w:p w14:paraId="08488F58" w14:textId="10134CBC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 xml:space="preserve">a) fornecer </w:t>
      </w:r>
      <w:r w:rsidRPr="00B14C80">
        <w:rPr>
          <w:rFonts w:ascii="Book Antiqua" w:hAnsi="Book Antiqua"/>
          <w:sz w:val="19"/>
          <w:szCs w:val="19"/>
        </w:rPr>
        <w:t>mensalmente</w:t>
      </w:r>
      <w:r w:rsidRPr="00B14C80">
        <w:rPr>
          <w:rFonts w:ascii="Book Antiqua" w:hAnsi="Book Antiqua"/>
          <w:sz w:val="19"/>
          <w:szCs w:val="19"/>
        </w:rPr>
        <w:t xml:space="preserve"> aos membros da subcomissão uma lista de comunicações por ele preparada de acordo com a Resolução 728 F (XXVIII) do conselho e uma breve descrição das mesmas, juntamente com o texto de qualquer resposta recebida dos governos;</w:t>
      </w:r>
    </w:p>
    <w:p w14:paraId="0E106D1C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b) colocar à disposição dos membros do grupo de trabalho em suas reuniões os originais de comunicações registradas que desejarem, levando devidamente em conta as disposições do parágrafo 2o b da resolução 728 F(XXVIII) do Conselho no que diz respeito à divulgação da identidade dos autores das comunicações;</w:t>
      </w:r>
    </w:p>
    <w:p w14:paraId="6EA00F41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c) circular aos membros de Subcomissão, nas línguas de trabalho, os originais das comunicações que forem encaminhadas à Subcomissão pelo grupo de trabalho;</w:t>
      </w:r>
    </w:p>
    <w:p w14:paraId="0659006C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5. Solicita à Subcomissão Para Prevenção da Discriminação e Proteção às Minorias que considerem em reuniões privadas, de acordo com o parágrafo 1o anterior, as comunicações recebidas de acordo com a decisão da maioria dos membros do grupo de trabalho e quaisquer respostas de governo a este respeito, bem como qualquer outra informação relevante, com vistas a determinar se encaminhará à Comissão dos Direitos Humanos situações específicas que pareçam revelar um padrão consistente de violações flagrantes e seguramente comprovadas de direitos humanos que requeiram  a consideração da Comissão;</w:t>
      </w:r>
    </w:p>
    <w:p w14:paraId="71047B6A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6. Solicita à Comissão dos Direitos Humanos, após o exame de qualquer situação a ela encaminhada pela Subcomissão que determine:</w:t>
      </w:r>
    </w:p>
    <w:p w14:paraId="0B190C63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a) se a situação requer um estudo completo da Comissão e um relatório com recomendações a respeito ao conselho, de acordo com o parágrafo 3o da resolução 1235 (XLII) do conselho;</w:t>
      </w:r>
    </w:p>
    <w:p w14:paraId="33A48A18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lastRenderedPageBreak/>
        <w:t>b) se a situação é passível de investigação por um comitê ad hoc, a ser nomeado pela Comissão, que só se efetuará com o consentimento expresso do Estado em questão e que será conduzida em cooperação constante com este Estado e sob condições determinadas por acordo com ele. Em qualquer caso, a investigação só poderá ser empreendida se:</w:t>
      </w:r>
    </w:p>
    <w:p w14:paraId="5B177AC5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i) se todos os meios disponíveis em nível nacional tiverem sidos utilizados e esgotados;</w:t>
      </w:r>
    </w:p>
    <w:p w14:paraId="255AC61A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proofErr w:type="spellStart"/>
      <w:r w:rsidRPr="00B14C80">
        <w:rPr>
          <w:rFonts w:ascii="Book Antiqua" w:hAnsi="Book Antiqua"/>
          <w:sz w:val="19"/>
          <w:szCs w:val="19"/>
        </w:rPr>
        <w:t>ii</w:t>
      </w:r>
      <w:proofErr w:type="spellEnd"/>
      <w:r w:rsidRPr="00B14C80">
        <w:rPr>
          <w:rFonts w:ascii="Book Antiqua" w:hAnsi="Book Antiqua"/>
          <w:sz w:val="19"/>
          <w:szCs w:val="19"/>
        </w:rPr>
        <w:t>) a situação não se relacionar com a matéria que esteja sendo tratada sob outros procedimentos previstos nos instrumentos constitutivos das Nações Unidas e agências especializadas, ou nas convenções por elas adotadas, ou em convenções regionais, ou que o Estado em questão deseje submeter a outros procedimentos em conformidade com acordos internacionais gerais ou especiais de que seja parte;</w:t>
      </w:r>
    </w:p>
    <w:p w14:paraId="7999B923" w14:textId="1F5F5C20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b/>
          <w:bCs/>
          <w:sz w:val="19"/>
          <w:szCs w:val="19"/>
          <w:highlight w:val="magenta"/>
        </w:rPr>
        <w:t>7</w:t>
      </w:r>
      <w:r w:rsidRPr="00B14C80">
        <w:rPr>
          <w:rFonts w:ascii="Book Antiqua" w:hAnsi="Book Antiqua"/>
          <w:sz w:val="19"/>
          <w:szCs w:val="19"/>
        </w:rPr>
        <w:t xml:space="preserve">) </w:t>
      </w:r>
      <w:r w:rsidRPr="00B14C80">
        <w:rPr>
          <w:rFonts w:ascii="Book Antiqua" w:hAnsi="Book Antiqua"/>
          <w:b/>
          <w:bCs/>
          <w:sz w:val="19"/>
          <w:szCs w:val="19"/>
        </w:rPr>
        <w:t>Decide que, se a comissão dos Direitos Humanos nomear um comitê ad hoc para efetuar uma investigação com o consentimento do Estado em questão</w:t>
      </w:r>
      <w:r w:rsidRPr="00B14C80">
        <w:rPr>
          <w:rFonts w:ascii="Book Antiqua" w:hAnsi="Book Antiqua"/>
          <w:sz w:val="19"/>
          <w:szCs w:val="19"/>
        </w:rPr>
        <w:t>;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2118950E" w14:textId="4F736F09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b)</w:t>
      </w:r>
      <w:r>
        <w:rPr>
          <w:rFonts w:ascii="Book Antiqua" w:hAnsi="Book Antiqua"/>
          <w:sz w:val="19"/>
          <w:szCs w:val="19"/>
        </w:rPr>
        <w:t xml:space="preserve"> </w:t>
      </w:r>
      <w:r w:rsidRPr="00B14C80">
        <w:rPr>
          <w:rFonts w:ascii="Book Antiqua" w:hAnsi="Book Antiqua"/>
          <w:sz w:val="19"/>
          <w:szCs w:val="19"/>
        </w:rPr>
        <w:t xml:space="preserve">O comitê estabelecerá seu próprio regulamento, estará sujeito à regra do </w:t>
      </w:r>
      <w:proofErr w:type="spellStart"/>
      <w:r w:rsidRPr="00B14C80">
        <w:rPr>
          <w:rFonts w:ascii="Book Antiqua" w:hAnsi="Book Antiqua"/>
          <w:sz w:val="19"/>
          <w:szCs w:val="19"/>
        </w:rPr>
        <w:t>quorum</w:t>
      </w:r>
      <w:proofErr w:type="spellEnd"/>
      <w:r w:rsidRPr="00B14C80">
        <w:rPr>
          <w:rFonts w:ascii="Book Antiqua" w:hAnsi="Book Antiqua"/>
          <w:sz w:val="19"/>
          <w:szCs w:val="19"/>
        </w:rPr>
        <w:t>; terá autoridade para receber comunicações e para ouvir testemunhas, quando necessário. A investigação será conduzida em cooperação com o governo em questão;</w:t>
      </w:r>
    </w:p>
    <w:p w14:paraId="6EE7A12E" w14:textId="37198A38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b/>
          <w:bCs/>
          <w:sz w:val="19"/>
          <w:szCs w:val="19"/>
        </w:rPr>
        <w:t>c) o processo do Comitê deverá ser confidencial, seus procedimentos deverão ser conduzidos em reuniões privadas e suas comunicações não deverão ser publicadas de forma alguma</w:t>
      </w:r>
      <w:r w:rsidRPr="00B14C80">
        <w:rPr>
          <w:rFonts w:ascii="Book Antiqua" w:hAnsi="Book Antiqua"/>
          <w:sz w:val="19"/>
          <w:szCs w:val="19"/>
        </w:rPr>
        <w:t>;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18EB0BF8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d) o Comitê se empenhará para encontrar soluções amistosas antes, durante e depois da investigação;</w:t>
      </w:r>
    </w:p>
    <w:p w14:paraId="30D531E9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e) o Comitê encaminhará relatório à Comissão de Direitos Humanos com as observações e as sugestões que julgar apropriadas;</w:t>
      </w:r>
    </w:p>
    <w:p w14:paraId="5A6A9E86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 xml:space="preserve">8. Decide que todas as providências previstas na implementação da presente Resolução pela </w:t>
      </w:r>
      <w:proofErr w:type="gramStart"/>
      <w:r w:rsidRPr="00B14C80">
        <w:rPr>
          <w:rFonts w:ascii="Book Antiqua" w:hAnsi="Book Antiqua"/>
          <w:sz w:val="19"/>
          <w:szCs w:val="19"/>
        </w:rPr>
        <w:t>subcomissão Para</w:t>
      </w:r>
      <w:proofErr w:type="gramEnd"/>
      <w:r w:rsidRPr="00B14C80">
        <w:rPr>
          <w:rFonts w:ascii="Book Antiqua" w:hAnsi="Book Antiqua"/>
          <w:sz w:val="19"/>
          <w:szCs w:val="19"/>
        </w:rPr>
        <w:t xml:space="preserve"> prevenção da Discriminação e Proteção às Minorias ou pela Comissão dos Direitos Humanos deverão permanecer confidenciais até o momento em que a Comissão decida fazer recomendações ao Conselho Econômico e Social;</w:t>
      </w:r>
    </w:p>
    <w:p w14:paraId="72EC1FC6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9. Decide autorizar o Secretário-Geral a fornecer todas as facilidades que possam ser necessárias à implementação da presente Resolução, utilizando o pessoal existente da Divisão de Direitos Humanos do Secretariado das Nações Unidas;</w:t>
      </w:r>
    </w:p>
    <w:p w14:paraId="448DCBFB" w14:textId="7DDD830B" w:rsidR="00BB7FE6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 xml:space="preserve">10. Decide que o procedimento previsto </w:t>
      </w:r>
      <w:proofErr w:type="spellStart"/>
      <w:r w:rsidRPr="00B14C80">
        <w:rPr>
          <w:rFonts w:ascii="Book Antiqua" w:hAnsi="Book Antiqua"/>
          <w:sz w:val="19"/>
          <w:szCs w:val="19"/>
        </w:rPr>
        <w:t>na</w:t>
      </w:r>
      <w:proofErr w:type="spellEnd"/>
      <w:r w:rsidRPr="00B14C80">
        <w:rPr>
          <w:rFonts w:ascii="Book Antiqua" w:hAnsi="Book Antiqua"/>
          <w:sz w:val="19"/>
          <w:szCs w:val="19"/>
        </w:rPr>
        <w:t xml:space="preserve"> presente Resolução para o tratamento das comunicações relativas a violações de direitos humanos e liberdades fundamentais deverá ser revisto se qualquer novo órgão habilitado e tratar de tais comunicações vier a ser estabelecido nas Nações Unidas ou por acordo internacional.</w:t>
      </w:r>
    </w:p>
    <w:sectPr w:rsidR="00BB7FE6" w:rsidRPr="00B14C80" w:rsidSect="00112C0F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6A"/>
    <w:rsid w:val="00112C0F"/>
    <w:rsid w:val="007F6905"/>
    <w:rsid w:val="00B14C80"/>
    <w:rsid w:val="00BB7FE6"/>
    <w:rsid w:val="00D346F6"/>
    <w:rsid w:val="00D7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EBE70"/>
  <w15:chartTrackingRefBased/>
  <w15:docId w15:val="{2D802977-E569-4921-B85D-ACCC8A84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935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2024-11-27T17:15:00Z</dcterms:created>
  <dcterms:modified xsi:type="dcterms:W3CDTF">2024-11-27T17:23:00Z</dcterms:modified>
</cp:coreProperties>
</file>