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745A9" w14:textId="6B75C5B1" w:rsidR="00BE3DD7" w:rsidRPr="00BE3DD7" w:rsidRDefault="00BE3DD7" w:rsidP="00BE3DD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BE3DD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8565B6">
        <w:rPr>
          <w:rFonts w:ascii="Book Antiqua" w:hAnsi="Book Antiqua"/>
          <w:b/>
          <w:bCs/>
          <w:color w:val="FF0000"/>
          <w:sz w:val="19"/>
          <w:szCs w:val="19"/>
        </w:rPr>
        <w:t>25/05/2024</w:t>
      </w:r>
      <w:r w:rsidRPr="00BE3DD7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1DA58B9E" w14:textId="7E45DFCA" w:rsidR="00BE3DD7" w:rsidRPr="00BE3DD7" w:rsidRDefault="00BE3DD7" w:rsidP="00BE3D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AG/RES. 2656 (XLI-O/11)</w:t>
      </w:r>
    </w:p>
    <w:p w14:paraId="72E9E87E" w14:textId="77777777" w:rsidR="00BE3DD7" w:rsidRPr="00BE3DD7" w:rsidRDefault="00BE3DD7" w:rsidP="00BE3D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GARANTIAS DE ACESSO À JUSTIÇA: O PAPEL DOS</w:t>
      </w:r>
    </w:p>
    <w:p w14:paraId="12890E2E" w14:textId="77777777" w:rsidR="00BE3DD7" w:rsidRPr="00BE3DD7" w:rsidRDefault="00BE3DD7" w:rsidP="00BE3D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DEFENSORES PÚBLICOS OFICIAIS</w:t>
      </w:r>
    </w:p>
    <w:p w14:paraId="2EF1BD79" w14:textId="77777777" w:rsidR="00BE3DD7" w:rsidRPr="00BE3DD7" w:rsidRDefault="00BE3DD7" w:rsidP="00BE3DD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(Aprovada na quarta sessão plenária, realizada em 7 de junho de 2011)</w:t>
      </w:r>
    </w:p>
    <w:p w14:paraId="061D23FE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A ASSEMBLÉIA GERAL,</w:t>
      </w:r>
    </w:p>
    <w:p w14:paraId="00B62B7B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RECORDANDO que, em conformidade com a Carta da Organização dos Estados Americanos (OEA), a Declaração Americana dos Direitos e Deveres do Homem e a Convenção Americana sobre Direitos Humanos, e tendo presente todas as disposições pertinentes do Direito Internacional dos Direitos Humanos, em suas respectivas áreas de aplicação, os direitos humanos e liberdades fundamentais devem ser respeitados, sem distinção alguma;</w:t>
      </w:r>
    </w:p>
    <w:p w14:paraId="70D42E3D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 xml:space="preserve">RECORDANDO TAMBÉM que o Pacto Internacional de Direitos Civis e Políticos dispõe a obrigação dos Estados Partes de editar as disposições legislativas ou de outra natureza, que se </w:t>
      </w:r>
      <w:proofErr w:type="gramStart"/>
      <w:r w:rsidRPr="00BE3DD7">
        <w:rPr>
          <w:rFonts w:ascii="Book Antiqua" w:hAnsi="Book Antiqua"/>
          <w:sz w:val="19"/>
          <w:szCs w:val="19"/>
        </w:rPr>
        <w:t xml:space="preserve">façam </w:t>
      </w:r>
      <w:r>
        <w:rPr>
          <w:rFonts w:ascii="Book Antiqua" w:hAnsi="Book Antiqua"/>
          <w:sz w:val="19"/>
          <w:szCs w:val="19"/>
        </w:rPr>
        <w:t xml:space="preserve"> </w:t>
      </w:r>
      <w:r w:rsidRPr="00BE3DD7">
        <w:rPr>
          <w:rFonts w:ascii="Book Antiqua" w:hAnsi="Book Antiqua"/>
          <w:sz w:val="19"/>
          <w:szCs w:val="19"/>
        </w:rPr>
        <w:t>necessárias</w:t>
      </w:r>
      <w:proofErr w:type="gramEnd"/>
      <w:r w:rsidRPr="00BE3DD7">
        <w:rPr>
          <w:rFonts w:ascii="Book Antiqua" w:hAnsi="Book Antiqua"/>
          <w:sz w:val="19"/>
          <w:szCs w:val="19"/>
        </w:rPr>
        <w:t xml:space="preserve"> para tornar efetivos os direitos reconhecidos no Pacto. O artigo 14 dispõe que toda pessoa acusada de um delito tem direito a se defender pessoalmente ou por intermédio de um defensor de sua escolha; a ser informada, caso não tenha defensor, desse direito que lhe assiste de tê</w:t>
      </w:r>
      <w:r>
        <w:rPr>
          <w:rFonts w:ascii="Book Antiqua" w:hAnsi="Book Antiqua"/>
          <w:sz w:val="19"/>
          <w:szCs w:val="19"/>
        </w:rPr>
        <w:t>-</w:t>
      </w:r>
      <w:r w:rsidRPr="00BE3DD7">
        <w:rPr>
          <w:rFonts w:ascii="Book Antiqua" w:hAnsi="Book Antiqua"/>
          <w:sz w:val="19"/>
          <w:szCs w:val="19"/>
        </w:rPr>
        <w:t xml:space="preserve">lo; e, sempre que o interesse da justiça o exija, a ter um defensor designado </w:t>
      </w:r>
      <w:r w:rsidRPr="00BE3DD7">
        <w:rPr>
          <w:rFonts w:ascii="Book Antiqua" w:hAnsi="Book Antiqua"/>
          <w:i/>
          <w:iCs/>
          <w:sz w:val="19"/>
          <w:szCs w:val="19"/>
        </w:rPr>
        <w:t>ex officio</w:t>
      </w:r>
      <w:r w:rsidRPr="00BE3DD7">
        <w:rPr>
          <w:rFonts w:ascii="Book Antiqua" w:hAnsi="Book Antiqua"/>
          <w:sz w:val="19"/>
          <w:szCs w:val="19"/>
        </w:rPr>
        <w:t>, gratuitamente, caso não disponha de meios suficientes para remunerá-lo;</w:t>
      </w:r>
    </w:p>
    <w:p w14:paraId="2B26550E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DESTACANDO que a Convenção Americana sobre Direitos Humanos dispõe, no artigo 8.2.e, o direito irrenunciável de ser assistido por um defensor proporcionado pelo Estado, remunerado ou não, segundo a legislação interna, caso o acusado não se defenda pessoalmente ou nomeie defensor no prazo estabelecido em lei;</w:t>
      </w:r>
    </w:p>
    <w:p w14:paraId="2621824B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 xml:space="preserve">AFIRMANDO o caráter universal, indivisível e interdependente dos direitos humanos; </w:t>
      </w:r>
    </w:p>
    <w:p w14:paraId="3AF9AFEA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AFIRMANDO TAMBÉM que os Estados membros têm a obrigação de respeitar e garantir o exercício dos direitos reconhecidos nos tratados internacionais em que são partes e em suas legislações internas, eliminando os obstáculos que afetem ou limitem o acesso à defensoria pública,</w:t>
      </w:r>
      <w:r>
        <w:rPr>
          <w:rFonts w:ascii="Book Antiqua" w:hAnsi="Book Antiqua"/>
          <w:sz w:val="19"/>
          <w:szCs w:val="19"/>
        </w:rPr>
        <w:t xml:space="preserve"> </w:t>
      </w:r>
      <w:r w:rsidRPr="00BE3DD7">
        <w:rPr>
          <w:rFonts w:ascii="Book Antiqua" w:hAnsi="Book Antiqua"/>
          <w:sz w:val="19"/>
          <w:szCs w:val="19"/>
        </w:rPr>
        <w:t xml:space="preserve">de maneira que se assegure o livre e pleno acesso à justiça; </w:t>
      </w:r>
    </w:p>
    <w:p w14:paraId="460200A5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CONSIDERANDO que o acesso à justiça, como direito humano fundamental é, também, o meio que possibilita restabelecer o exercício dos direitos que tenham sido ignorados ou violados, e salienta, ao mesmo tempo, que o acesso à justiça não se esgota com o ingresso das pessoas na instância judicial, mas que se estende ao longo de todo o processo, o qual deve ser instruído segundo os princípios que sustentam o Estado de Direito, como o julgamento justo, e se prolonga até a execução da sentença;</w:t>
      </w:r>
    </w:p>
    <w:p w14:paraId="73562B74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TENDO PRESENTES:</w:t>
      </w:r>
    </w:p>
    <w:p w14:paraId="7738790E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A Observação Geral No 32, do Conselho de Direitos Humanos das Nações Unidas, cujo parágrafo 9 dispõe que o acesso à administração da justiça deve ser garantido, efetivamente, em todos os casos; e</w:t>
      </w:r>
    </w:p>
    <w:p w14:paraId="6146AFF7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As “Regras de Brasília sobre Acesso à Justiça das Pessoas em Condição de Vulnerabilidade” (Décima Quarta Conferência Judicial Ibero-Americana, Brasília, República Federativa do Brasil, 2008), que visam a garantir o acesso afetivo à justiça das pessoas em condição de vulnerabilidade, sem discriminação alguma, para que essas pessoas possam usufruir plenamente dos serviços do sistema judiciário; e que promovem, ademais, a implementação de políticas públicas destinadas a proporcionar às pessoas assistência técnico-jurídica;</w:t>
      </w:r>
    </w:p>
    <w:p w14:paraId="605AFEEB" w14:textId="3881BB12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DESTACANDO o trabalho realizado pelos defensores públicos oficiais, em diversos países</w:t>
      </w:r>
      <w:r>
        <w:rPr>
          <w:rFonts w:ascii="Book Antiqua" w:hAnsi="Book Antiqua"/>
          <w:sz w:val="19"/>
          <w:szCs w:val="19"/>
        </w:rPr>
        <w:t xml:space="preserve"> </w:t>
      </w:r>
      <w:r w:rsidRPr="00BE3DD7">
        <w:rPr>
          <w:rFonts w:ascii="Book Antiqua" w:hAnsi="Book Antiqua"/>
          <w:sz w:val="19"/>
          <w:szCs w:val="19"/>
        </w:rPr>
        <w:t xml:space="preserve">do Hemisfério, na defesa dos direitos fundamentais dos indivíduos, especificamente os serviços de </w:t>
      </w:r>
      <w:r w:rsidRPr="00BE3DD7">
        <w:rPr>
          <w:rFonts w:ascii="Book Antiqua" w:hAnsi="Book Antiqua"/>
          <w:sz w:val="19"/>
          <w:szCs w:val="19"/>
        </w:rPr>
        <w:lastRenderedPageBreak/>
        <w:t xml:space="preserve">assistência jurídica gratuita que possibilitam o fácil e oportuno acesso de todas as pessoas à justiça, sobretudo daquelas que se encontram em situação especial de vulnerabilidade; </w:t>
      </w:r>
    </w:p>
    <w:p w14:paraId="658AFB5C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LEVANDO EM CONTA a importância fundamental de que esse serviço goze de independência e autonomia funcional; e</w:t>
      </w:r>
    </w:p>
    <w:p w14:paraId="2D8FEE4C" w14:textId="334BF05C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63668">
        <w:rPr>
          <w:rFonts w:ascii="Book Antiqua" w:hAnsi="Book Antiqua"/>
          <w:b/>
          <w:bCs/>
          <w:sz w:val="19"/>
          <w:szCs w:val="19"/>
        </w:rPr>
        <w:t>TOMANDO NOTA com suma satisfação da implementação da figura do “</w:t>
      </w:r>
      <w:r w:rsidRPr="00F63668">
        <w:rPr>
          <w:rFonts w:ascii="Book Antiqua" w:hAnsi="Book Antiqua"/>
          <w:b/>
          <w:bCs/>
          <w:sz w:val="19"/>
          <w:szCs w:val="19"/>
          <w:shd w:val="clear" w:color="auto" w:fill="F7CAAC" w:themeFill="accent2" w:themeFillTint="66"/>
        </w:rPr>
        <w:t>Defensor Público Interamericano</w:t>
      </w:r>
      <w:r w:rsidRPr="00F63668">
        <w:rPr>
          <w:rFonts w:ascii="Book Antiqua" w:hAnsi="Book Antiqua"/>
          <w:b/>
          <w:bCs/>
          <w:sz w:val="19"/>
          <w:szCs w:val="19"/>
        </w:rPr>
        <w:t>” e do Acordo de Entendimento, firmado entre a Corte Interamericana de Direitos Humanos e a Associação Interamericana de Defensorias Públicas (AIDEF), para a designação oficiosa de um defensor público e para buscar o direito de assistência gratuita a todas as supostas vítimas de violações de direitos humanos, na tramitação dos casos contenciosos que o requeiram</w:t>
      </w:r>
      <w:r w:rsidRPr="00BE3DD7">
        <w:rPr>
          <w:rFonts w:ascii="Book Antiqua" w:hAnsi="Book Antiqua"/>
          <w:sz w:val="19"/>
          <w:szCs w:val="19"/>
        </w:rPr>
        <w:t>,</w:t>
      </w:r>
      <w:r w:rsidR="00F63668">
        <w:rPr>
          <w:rFonts w:ascii="Book Antiqua" w:hAnsi="Book Antiqua"/>
          <w:sz w:val="19"/>
          <w:szCs w:val="19"/>
        </w:rPr>
        <w:t xml:space="preserve"> </w:t>
      </w:r>
      <w:r w:rsidR="00F6366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(DPESC-2021)</w:t>
      </w:r>
    </w:p>
    <w:p w14:paraId="624F444F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b/>
          <w:bCs/>
          <w:sz w:val="19"/>
          <w:szCs w:val="19"/>
        </w:rPr>
        <w:t>RESOLVE</w:t>
      </w:r>
      <w:r w:rsidRPr="00BE3DD7">
        <w:rPr>
          <w:rFonts w:ascii="Book Antiqua" w:hAnsi="Book Antiqua"/>
          <w:sz w:val="19"/>
          <w:szCs w:val="19"/>
        </w:rPr>
        <w:t>:</w:t>
      </w:r>
    </w:p>
    <w:p w14:paraId="0FD1E67D" w14:textId="77777777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19CCE74F" w14:textId="1AB277DF" w:rsid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BE3DD7">
        <w:rPr>
          <w:rFonts w:ascii="Book Antiqua" w:hAnsi="Book Antiqua"/>
          <w:b/>
          <w:bCs/>
          <w:sz w:val="19"/>
          <w:szCs w:val="19"/>
        </w:rPr>
        <w:t>.</w:t>
      </w:r>
      <w:r w:rsidRPr="00BE3DD7">
        <w:rPr>
          <w:rFonts w:ascii="Book Antiqua" w:hAnsi="Book Antiqua"/>
          <w:sz w:val="19"/>
          <w:szCs w:val="19"/>
        </w:rPr>
        <w:t xml:space="preserve"> </w:t>
      </w:r>
      <w:r w:rsidRPr="00BE3DD7">
        <w:rPr>
          <w:rFonts w:ascii="Book Antiqua" w:hAnsi="Book Antiqua"/>
          <w:b/>
          <w:bCs/>
          <w:sz w:val="19"/>
          <w:szCs w:val="19"/>
        </w:rPr>
        <w:t>Afirmar que o acesso à justiça, como direito humano fundamental, é, ao mesmo tempo, o meio que possibilita que se restabeleça o exercício dos direitos que tenham sido ignorados ou violados</w:t>
      </w:r>
      <w:r w:rsidRPr="00BE3DD7">
        <w:rPr>
          <w:rFonts w:ascii="Book Antiqua" w:hAnsi="Book Antiqua"/>
          <w:sz w:val="19"/>
          <w:szCs w:val="19"/>
        </w:rPr>
        <w:t>.</w:t>
      </w:r>
      <w:r w:rsidR="00A30B63">
        <w:rPr>
          <w:rFonts w:ascii="Book Antiqua" w:hAnsi="Book Antiqua"/>
          <w:sz w:val="19"/>
          <w:szCs w:val="19"/>
        </w:rPr>
        <w:t xml:space="preserve"> </w:t>
      </w:r>
      <w:bookmarkStart w:id="0" w:name="_Hlk151034566"/>
      <w:r w:rsidR="00A30B6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(DPESP-2012)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E3DD7" w14:paraId="43A8C2B7" w14:textId="77777777" w:rsidTr="008E6817">
        <w:tc>
          <w:tcPr>
            <w:tcW w:w="8494" w:type="dxa"/>
            <w:shd w:val="clear" w:color="auto" w:fill="CCFFFF"/>
          </w:tcPr>
          <w:p w14:paraId="01BB7E60" w14:textId="528465FB" w:rsidR="00BE3DD7" w:rsidRDefault="00BE3DD7" w:rsidP="008E6817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E3D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SP-2012-FCC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Assinale a alternativa correta: </w:t>
            </w:r>
            <w:r w:rsidRPr="00BE3DD7">
              <w:rPr>
                <w:rFonts w:ascii="Book Antiqua" w:hAnsi="Book Antiqua"/>
                <w:sz w:val="19"/>
                <w:szCs w:val="19"/>
              </w:rPr>
              <w:t>A Resolução 2.656/11 da Organização dos Estados Americanos - OEA - afirma o acesso à justiça como direito humano fundamental autônomo, sendo o primeiro ato normativo da entidade que impulsiona o modelo de Defensoria Pública como ferramenta eficaz para a salvaguarda daquele direito.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Item 1 da Res.</w:t>
            </w:r>
          </w:p>
          <w:p w14:paraId="33EDC4EF" w14:textId="4F690213" w:rsidR="00BE3DD7" w:rsidRPr="00BE3DD7" w:rsidRDefault="00BE3DD7" w:rsidP="008E6817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BE3DD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BE3DD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E3DD7">
              <w:rPr>
                <w:rFonts w:ascii="Book Antiqua" w:hAnsi="Book Antiqua"/>
                <w:sz w:val="19"/>
                <w:szCs w:val="19"/>
              </w:rPr>
              <w:t xml:space="preserve">A 41º Assembleia Geral da Organização dos Estados Americanos (OEA), realizada no período de 5 a 7 de junho, em El Salvador, aprovou, por unanimidade, a Resolução AG/RES. 2656 (XLI-0/11), que trata das </w:t>
            </w:r>
            <w:r>
              <w:rPr>
                <w:rFonts w:ascii="Book Antiqua" w:hAnsi="Book Antiqua"/>
                <w:sz w:val="19"/>
                <w:szCs w:val="19"/>
              </w:rPr>
              <w:t>“</w:t>
            </w:r>
            <w:r w:rsidRPr="00BE3DD7"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Garantias para o acesso à Justiça</w:t>
            </w:r>
            <w:r>
              <w:rPr>
                <w:rFonts w:ascii="Book Antiqua" w:hAnsi="Book Antiqua"/>
                <w:sz w:val="19"/>
                <w:szCs w:val="19"/>
              </w:rPr>
              <w:t>”</w:t>
            </w:r>
            <w:r w:rsidRPr="00BE3DD7">
              <w:rPr>
                <w:rFonts w:ascii="Book Antiqua" w:hAnsi="Book Antiqua"/>
                <w:sz w:val="19"/>
                <w:szCs w:val="19"/>
              </w:rPr>
              <w:t>. O documento é o primeiro ato normativo aprovado pela OEA que aborda o tema do acesso à Justiça como um direito autônomo, que permite exercer e proteger outros direitos, além de impulsionar o papel da Defensoria Pública como ferramenta eficaz para garantir o acesso à Justiça das pessoas em condição de vulnerabilidade.</w:t>
            </w:r>
          </w:p>
        </w:tc>
      </w:tr>
    </w:tbl>
    <w:p w14:paraId="4DAA460C" w14:textId="7952BED8" w:rsidR="00BE3DD7" w:rsidRPr="008565B6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  <w:u w:val="single"/>
        </w:rPr>
      </w:pPr>
      <w:r w:rsidRPr="00BE3DD7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BE3DD7">
        <w:rPr>
          <w:rFonts w:ascii="Book Antiqua" w:hAnsi="Book Antiqua"/>
          <w:sz w:val="19"/>
          <w:szCs w:val="19"/>
        </w:rPr>
        <w:t xml:space="preserve">. </w:t>
      </w:r>
      <w:r w:rsidRPr="00BE3DD7">
        <w:rPr>
          <w:rFonts w:ascii="Book Antiqua" w:hAnsi="Book Antiqua"/>
          <w:b/>
          <w:bCs/>
          <w:sz w:val="19"/>
          <w:szCs w:val="19"/>
        </w:rPr>
        <w:t>Apoiar o trabalho que vêm desenvolvendo os defensores públicos oficiais dos Estados do Hemisfério, que constitui um aspecto essencial para o fortalecimento do acesso à justiça e à consolidação da democracia</w:t>
      </w:r>
      <w:r w:rsidRPr="00BE3DD7">
        <w:rPr>
          <w:rFonts w:ascii="Book Antiqua" w:hAnsi="Book Antiqua"/>
          <w:sz w:val="19"/>
          <w:szCs w:val="19"/>
        </w:rPr>
        <w:t xml:space="preserve">. </w:t>
      </w:r>
      <w:r w:rsidR="00A30B6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(DPEGO-2014)</w:t>
      </w:r>
      <w:r w:rsidR="00A30B6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A30B6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(DPERO-2017)</w:t>
      </w:r>
      <w:r w:rsidR="008565B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565B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(DPEMT-2022)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E3DD7" w14:paraId="3F8FE736" w14:textId="77777777" w:rsidTr="00BE3DD7">
        <w:tc>
          <w:tcPr>
            <w:tcW w:w="8494" w:type="dxa"/>
            <w:shd w:val="clear" w:color="auto" w:fill="CCFFFF"/>
          </w:tcPr>
          <w:p w14:paraId="324BCA50" w14:textId="7F4994DD" w:rsidR="007A5489" w:rsidRPr="007A5489" w:rsidRDefault="007A5489" w:rsidP="00BE3DD7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7A5489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DPERO-2017-VUNESP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A5489">
              <w:rPr>
                <w:rFonts w:ascii="Book Antiqua" w:hAnsi="Book Antiqua"/>
                <w:sz w:val="19"/>
                <w:szCs w:val="19"/>
              </w:rPr>
              <w:t>Considerando que o acesso à Justiça é um direito humano fundamental, apoiar o trabalho dos defensores públicos, como reconhecido pela OEA – Organização dos Estados Americanos, constitui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7A5489">
              <w:rPr>
                <w:rFonts w:ascii="Book Antiqua" w:hAnsi="Book Antiqua"/>
                <w:sz w:val="19"/>
                <w:szCs w:val="19"/>
              </w:rPr>
              <w:t>um aspecto essencial para a consolidação da democracia.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Item 2 da Res.</w:t>
            </w:r>
          </w:p>
          <w:p w14:paraId="0ADC46AC" w14:textId="6ACF6B14" w:rsidR="00BE3DD7" w:rsidRPr="00BE3DD7" w:rsidRDefault="00BE3DD7" w:rsidP="00BE3DD7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E3D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DPEGO-2014-UFG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E3DD7">
              <w:rPr>
                <w:rFonts w:ascii="Book Antiqua" w:hAnsi="Book Antiqua"/>
                <w:sz w:val="19"/>
                <w:szCs w:val="19"/>
              </w:rPr>
              <w:t>A Resolução n. 2.656/2011, da Organização dos Estados Americanos (OEA), aprovada na quarta sessão plenária, realizada em 7 de junho de 2011, ao considerar que o acesso à justiça, como direito humano fundamental, é também o meio que possibilita restabelecer o exercício dos direitos que tenham sido ignorados ou violados, determina: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E3DD7">
              <w:rPr>
                <w:rFonts w:ascii="Book Antiqua" w:hAnsi="Book Antiqua"/>
                <w:sz w:val="19"/>
                <w:szCs w:val="19"/>
              </w:rPr>
              <w:t>apoiar o trabalho que vêm desenvolvendo os defensores públicos oficiais, que constitui um aspecto essencial para o fortalecimento do acesso à justiça e à consolidação da democracia.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Item 2 da Res.</w:t>
            </w:r>
          </w:p>
        </w:tc>
      </w:tr>
    </w:tbl>
    <w:p w14:paraId="52E20896" w14:textId="4E9A83E0" w:rsidR="00BE3DD7" w:rsidRPr="00F63668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6"/>
          <w:szCs w:val="16"/>
          <w:u w:val="single"/>
        </w:rPr>
      </w:pPr>
      <w:r w:rsidRPr="00DB455C">
        <w:rPr>
          <w:rFonts w:ascii="Book Antiqua" w:hAnsi="Book Antiqua"/>
          <w:b/>
          <w:bCs/>
          <w:sz w:val="19"/>
          <w:szCs w:val="19"/>
          <w:highlight w:val="magenta"/>
        </w:rPr>
        <w:t>3</w:t>
      </w:r>
      <w:r w:rsidRPr="00BE3DD7">
        <w:rPr>
          <w:rFonts w:ascii="Book Antiqua" w:hAnsi="Book Antiqua"/>
          <w:sz w:val="19"/>
          <w:szCs w:val="19"/>
        </w:rPr>
        <w:t xml:space="preserve">. </w:t>
      </w:r>
      <w:r w:rsidRPr="00DB455C">
        <w:rPr>
          <w:rFonts w:ascii="Book Antiqua" w:hAnsi="Book Antiqua"/>
          <w:b/>
          <w:bCs/>
          <w:sz w:val="19"/>
          <w:szCs w:val="19"/>
        </w:rPr>
        <w:t>Afirmar a importância fundamental do serviço de assistência jurídica gratuita para a promoção e a proteção do direito ao acesso à justiça de todas as pessoas, em especial daquelas que se encontram em situação especial de vulnerabilidade</w:t>
      </w:r>
      <w:r w:rsidRPr="00A30B63">
        <w:rPr>
          <w:rFonts w:ascii="Book Antiqua" w:hAnsi="Book Antiqua"/>
          <w:sz w:val="16"/>
          <w:szCs w:val="16"/>
        </w:rPr>
        <w:t>.</w:t>
      </w:r>
      <w:r w:rsidR="00DB455C" w:rsidRPr="00A30B63">
        <w:rPr>
          <w:rFonts w:ascii="Book Antiqua" w:hAnsi="Book Antiqua"/>
          <w:sz w:val="16"/>
          <w:szCs w:val="16"/>
        </w:rPr>
        <w:t xml:space="preserve"> </w:t>
      </w:r>
      <w:r w:rsidR="00DB455C" w:rsidRP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(DPEPA-2015)</w:t>
      </w:r>
      <w:r w:rsidR="00F6366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" w:name="_Hlk151124319"/>
      <w:r w:rsidR="00F6366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(DPESC-2021)</w:t>
      </w:r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63668" w14:paraId="70856644" w14:textId="77777777" w:rsidTr="00005FD2">
        <w:tc>
          <w:tcPr>
            <w:tcW w:w="8494" w:type="dxa"/>
            <w:shd w:val="clear" w:color="auto" w:fill="CCFFFF"/>
          </w:tcPr>
          <w:p w14:paraId="3EF24D1F" w14:textId="0FD829BF" w:rsidR="00F63668" w:rsidRPr="00BE7C90" w:rsidRDefault="00F63668" w:rsidP="00F63668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E3D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SC-2021-FCC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F63668">
              <w:rPr>
                <w:rFonts w:ascii="Book Antiqua" w:hAnsi="Book Antiqua"/>
                <w:sz w:val="19"/>
                <w:szCs w:val="19"/>
              </w:rPr>
              <w:t>Por meio da Resolução nº 2.656/2011, a Assembleia Geral da Organização dos Estados Americanos aprovou uma série de orientações sobre a efetivação do acesso à justiça,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F63668">
              <w:rPr>
                <w:rFonts w:ascii="Book Antiqua" w:hAnsi="Book Antiqua"/>
                <w:sz w:val="19"/>
                <w:szCs w:val="19"/>
              </w:rPr>
              <w:t>afirmando a importância fundamental do serviço de assistência jurídica gratuita para a promoção e a proteção do direito ao acesso à justiça de todas as pessoas, em especial daquelas que se encontram em situação especial de vulnerabilidade.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Item 3 da Res.</w:t>
            </w:r>
          </w:p>
        </w:tc>
      </w:tr>
    </w:tbl>
    <w:p w14:paraId="5ACE2D46" w14:textId="6D7B6F48" w:rsidR="00BE3DD7" w:rsidRPr="00A30B63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BE3DD7">
        <w:rPr>
          <w:rFonts w:ascii="Book Antiqua" w:hAnsi="Book Antiqua"/>
          <w:b/>
          <w:bCs/>
          <w:sz w:val="19"/>
          <w:szCs w:val="19"/>
          <w:highlight w:val="magenta"/>
        </w:rPr>
        <w:t>4</w:t>
      </w:r>
      <w:r w:rsidRPr="00BE3DD7">
        <w:rPr>
          <w:rFonts w:ascii="Book Antiqua" w:hAnsi="Book Antiqua"/>
          <w:sz w:val="19"/>
          <w:szCs w:val="19"/>
        </w:rPr>
        <w:t xml:space="preserve">. </w:t>
      </w:r>
      <w:r w:rsidRPr="00BE3DD7">
        <w:rPr>
          <w:rFonts w:ascii="Book Antiqua" w:hAnsi="Book Antiqua"/>
          <w:b/>
          <w:bCs/>
          <w:sz w:val="19"/>
          <w:szCs w:val="19"/>
        </w:rPr>
        <w:t xml:space="preserve">Recomendar aos Estados membros que já disponham do serviço de assistência jurídica gratuita que adotem medidas que garantam que os defensores públicos oficiais gozem de </w:t>
      </w:r>
      <w:r w:rsidRPr="00BE3DD7">
        <w:rPr>
          <w:rFonts w:ascii="Book Antiqua" w:hAnsi="Book Antiqua"/>
          <w:b/>
          <w:bCs/>
          <w:sz w:val="19"/>
          <w:szCs w:val="19"/>
        </w:rPr>
        <w:lastRenderedPageBreak/>
        <w:t>independência e autonomia funcional</w:t>
      </w:r>
      <w:r w:rsidRPr="00A30B63">
        <w:rPr>
          <w:rFonts w:ascii="Book Antiqua" w:hAnsi="Book Antiqua"/>
          <w:sz w:val="16"/>
          <w:szCs w:val="16"/>
        </w:rPr>
        <w:t xml:space="preserve">. </w:t>
      </w:r>
      <w:r w:rsidRP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(DPEGO-2014)</w:t>
      </w:r>
      <w:r w:rsidR="007D774D" w:rsidRPr="00A30B6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D774D" w:rsidRP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(DPEPA-2015)</w:t>
      </w:r>
      <w:r w:rsidR="007A1EC2" w:rsidRPr="00A30B6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A1EC2" w:rsidRP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(DPEAM-2018)</w:t>
      </w:r>
      <w:r w:rsidR="00CF13EB" w:rsidRPr="00A30B6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2" w:name="_Hlk94022983"/>
      <w:r w:rsidR="00CF13EB" w:rsidRP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(DPEMA-2018)</w:t>
      </w:r>
      <w:bookmarkEnd w:id="2"/>
      <w:r w:rsidR="00A30B6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(DPEBA-2021)</w:t>
      </w:r>
      <w:r w:rsidR="00A30B6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30B6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(DPESC-2021)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E7C90" w14:paraId="44A2A71C" w14:textId="77777777" w:rsidTr="008E6817">
        <w:tc>
          <w:tcPr>
            <w:tcW w:w="8494" w:type="dxa"/>
            <w:shd w:val="clear" w:color="auto" w:fill="CCFFFF"/>
          </w:tcPr>
          <w:p w14:paraId="01E18B1E" w14:textId="510F4D86" w:rsidR="00BE7C90" w:rsidRPr="00BE7C90" w:rsidRDefault="00BE7C90" w:rsidP="008E6817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E3D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BA-2021-FCC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E7C90">
              <w:rPr>
                <w:rFonts w:ascii="Book Antiqua" w:hAnsi="Book Antiqua"/>
                <w:sz w:val="19"/>
                <w:szCs w:val="19"/>
              </w:rPr>
              <w:t>Pela Resolução n° 2.656/2011, a Assembleia Geral dos Estados Americanos resolveu, de forma expressa,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E7C90">
              <w:rPr>
                <w:rFonts w:ascii="Book Antiqua" w:hAnsi="Book Antiqua"/>
                <w:sz w:val="19"/>
                <w:szCs w:val="19"/>
              </w:rPr>
              <w:t>recomendar aos Estados membros que já disponham do serviço de assistência jurídica gratuita que adotem medidas que garantam que os defensores públicos oficiais gozem de independência e autonomia funcional.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Item 4 da Res.</w:t>
            </w:r>
          </w:p>
        </w:tc>
      </w:tr>
    </w:tbl>
    <w:p w14:paraId="616F8263" w14:textId="6DF18012" w:rsidR="00BE3DD7" w:rsidRPr="00F63668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7A1EC2">
        <w:rPr>
          <w:rFonts w:ascii="Book Antiqua" w:hAnsi="Book Antiqua"/>
          <w:b/>
          <w:bCs/>
          <w:sz w:val="19"/>
          <w:szCs w:val="19"/>
          <w:highlight w:val="magenta"/>
        </w:rPr>
        <w:t>5</w:t>
      </w:r>
      <w:r w:rsidRPr="00BE3DD7">
        <w:rPr>
          <w:rFonts w:ascii="Book Antiqua" w:hAnsi="Book Antiqua"/>
          <w:sz w:val="19"/>
          <w:szCs w:val="19"/>
        </w:rPr>
        <w:t xml:space="preserve">. </w:t>
      </w:r>
      <w:r w:rsidRPr="007A1EC2">
        <w:rPr>
          <w:rFonts w:ascii="Book Antiqua" w:hAnsi="Book Antiqua"/>
          <w:b/>
          <w:bCs/>
          <w:sz w:val="19"/>
          <w:szCs w:val="19"/>
        </w:rPr>
        <w:t>Incentivar os Estados membros que ainda não disponham da instituição da defensoria pública que considerem a possibilidade de criá-la em seus ordenamentos jurídicos</w:t>
      </w:r>
      <w:r w:rsidRPr="00A30B63">
        <w:rPr>
          <w:rFonts w:ascii="Book Antiqua" w:hAnsi="Book Antiqua"/>
          <w:sz w:val="18"/>
          <w:szCs w:val="18"/>
        </w:rPr>
        <w:t>.</w:t>
      </w:r>
      <w:r w:rsidR="007A1EC2" w:rsidRPr="00A30B63">
        <w:rPr>
          <w:rFonts w:ascii="Book Antiqua" w:hAnsi="Book Antiqua"/>
          <w:sz w:val="18"/>
          <w:szCs w:val="18"/>
        </w:rPr>
        <w:t xml:space="preserve"> </w:t>
      </w:r>
      <w:r w:rsidR="007A1EC2" w:rsidRP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(DPEAM-2018)</w:t>
      </w:r>
      <w:r w:rsidR="00F6366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366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(DPESC-2021)</w:t>
      </w:r>
    </w:p>
    <w:p w14:paraId="14921AD8" w14:textId="006A4513" w:rsidR="00BE3DD7" w:rsidRPr="00752838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A1EC2">
        <w:rPr>
          <w:rFonts w:ascii="Book Antiqua" w:hAnsi="Book Antiqua"/>
          <w:b/>
          <w:bCs/>
          <w:sz w:val="19"/>
          <w:szCs w:val="19"/>
          <w:highlight w:val="magenta"/>
        </w:rPr>
        <w:t>6</w:t>
      </w:r>
      <w:r w:rsidRPr="00BE3DD7">
        <w:rPr>
          <w:rFonts w:ascii="Book Antiqua" w:hAnsi="Book Antiqua"/>
          <w:sz w:val="19"/>
          <w:szCs w:val="19"/>
        </w:rPr>
        <w:t xml:space="preserve">. </w:t>
      </w:r>
      <w:r w:rsidRPr="007A1EC2">
        <w:rPr>
          <w:rFonts w:ascii="Book Antiqua" w:hAnsi="Book Antiqua"/>
          <w:b/>
          <w:bCs/>
          <w:sz w:val="19"/>
          <w:szCs w:val="19"/>
        </w:rPr>
        <w:t xml:space="preserve">Instar os Estados a que promovam oportunidades de cooperação internacional para </w:t>
      </w:r>
      <w:proofErr w:type="gramStart"/>
      <w:r w:rsidRPr="007A1EC2">
        <w:rPr>
          <w:rFonts w:ascii="Book Antiqua" w:hAnsi="Book Antiqua"/>
          <w:b/>
          <w:bCs/>
          <w:sz w:val="19"/>
          <w:szCs w:val="19"/>
        </w:rPr>
        <w:t>o  intercâmbio</w:t>
      </w:r>
      <w:proofErr w:type="gramEnd"/>
      <w:r w:rsidRPr="007A1EC2">
        <w:rPr>
          <w:rFonts w:ascii="Book Antiqua" w:hAnsi="Book Antiqua"/>
          <w:b/>
          <w:bCs/>
          <w:sz w:val="19"/>
          <w:szCs w:val="19"/>
        </w:rPr>
        <w:t xml:space="preserve"> de experiências e boas práticas na matéria</w:t>
      </w:r>
      <w:r w:rsidRPr="00BE3DD7">
        <w:rPr>
          <w:rFonts w:ascii="Book Antiqua" w:hAnsi="Book Antiqua"/>
          <w:sz w:val="19"/>
          <w:szCs w:val="19"/>
        </w:rPr>
        <w:t>.</w:t>
      </w:r>
      <w:r w:rsidR="00A30B63">
        <w:rPr>
          <w:rFonts w:ascii="Book Antiqua" w:hAnsi="Book Antiqua"/>
          <w:sz w:val="19"/>
          <w:szCs w:val="19"/>
        </w:rPr>
        <w:t xml:space="preserve"> </w:t>
      </w:r>
      <w:r w:rsidR="00A30B6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(DPEAM-2018)</w:t>
      </w:r>
      <w:r w:rsidR="0075283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5283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(DPESC-2021)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1EC2" w14:paraId="120E4968" w14:textId="77777777" w:rsidTr="00D52B6D">
        <w:tc>
          <w:tcPr>
            <w:tcW w:w="8494" w:type="dxa"/>
            <w:shd w:val="clear" w:color="auto" w:fill="CCFFFF"/>
          </w:tcPr>
          <w:p w14:paraId="0D8713C6" w14:textId="73DF7909" w:rsidR="007A1EC2" w:rsidRPr="007A1EC2" w:rsidRDefault="007A1EC2" w:rsidP="00D52B6D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E3DD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AM-2018-FCC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A1EC2">
              <w:rPr>
                <w:rFonts w:ascii="Book Antiqua" w:hAnsi="Book Antiqua"/>
                <w:sz w:val="19"/>
                <w:szCs w:val="19"/>
              </w:rPr>
              <w:t>A Resolução OEA n° 2.656/2011, considerando o acesso à Justiça como um direito fundamental que permite restabelecer o exercício de direitos ignorados ou violados, sobretudo para aquelas pessoas que se encontram em especial situação de vulnerabilidade, previu em seu texto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7A1EC2">
              <w:rPr>
                <w:rFonts w:ascii="Book Antiqua" w:hAnsi="Book Antiqua"/>
                <w:sz w:val="19"/>
                <w:szCs w:val="19"/>
              </w:rPr>
              <w:t>que os Estados promovam oportunidades de cooperação internacional para o intercâmbio de experiências e boas práticas na matéria.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Item 6 da Res.</w:t>
            </w:r>
          </w:p>
        </w:tc>
      </w:tr>
    </w:tbl>
    <w:p w14:paraId="26FF07EB" w14:textId="6839A2B6" w:rsidR="00BE3DD7" w:rsidRPr="00F63668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BE3DD7">
        <w:rPr>
          <w:rFonts w:ascii="Book Antiqua" w:hAnsi="Book Antiqua"/>
          <w:b/>
          <w:bCs/>
          <w:sz w:val="19"/>
          <w:szCs w:val="19"/>
          <w:highlight w:val="magenta"/>
        </w:rPr>
        <w:t>7</w:t>
      </w:r>
      <w:r w:rsidRPr="00BE3DD7">
        <w:rPr>
          <w:rFonts w:ascii="Book Antiqua" w:hAnsi="Book Antiqua"/>
          <w:sz w:val="19"/>
          <w:szCs w:val="19"/>
        </w:rPr>
        <w:t xml:space="preserve">. </w:t>
      </w:r>
      <w:r w:rsidRPr="00BE3DD7">
        <w:rPr>
          <w:rFonts w:ascii="Book Antiqua" w:hAnsi="Book Antiqua"/>
          <w:b/>
          <w:bCs/>
          <w:sz w:val="19"/>
          <w:szCs w:val="19"/>
        </w:rPr>
        <w:t>Incentivar os Estados e os órgãos do Sistema Interamericano a que promovam a celebração de convênios para a oferta de capacitação e formação dos defensores públicos oficiais</w:t>
      </w:r>
      <w:r w:rsidRPr="00A30B63">
        <w:rPr>
          <w:rFonts w:ascii="Book Antiqua" w:hAnsi="Book Antiqua"/>
          <w:sz w:val="16"/>
          <w:szCs w:val="16"/>
        </w:rPr>
        <w:t xml:space="preserve">. </w:t>
      </w:r>
      <w:r w:rsidRP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(DPEGO-2014)</w:t>
      </w:r>
      <w:r w:rsidR="007A1EC2" w:rsidRPr="00A30B6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A1EC2" w:rsidRP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(DPEAM-2018)</w:t>
      </w:r>
      <w:r w:rsidR="00F6366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366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(DPESC-2021)</w:t>
      </w:r>
    </w:p>
    <w:p w14:paraId="6FEA80BA" w14:textId="2738C7F4" w:rsidR="00BE3DD7" w:rsidRPr="008565B6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  <w:u w:val="single"/>
        </w:rPr>
      </w:pPr>
      <w:r w:rsidRPr="007A1EC2">
        <w:rPr>
          <w:rFonts w:ascii="Book Antiqua" w:hAnsi="Book Antiqua"/>
          <w:b/>
          <w:bCs/>
          <w:sz w:val="19"/>
          <w:szCs w:val="19"/>
          <w:highlight w:val="magenta"/>
        </w:rPr>
        <w:t>8</w:t>
      </w:r>
      <w:r w:rsidRPr="00BE3DD7">
        <w:rPr>
          <w:rFonts w:ascii="Book Antiqua" w:hAnsi="Book Antiqua"/>
          <w:sz w:val="19"/>
          <w:szCs w:val="19"/>
        </w:rPr>
        <w:t xml:space="preserve"> </w:t>
      </w:r>
      <w:r w:rsidRPr="007A1EC2">
        <w:rPr>
          <w:rFonts w:ascii="Book Antiqua" w:hAnsi="Book Antiqua"/>
          <w:b/>
          <w:bCs/>
          <w:sz w:val="19"/>
          <w:szCs w:val="19"/>
        </w:rPr>
        <w:t>Apoiar o trabalho da Associação Interamericana de Defensorias Públicas (AIDEF), no fortalecimento da defesa pública nos Estados membros</w:t>
      </w:r>
      <w:r w:rsidRPr="00A30B63">
        <w:rPr>
          <w:rFonts w:ascii="Book Antiqua" w:hAnsi="Book Antiqua"/>
          <w:sz w:val="18"/>
          <w:szCs w:val="18"/>
        </w:rPr>
        <w:t>.</w:t>
      </w:r>
      <w:r w:rsidR="007A1EC2" w:rsidRPr="00A30B63">
        <w:rPr>
          <w:rFonts w:ascii="Book Antiqua" w:hAnsi="Book Antiqua"/>
          <w:sz w:val="18"/>
          <w:szCs w:val="18"/>
        </w:rPr>
        <w:t xml:space="preserve"> </w:t>
      </w:r>
      <w:r w:rsidR="007A1EC2" w:rsidRPr="00A30B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(DPEAM-2018)</w:t>
      </w:r>
      <w:r w:rsidR="008565B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565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(DPEMT-2022)</w:t>
      </w:r>
    </w:p>
    <w:p w14:paraId="065E84ED" w14:textId="06D02340" w:rsidR="00BE3DD7" w:rsidRPr="00BE3DD7" w:rsidRDefault="00BE3DD7" w:rsidP="00BE3DD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E3DD7">
        <w:rPr>
          <w:rFonts w:ascii="Book Antiqua" w:hAnsi="Book Antiqua"/>
          <w:sz w:val="19"/>
          <w:szCs w:val="19"/>
        </w:rPr>
        <w:t>9. Solicitar ao Conselho Permanente que informe o Quadragésimo Segundo Período Ordinário de Sessões da Assembléia Geral sobre a implementação desta resolução, cuja execução estará sujeita à disponibilidade de recursos financeiros no orçamento-programa da Organização e de outros recursos.</w:t>
      </w:r>
      <w:r w:rsidRPr="00BE3DD7">
        <w:rPr>
          <w:rFonts w:ascii="Book Antiqua" w:hAnsi="Book Antiqua"/>
          <w:sz w:val="19"/>
          <w:szCs w:val="19"/>
        </w:rPr>
        <w:cr/>
      </w:r>
    </w:p>
    <w:sectPr w:rsidR="00BE3DD7" w:rsidRPr="00BE3DD7" w:rsidSect="00A30B63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B4"/>
    <w:rsid w:val="00193394"/>
    <w:rsid w:val="007013B4"/>
    <w:rsid w:val="00752838"/>
    <w:rsid w:val="007A1EC2"/>
    <w:rsid w:val="007A5489"/>
    <w:rsid w:val="007D774D"/>
    <w:rsid w:val="008565B6"/>
    <w:rsid w:val="00A30B63"/>
    <w:rsid w:val="00AF6A5A"/>
    <w:rsid w:val="00BE3DD7"/>
    <w:rsid w:val="00BE7C90"/>
    <w:rsid w:val="00CF13EB"/>
    <w:rsid w:val="00DB455C"/>
    <w:rsid w:val="00E6645A"/>
    <w:rsid w:val="00F63668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921FB"/>
  <w15:chartTrackingRefBased/>
  <w15:docId w15:val="{DA87A362-C640-47ED-8BE2-16CAC354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D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E3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E3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1444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12</cp:revision>
  <dcterms:created xsi:type="dcterms:W3CDTF">2021-09-11T16:47:00Z</dcterms:created>
  <dcterms:modified xsi:type="dcterms:W3CDTF">2024-05-25T16:35:00Z</dcterms:modified>
</cp:coreProperties>
</file>