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EDC6A" w14:textId="5BF31A1E" w:rsidR="00936C75" w:rsidRPr="00936C75" w:rsidRDefault="00936C75" w:rsidP="00B973F7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936C75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BB6B35">
        <w:rPr>
          <w:rFonts w:ascii="Book Antiqua" w:hAnsi="Book Antiqua"/>
          <w:b/>
          <w:bCs/>
          <w:color w:val="FF0000"/>
          <w:sz w:val="19"/>
          <w:szCs w:val="19"/>
        </w:rPr>
        <w:t>26/01/2022</w:t>
      </w:r>
      <w:r w:rsidRPr="00936C75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05450FCB" w14:textId="0AB8695D" w:rsidR="00B973F7" w:rsidRPr="00B973F7" w:rsidRDefault="00B973F7" w:rsidP="00B973F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AG/RES. 2714 (XLII-O/12)</w:t>
      </w:r>
    </w:p>
    <w:p w14:paraId="457BA328" w14:textId="09AFEE0E" w:rsidR="00B973F7" w:rsidRPr="00B973F7" w:rsidRDefault="00B973F7" w:rsidP="00B973F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 DEFENSORIA PÚBLICA OFICIAL COMO GARANTIA DE ACESSO À JUSTIÇA DAS</w:t>
      </w:r>
    </w:p>
    <w:p w14:paraId="332F0927" w14:textId="77777777" w:rsidR="00B973F7" w:rsidRPr="00B973F7" w:rsidRDefault="00B973F7" w:rsidP="00B973F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PESSOAS EM CONDIÇÃO DE VULNERABILIDADE</w:t>
      </w:r>
    </w:p>
    <w:p w14:paraId="2E7EEBEB" w14:textId="77777777" w:rsidR="00B973F7" w:rsidRPr="00B973F7" w:rsidRDefault="00B973F7" w:rsidP="00B973F7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(Aprovada na segunda sessão plenária, realizada em 4 de junho de 2012)</w:t>
      </w:r>
    </w:p>
    <w:p w14:paraId="3129A56B" w14:textId="77777777" w:rsidR="00B973F7" w:rsidRDefault="00B973F7" w:rsidP="00B973F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2B45A9D6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 ASSEMBLEIA GERAL,</w:t>
      </w:r>
    </w:p>
    <w:p w14:paraId="149EE675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TENDO PRESENTE a resolução AG/RES. 2656 (XLI-O/11), “Garantias de acesso à justiça: O papel dos defensores públicos oficiais”, aprovada no âmbito do Quadragésimo Primeiro Período Ordinário de Sessões da Assembleia Geral, em 7 de junho de 2011;</w:t>
      </w:r>
    </w:p>
    <w:p w14:paraId="5DEC3D30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RECORDANDO que, em conformidade com a Carta da Organização dos Estados Americanos (OEA), a Declaração Americana dos Direitos e Deveres do Homem e a Convenção Americana sobre Direitos Humanos, e tendo presentes todas as disposições pertinentes do Direito Internacional dos Direitos Humanos, em suas respectivas áreas de aplicação, os direitos humanos e liberdades fundamentais devem ser garantidos e respeitados, sem distinção alguma;</w:t>
      </w:r>
    </w:p>
    <w:p w14:paraId="582EF9CA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 xml:space="preserve">RECORDANDO TAMBÉM que o Pacto Internacional de Direitos Civis e Políticos dispõe sobre a obrigação dos Estados Partes de determinar as disposições legislativas ou de outra natureza, que se façam necessárias para tornar efetivos os direitos reconhecidos no Pacto; e que o Artigo 14 dispõe que toda pessoa acusada de um delito terá direito a defender-se pessoalmente ou a ter a assistência de um defensor de sua escolha; a ser informada, caso não tenha defensor, do direito que lhe assiste de tê-lo; e, sempre que o interesse da justiça assim o exija, a que lhe seja designado um defensor </w:t>
      </w:r>
      <w:proofErr w:type="spellStart"/>
      <w:r w:rsidRPr="00B973F7">
        <w:rPr>
          <w:rFonts w:ascii="Book Antiqua" w:hAnsi="Book Antiqua"/>
          <w:sz w:val="19"/>
          <w:szCs w:val="19"/>
        </w:rPr>
        <w:t>ex</w:t>
      </w:r>
      <w:proofErr w:type="spellEnd"/>
      <w:r w:rsidRPr="00B973F7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B973F7">
        <w:rPr>
          <w:rFonts w:ascii="Book Antiqua" w:hAnsi="Book Antiqua"/>
          <w:sz w:val="19"/>
          <w:szCs w:val="19"/>
        </w:rPr>
        <w:t>officio</w:t>
      </w:r>
      <w:proofErr w:type="spellEnd"/>
      <w:r w:rsidRPr="00B973F7">
        <w:rPr>
          <w:rFonts w:ascii="Book Antiqua" w:hAnsi="Book Antiqua"/>
          <w:sz w:val="19"/>
          <w:szCs w:val="19"/>
        </w:rPr>
        <w:t>, gratuitamente, se não tiver meios para remunerá-lo;</w:t>
      </w:r>
    </w:p>
    <w:p w14:paraId="1AE220CD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AFIRMANDO o caráter universal, indivisível e interdependente dos direitos humanos;</w:t>
      </w:r>
    </w:p>
    <w:p w14:paraId="7EF4FA85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AFIRMANDO TAMBÉM que os Estados membros têm a obrigação de respeitar e garantir o exercício dos direitos reconhecidos nos tratados internacionais em que são partes e em suas legislações internas, eliminando os obstáculos que afetem ou limitem o acesso à defensoria pública, de maneira que se assegure o livre e pleno acesso à justiça;</w:t>
      </w:r>
    </w:p>
    <w:p w14:paraId="4A0CAFAF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DESTACANDO que a Convenção Americana sobre Direitos Humanos, em seu Artigo 8, dispõe amplamente acerca das garantias judiciais;</w:t>
      </w:r>
    </w:p>
    <w:p w14:paraId="53509AD9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CONSIDERANDO que o acesso à justiça, como direito humano fundamental é, também, o meio que possibilita restabelecer o exercício dos direitos que tenham sido ignorados ou violados, e salienta, ao mesmo tempo, que o acesso à justiça não se esgota com o ingresso das pessoas na instância judicial, mas que se estende ao longo de todo o processo, o qual deve ser instruído segundo os princípios do Estado de Direito;</w:t>
      </w:r>
    </w:p>
    <w:p w14:paraId="7CAE701E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TENDO PRESENTE:</w:t>
      </w:r>
    </w:p>
    <w:p w14:paraId="22CABF9A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A Observação Geral Nº 32 do Conselho de Direitos Humanos das Nações Unidas, cujo parágrafo 9º estabelece que o acesso à administração da justiça deve ser garantido, efetivamente, em todos os casos; e</w:t>
      </w:r>
    </w:p>
    <w:p w14:paraId="55190B0B" w14:textId="1AEBFD34" w:rsidR="00B973F7" w:rsidRPr="00BB6B35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8"/>
          <w:szCs w:val="18"/>
          <w:u w:val="single"/>
        </w:rPr>
      </w:pPr>
      <w:r w:rsidRPr="001E41F1">
        <w:rPr>
          <w:rFonts w:ascii="Book Antiqua" w:hAnsi="Book Antiqua"/>
          <w:b/>
          <w:bCs/>
          <w:sz w:val="19"/>
          <w:szCs w:val="19"/>
        </w:rPr>
        <w:t xml:space="preserve">As Regras de Brasília sobre Acesso à Justiça das Pessoas em Condição de Vulnerabilidade, que visam a garantir o acesso efetivo à justiça das pessoas em condição de vulnerabilidade, sem discriminação alguma, para que essas pessoas possam usufruir plenamente dos serviços do sistema judiciário; e que promovem, ademais, a implementação de políticas públicas destinadas a garantir </w:t>
      </w:r>
      <w:r w:rsidRPr="001E41F1">
        <w:rPr>
          <w:rFonts w:ascii="Book Antiqua" w:hAnsi="Book Antiqua"/>
          <w:b/>
          <w:bCs/>
          <w:sz w:val="19"/>
          <w:szCs w:val="19"/>
        </w:rPr>
        <w:lastRenderedPageBreak/>
        <w:t>uma adequada assistência técnico-jurídica às pessoas em condição de vulnerabilidade</w:t>
      </w:r>
      <w:r w:rsidRPr="00BB6B35">
        <w:rPr>
          <w:rFonts w:ascii="Book Antiqua" w:hAnsi="Book Antiqua"/>
          <w:sz w:val="18"/>
          <w:szCs w:val="18"/>
        </w:rPr>
        <w:t>;</w:t>
      </w:r>
      <w:r w:rsidR="00936C75" w:rsidRPr="00BB6B35">
        <w:rPr>
          <w:rFonts w:ascii="Book Antiqua" w:hAnsi="Book Antiqua"/>
          <w:sz w:val="18"/>
          <w:szCs w:val="18"/>
        </w:rPr>
        <w:t xml:space="preserve"> </w:t>
      </w:r>
      <w:r w:rsidR="00936C75" w:rsidRP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(DPEBA-2021)</w:t>
      </w:r>
    </w:p>
    <w:p w14:paraId="08D262EF" w14:textId="19B0C298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B6B35">
        <w:rPr>
          <w:rFonts w:ascii="Book Antiqua" w:hAnsi="Book Antiqua"/>
          <w:b/>
          <w:bCs/>
          <w:sz w:val="19"/>
          <w:szCs w:val="19"/>
        </w:rPr>
        <w:t>DESTACANDO o trabalho realizado pelos defensores públicos oficiais, em diversos países do Hemisfério, na defesa dos direitos fundamentais dos indivíduos, especificamente os serviços de assistência jurídica gratuita que possibilitam o fácil e oportuno acesso de todas as pessoas à justiça, sobretudo daquelas que se encontram em situação especial de vulnerabilidade</w:t>
      </w:r>
      <w:r w:rsidRPr="00B973F7">
        <w:rPr>
          <w:rFonts w:ascii="Book Antiqua" w:hAnsi="Book Antiqua"/>
          <w:sz w:val="19"/>
          <w:szCs w:val="19"/>
        </w:rPr>
        <w:t>;</w:t>
      </w:r>
      <w:r w:rsidR="00BB6B35">
        <w:rPr>
          <w:rFonts w:ascii="Book Antiqua" w:hAnsi="Book Antiqua"/>
          <w:sz w:val="19"/>
          <w:szCs w:val="19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</w:p>
    <w:p w14:paraId="7991F233" w14:textId="2059E475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B6B35">
        <w:rPr>
          <w:rFonts w:ascii="Book Antiqua" w:hAnsi="Book Antiqua"/>
          <w:b/>
          <w:bCs/>
          <w:sz w:val="19"/>
          <w:szCs w:val="19"/>
        </w:rPr>
        <w:t>LEVANDO EM CONTA a importância fundamental de que esse serviço goze de independência e autonomia funcional</w:t>
      </w:r>
      <w:r w:rsidRPr="00B973F7">
        <w:rPr>
          <w:rFonts w:ascii="Book Antiqua" w:hAnsi="Book Antiqua"/>
          <w:sz w:val="19"/>
          <w:szCs w:val="19"/>
        </w:rPr>
        <w:t>;</w:t>
      </w:r>
      <w:r w:rsidR="00BB6B35">
        <w:rPr>
          <w:rFonts w:ascii="Book Antiqua" w:hAnsi="Book Antiqua"/>
          <w:sz w:val="19"/>
          <w:szCs w:val="19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</w:p>
    <w:p w14:paraId="2650C844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 xml:space="preserve">DESTACANDO o trabalho realizado pelos defensores públicos interamericanos na defesa dos direitos das vítimas de violações dos direitos humanos, no âmbito do Acordo de Entendimento, firmado entre a Corte Interamericana de Direitos Humanos e a Associação Interamericana de Defensorias Públicas (AIDEF), para a designação </w:t>
      </w:r>
      <w:proofErr w:type="spellStart"/>
      <w:r w:rsidRPr="00B973F7">
        <w:rPr>
          <w:rFonts w:ascii="Book Antiqua" w:hAnsi="Book Antiqua"/>
          <w:sz w:val="19"/>
          <w:szCs w:val="19"/>
        </w:rPr>
        <w:t>ex</w:t>
      </w:r>
      <w:proofErr w:type="spellEnd"/>
      <w:r w:rsidRPr="00B973F7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B973F7">
        <w:rPr>
          <w:rFonts w:ascii="Book Antiqua" w:hAnsi="Book Antiqua"/>
          <w:sz w:val="19"/>
          <w:szCs w:val="19"/>
        </w:rPr>
        <w:t>officio</w:t>
      </w:r>
      <w:proofErr w:type="spellEnd"/>
      <w:r w:rsidRPr="00B973F7">
        <w:rPr>
          <w:rFonts w:ascii="Book Antiqua" w:hAnsi="Book Antiqua"/>
          <w:sz w:val="19"/>
          <w:szCs w:val="19"/>
        </w:rPr>
        <w:t xml:space="preserve"> de um defensor público, que busque o direito de assistência jurídica gratuita às supostas vítimas na tramitação dos casos contenciosos que o requeiram; e</w:t>
      </w:r>
    </w:p>
    <w:p w14:paraId="0A395D59" w14:textId="532552DA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 xml:space="preserve">TOMANDO NOTA COM SUMA SATISFAÇÃO da celebração do Acordo de Cooperação Geral entre a AIDEF e a OEA, no âmbito da resolução AG/RES. 2656 (XLI-O/11), mediante o qual foram formalizadas as relações de cooperação entre a AIDEF e a OEA, com o objetivo de continuar aprofundando a promoção e a proteção do Direito Internacional dos Direitos Humanos, concentrando-se nas ações conjuntas voltadas ao fortalecimento do acesso à justiça </w:t>
      </w:r>
      <w:r w:rsidRPr="00BB6B35">
        <w:rPr>
          <w:rFonts w:ascii="Book Antiqua" w:hAnsi="Book Antiqua"/>
          <w:b/>
          <w:bCs/>
          <w:sz w:val="19"/>
          <w:szCs w:val="19"/>
        </w:rPr>
        <w:t>por meio de uma defensoria pública autônoma e independente</w:t>
      </w:r>
      <w:r w:rsidRPr="00B973F7">
        <w:rPr>
          <w:rFonts w:ascii="Book Antiqua" w:hAnsi="Book Antiqua"/>
          <w:sz w:val="19"/>
          <w:szCs w:val="19"/>
        </w:rPr>
        <w:t>; e de que, nesse sentido, como resultado da cooperação conjunta entre ambos os organismos, a OEA ministrará, no decorrer deste ano, dois cursos de capacitação sobre a organização e o funcionamento da OEA e direitos humanos, destinados aos membros da AIDEF,</w:t>
      </w:r>
      <w:r w:rsidR="00BB6B35">
        <w:rPr>
          <w:rFonts w:ascii="Book Antiqua" w:hAnsi="Book Antiqua"/>
          <w:sz w:val="19"/>
          <w:szCs w:val="19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</w:p>
    <w:p w14:paraId="137F2E53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FF83451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RESOLVE:</w:t>
      </w:r>
    </w:p>
    <w:p w14:paraId="09501A50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1. Afirmar que o acesso à justiça, como direito humano fundamental, é, ao mesmo tempo, o meio que possibilita que se restabeleça o exercício dos direitos que tenham sido ignorados ou violados.</w:t>
      </w:r>
    </w:p>
    <w:p w14:paraId="69849F0F" w14:textId="27707C93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B6B35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B973F7">
        <w:rPr>
          <w:rFonts w:ascii="Book Antiqua" w:hAnsi="Book Antiqua"/>
          <w:sz w:val="19"/>
          <w:szCs w:val="19"/>
        </w:rPr>
        <w:t xml:space="preserve">. </w:t>
      </w:r>
      <w:r w:rsidRPr="00BB6B35">
        <w:rPr>
          <w:rFonts w:ascii="Book Antiqua" w:hAnsi="Book Antiqua"/>
          <w:b/>
          <w:bCs/>
          <w:sz w:val="19"/>
          <w:szCs w:val="19"/>
        </w:rPr>
        <w:t>Apoiar o trabalho que vêm desenvolvendo os defensores públicos oficiais dos Estados do Hemisfério, que constitui um aspecto essencial do fortalecimento do acesso à justiça e da consolidação da democracia</w:t>
      </w:r>
      <w:r>
        <w:rPr>
          <w:rFonts w:ascii="Book Antiqua" w:hAnsi="Book Antiqua"/>
          <w:sz w:val="19"/>
          <w:szCs w:val="19"/>
        </w:rPr>
        <w:t>.</w:t>
      </w:r>
      <w:r w:rsidR="00BB6B35">
        <w:rPr>
          <w:rFonts w:ascii="Book Antiqua" w:hAnsi="Book Antiqua"/>
          <w:sz w:val="19"/>
          <w:szCs w:val="19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</w:p>
    <w:p w14:paraId="7EA66A9D" w14:textId="051F8D89" w:rsidR="00B973F7" w:rsidRPr="00BB6B35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936C75">
        <w:rPr>
          <w:rFonts w:ascii="Book Antiqua" w:hAnsi="Book Antiqua"/>
          <w:b/>
          <w:bCs/>
          <w:sz w:val="19"/>
          <w:szCs w:val="19"/>
          <w:highlight w:val="magenta"/>
        </w:rPr>
        <w:t>3</w:t>
      </w:r>
      <w:r w:rsidRPr="00B973F7">
        <w:rPr>
          <w:rFonts w:ascii="Book Antiqua" w:hAnsi="Book Antiqua"/>
          <w:sz w:val="19"/>
          <w:szCs w:val="19"/>
        </w:rPr>
        <w:t xml:space="preserve">. </w:t>
      </w:r>
      <w:r w:rsidRPr="00936C75">
        <w:rPr>
          <w:rFonts w:ascii="Book Antiqua" w:hAnsi="Book Antiqua"/>
          <w:b/>
          <w:bCs/>
          <w:sz w:val="19"/>
          <w:szCs w:val="19"/>
        </w:rPr>
        <w:t>Afirmar a importância fundamental do serviço de assistência jurídica gratuita prestado pelos defensores públicos oficiais para a promoção e a proteção do direito ao acesso à justiça de todas as pessoas, em especial daquelas que se encontram em situação especial de vulnerabilidade</w:t>
      </w:r>
      <w:r w:rsidRPr="00B973F7">
        <w:rPr>
          <w:rFonts w:ascii="Book Antiqua" w:hAnsi="Book Antiqua"/>
          <w:sz w:val="19"/>
          <w:szCs w:val="19"/>
        </w:rPr>
        <w:t>.</w:t>
      </w:r>
      <w:r w:rsidR="006C786A">
        <w:rPr>
          <w:rFonts w:ascii="Book Antiqua" w:hAnsi="Book Antiqua"/>
          <w:sz w:val="19"/>
          <w:szCs w:val="19"/>
        </w:rPr>
        <w:t xml:space="preserve"> </w:t>
      </w:r>
      <w:bookmarkStart w:id="0" w:name="_Hlk85800031"/>
      <w:r w:rsidR="006C786A" w:rsidRP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(DPEPA-2015)</w:t>
      </w:r>
      <w:bookmarkEnd w:id="0"/>
      <w:r w:rsidR="00BB6B35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  <w:r w:rsidRPr="00BB6B35">
        <w:rPr>
          <w:rFonts w:ascii="Book Antiqua" w:hAnsi="Book Antiqua"/>
          <w:sz w:val="18"/>
          <w:szCs w:val="18"/>
        </w:rPr>
        <w:t xml:space="preserve"> </w:t>
      </w:r>
      <w:r w:rsidR="00936C75" w:rsidRP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(DPEBA-2021)</w:t>
      </w:r>
    </w:p>
    <w:p w14:paraId="613756BB" w14:textId="5ACF2E2C" w:rsidR="00B973F7" w:rsidRPr="00BB6B35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936C75">
        <w:rPr>
          <w:rFonts w:ascii="Book Antiqua" w:hAnsi="Book Antiqua"/>
          <w:b/>
          <w:bCs/>
          <w:sz w:val="19"/>
          <w:szCs w:val="19"/>
          <w:highlight w:val="magenta"/>
        </w:rPr>
        <w:t>4</w:t>
      </w:r>
      <w:r w:rsidRPr="00B973F7">
        <w:rPr>
          <w:rFonts w:ascii="Book Antiqua" w:hAnsi="Book Antiqua"/>
          <w:sz w:val="19"/>
          <w:szCs w:val="19"/>
        </w:rPr>
        <w:t xml:space="preserve">. </w:t>
      </w:r>
      <w:r w:rsidRPr="00936C75">
        <w:rPr>
          <w:rFonts w:ascii="Book Antiqua" w:hAnsi="Book Antiqua"/>
          <w:b/>
          <w:bCs/>
          <w:sz w:val="19"/>
          <w:szCs w:val="19"/>
        </w:rPr>
        <w:t>Reiterar aos Estados membros que já dispõem do serviço de assistência jurídica gratuita que adotem medidas destinadas a que os defensores públicos oficiais gozem de independência e autonomia funcional</w:t>
      </w:r>
      <w:r w:rsidRPr="00BB6B35">
        <w:rPr>
          <w:rFonts w:ascii="Book Antiqua" w:hAnsi="Book Antiqua"/>
          <w:sz w:val="18"/>
          <w:szCs w:val="18"/>
        </w:rPr>
        <w:t>.</w:t>
      </w:r>
      <w:r w:rsidR="00D04295" w:rsidRPr="00BB6B35">
        <w:rPr>
          <w:rFonts w:ascii="Book Antiqua" w:hAnsi="Book Antiqua"/>
          <w:sz w:val="18"/>
          <w:szCs w:val="18"/>
        </w:rPr>
        <w:t xml:space="preserve"> </w:t>
      </w:r>
      <w:r w:rsidR="00D04295" w:rsidRP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(DPEPA-2015)</w:t>
      </w:r>
      <w:r w:rsidR="00BB6B35">
        <w:rPr>
          <w:rFonts w:ascii="Book Antiqua" w:hAnsi="Book Antiqua"/>
          <w:b/>
          <w:bCs/>
          <w:color w:val="FF0000"/>
          <w:sz w:val="18"/>
          <w:szCs w:val="18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  <w:r w:rsidR="00936C75" w:rsidRPr="00BB6B35">
        <w:rPr>
          <w:rFonts w:ascii="Book Antiqua" w:hAnsi="Book Antiqua"/>
          <w:sz w:val="18"/>
          <w:szCs w:val="18"/>
        </w:rPr>
        <w:t xml:space="preserve"> </w:t>
      </w:r>
      <w:r w:rsidR="00936C75" w:rsidRP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(DPEBA-2021)</w:t>
      </w:r>
    </w:p>
    <w:p w14:paraId="596906FE" w14:textId="682D951D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B6B35">
        <w:rPr>
          <w:rFonts w:ascii="Book Antiqua" w:hAnsi="Book Antiqua"/>
          <w:b/>
          <w:bCs/>
          <w:sz w:val="19"/>
          <w:szCs w:val="19"/>
          <w:highlight w:val="magenta"/>
        </w:rPr>
        <w:t>5</w:t>
      </w:r>
      <w:r w:rsidRPr="00BB6B35">
        <w:rPr>
          <w:rFonts w:ascii="Book Antiqua" w:hAnsi="Book Antiqua"/>
          <w:b/>
          <w:bCs/>
          <w:sz w:val="19"/>
          <w:szCs w:val="19"/>
        </w:rPr>
        <w:t>. Incentivar os Estados membros que ainda não disponham da instituição da defensoria pública que considerem a possibilidade de criá-la em seus ordenamentos jurídicos</w:t>
      </w:r>
      <w:r w:rsidRPr="00B973F7">
        <w:rPr>
          <w:rFonts w:ascii="Book Antiqua" w:hAnsi="Book Antiqua"/>
          <w:sz w:val="19"/>
          <w:szCs w:val="19"/>
        </w:rPr>
        <w:t>.</w:t>
      </w:r>
      <w:r w:rsidR="00BB6B35">
        <w:rPr>
          <w:rFonts w:ascii="Book Antiqua" w:hAnsi="Book Antiqua"/>
          <w:sz w:val="19"/>
          <w:szCs w:val="19"/>
        </w:rPr>
        <w:t xml:space="preserve"> </w:t>
      </w:r>
      <w:r w:rsidR="00BB6B35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(DPEMA-2018)</w:t>
      </w:r>
    </w:p>
    <w:p w14:paraId="3A58100A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6. Instar os Estados membros a que promovam oportunidades de cooperação internacional para o intercâmbio de experiências e boas práticas na matéria.</w:t>
      </w:r>
    </w:p>
    <w:p w14:paraId="0C570D97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7. Incentivar os Estados membros e os órgãos do Sistema Interamericano a que promovam a celebração de convênios para a realização de capacitação e formação dos defensores públicos oficiais.</w:t>
      </w:r>
    </w:p>
    <w:p w14:paraId="4FFEF8B6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 xml:space="preserve">8. Solicitar ao Conselho Permanente a realização de uma sessão especial da Comissão de Assuntos Jurídicos e Políticos da OEA para o intercâmbio de boas práticas e de experiências, no primeiro trimestre de 2013, com a presença dos Estados membros, integrantes da Associação </w:t>
      </w:r>
      <w:r w:rsidRPr="00B973F7">
        <w:rPr>
          <w:rFonts w:ascii="Book Antiqua" w:hAnsi="Book Antiqua"/>
          <w:sz w:val="19"/>
          <w:szCs w:val="19"/>
        </w:rPr>
        <w:lastRenderedPageBreak/>
        <w:t xml:space="preserve">Interamericana de Defensorias Públicas (AIDEF), peritos do setor acadêmico e da sociedade civil, bem como das organizações internacionais. </w:t>
      </w:r>
    </w:p>
    <w:p w14:paraId="6038A17B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 xml:space="preserve">9. Solicitar à </w:t>
      </w:r>
      <w:proofErr w:type="spellStart"/>
      <w:r w:rsidRPr="00B973F7">
        <w:rPr>
          <w:rFonts w:ascii="Book Antiqua" w:hAnsi="Book Antiqua"/>
          <w:sz w:val="19"/>
          <w:szCs w:val="19"/>
        </w:rPr>
        <w:t>Secretaria-Geral</w:t>
      </w:r>
      <w:proofErr w:type="spellEnd"/>
      <w:r w:rsidRPr="00B973F7">
        <w:rPr>
          <w:rFonts w:ascii="Book Antiqua" w:hAnsi="Book Antiqua"/>
          <w:sz w:val="19"/>
          <w:szCs w:val="19"/>
        </w:rPr>
        <w:t xml:space="preserve"> da OEA que, por intermédio do Departamento de Direito </w:t>
      </w:r>
      <w:r>
        <w:rPr>
          <w:rFonts w:ascii="Book Antiqua" w:hAnsi="Book Antiqua"/>
          <w:sz w:val="19"/>
          <w:szCs w:val="19"/>
        </w:rPr>
        <w:t xml:space="preserve"> </w:t>
      </w:r>
      <w:r w:rsidRPr="00B973F7">
        <w:rPr>
          <w:rFonts w:ascii="Book Antiqua" w:hAnsi="Book Antiqua"/>
          <w:sz w:val="19"/>
          <w:szCs w:val="19"/>
        </w:rPr>
        <w:t xml:space="preserve">Internacional da Secretaria de Assuntos Jurídicos, informe sobre a implementação dos mandatos da </w:t>
      </w:r>
      <w:r>
        <w:rPr>
          <w:rFonts w:ascii="Book Antiqua" w:hAnsi="Book Antiqua"/>
          <w:sz w:val="19"/>
          <w:szCs w:val="19"/>
        </w:rPr>
        <w:t xml:space="preserve"> </w:t>
      </w:r>
      <w:r w:rsidRPr="00B973F7">
        <w:rPr>
          <w:rFonts w:ascii="Book Antiqua" w:hAnsi="Book Antiqua"/>
          <w:sz w:val="19"/>
          <w:szCs w:val="19"/>
        </w:rPr>
        <w:t>resolução AG/RES. 2656 (XLI-O/11), e elabore uma compilação de boas práticas sobre acesso à justiça e defesa pública na região, no segundo semestre de 2013, com base no encaminhamento de contribuições dos Estados, por escrito, sobre o tema, e nos resultados da reunião especial sobre o intercâmbio de boas práticas e experiências, a ser realizada no primeiro trimestre deste ano.</w:t>
      </w:r>
    </w:p>
    <w:p w14:paraId="238ABDF0" w14:textId="77777777" w:rsid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10. Felicitar a iniciativa de se realizar o Quinto Congresso da Associação Interamericana de Defensorias Públicas, a ser realizado de 15 a 17 de agosto de 2012, na cidade de Fortaleza, República Federativa do Brasil, no qual peritos nacionais e internacionais irão expor sobre o papel da defensoria pública na aplicação dos direitos humanos. Nesse evento, terão tratamento especial os avanços e desafios da região no tocante à aplicação das disposições da resolução AG/RES. 2656 (XLI-O/11), “Garantias de acesso à justiça: O papel dos defensores públicos oficiais”.</w:t>
      </w:r>
    </w:p>
    <w:p w14:paraId="46DF7C40" w14:textId="51779A87" w:rsidR="00B973F7" w:rsidRPr="00B973F7" w:rsidRDefault="00B973F7" w:rsidP="00B973F7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973F7">
        <w:rPr>
          <w:rFonts w:ascii="Book Antiqua" w:hAnsi="Book Antiqua"/>
          <w:sz w:val="19"/>
          <w:szCs w:val="19"/>
        </w:rPr>
        <w:t>11. Solicitar ao Conselho Permanente que informe a Assembleia Geral, em seu Quadragésimo Terceiro Período Ordinário de Sessões, sobre a implementação desta resolução. A execução das atividades previstas nesta resolução estará sujeita à disponibilidade de recursos financeiros no orçamento-programa da Organização e outros recursos.</w:t>
      </w:r>
    </w:p>
    <w:sectPr w:rsidR="00B973F7" w:rsidRPr="00B973F7" w:rsidSect="00CD465E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DB"/>
    <w:rsid w:val="001E41F1"/>
    <w:rsid w:val="00524DDB"/>
    <w:rsid w:val="006C786A"/>
    <w:rsid w:val="00936C75"/>
    <w:rsid w:val="00B973F7"/>
    <w:rsid w:val="00BB6B35"/>
    <w:rsid w:val="00CD465E"/>
    <w:rsid w:val="00D0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A7A0"/>
  <w15:chartTrackingRefBased/>
  <w15:docId w15:val="{8289F0A5-D50F-44C5-AB8C-56EA8D127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8</cp:revision>
  <dcterms:created xsi:type="dcterms:W3CDTF">2021-09-11T17:20:00Z</dcterms:created>
  <dcterms:modified xsi:type="dcterms:W3CDTF">2022-01-25T20:14:00Z</dcterms:modified>
</cp:coreProperties>
</file>