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BC1E23" w14:textId="77777777" w:rsidR="00B62C07" w:rsidRPr="00B62C07" w:rsidRDefault="00B62C07" w:rsidP="00B62C0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B62C07">
        <w:rPr>
          <w:rFonts w:ascii="Book Antiqua" w:eastAsia="Times New Roman" w:hAnsi="Book Antiqua" w:cs="Arial"/>
          <w:b/>
          <w:bCs/>
          <w:color w:val="000080"/>
          <w:kern w:val="0"/>
          <w:sz w:val="19"/>
          <w:szCs w:val="19"/>
          <w:lang w:eastAsia="pt-BR"/>
          <w14:ligatures w14:val="none"/>
        </w:rPr>
        <w:fldChar w:fldCharType="begin"/>
      </w:r>
      <w:r w:rsidRPr="00B62C07">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"http://legislacao.planalto.gov.br/legisla/legislacao.nsf/Viw_Identificacao/DEC%205.902-2006?OpenDocument"</w:instrText>
      </w:r>
      <w:r w:rsidRPr="00B62C07">
        <w:rPr>
          <w:rFonts w:ascii="Book Antiqua" w:eastAsia="Times New Roman" w:hAnsi="Book Antiqua" w:cs="Arial"/>
          <w:b/>
          <w:bCs/>
          <w:color w:val="000080"/>
          <w:kern w:val="0"/>
          <w:sz w:val="19"/>
          <w:szCs w:val="19"/>
          <w:lang w:eastAsia="pt-BR"/>
          <w14:ligatures w14:val="none"/>
        </w:rPr>
      </w:r>
      <w:r w:rsidRPr="00B62C07">
        <w:rPr>
          <w:rFonts w:ascii="Book Antiqua" w:eastAsia="Times New Roman" w:hAnsi="Book Antiqua" w:cs="Arial"/>
          <w:b/>
          <w:bCs/>
          <w:color w:val="000080"/>
          <w:kern w:val="0"/>
          <w:sz w:val="19"/>
          <w:szCs w:val="19"/>
          <w:lang w:eastAsia="pt-BR"/>
          <w14:ligatures w14:val="none"/>
        </w:rPr>
        <w:fldChar w:fldCharType="separate"/>
      </w:r>
      <w:r w:rsidRPr="00B62C07">
        <w:rPr>
          <w:rFonts w:ascii="Book Antiqua" w:eastAsia="Times New Roman" w:hAnsi="Book Antiqua" w:cs="Arial"/>
          <w:b/>
          <w:bCs/>
          <w:color w:val="000080"/>
          <w:kern w:val="0"/>
          <w:sz w:val="19"/>
          <w:szCs w:val="19"/>
          <w:u w:val="single"/>
          <w:lang w:eastAsia="pt-BR"/>
          <w14:ligatures w14:val="none"/>
        </w:rPr>
        <w:t>DECRETO Nº 5.903, DE 20 DE SETEMBRO DE 2006.</w:t>
      </w:r>
      <w:r w:rsidRPr="00B62C07">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B62C07" w:rsidRPr="00B62C07" w14:paraId="536602B1" w14:textId="77777777" w:rsidTr="00B62C07">
        <w:trPr>
          <w:trHeight w:val="200"/>
          <w:tblCellSpacing w:w="0" w:type="dxa"/>
        </w:trPr>
        <w:tc>
          <w:tcPr>
            <w:tcW w:w="1167" w:type="pct"/>
            <w:vAlign w:val="center"/>
            <w:hideMark/>
          </w:tcPr>
          <w:p w14:paraId="39DCFE54" w14:textId="2681E74E" w:rsidR="00B62C07" w:rsidRPr="00B62C07" w:rsidRDefault="00B62C07" w:rsidP="00B62C07">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p>
        </w:tc>
        <w:tc>
          <w:tcPr>
            <w:tcW w:w="3833" w:type="pct"/>
            <w:vAlign w:val="center"/>
            <w:hideMark/>
          </w:tcPr>
          <w:p w14:paraId="6E15BFA5" w14:textId="77777777" w:rsidR="00B62C07" w:rsidRPr="00B62C07" w:rsidRDefault="00B62C07" w:rsidP="00B62C07">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B62C07">
              <w:rPr>
                <w:rFonts w:ascii="Book Antiqua" w:eastAsia="Times New Roman" w:hAnsi="Book Antiqua" w:cs="Arial"/>
                <w:color w:val="800000"/>
                <w:kern w:val="0"/>
                <w:sz w:val="18"/>
                <w:szCs w:val="18"/>
                <w:lang w:eastAsia="pt-BR"/>
                <w14:ligatures w14:val="none"/>
              </w:rPr>
              <w:t>Regulamenta a Lei n</w:t>
            </w:r>
            <w:r w:rsidRPr="00B62C07">
              <w:rPr>
                <w:rFonts w:ascii="Book Antiqua" w:eastAsia="Times New Roman" w:hAnsi="Book Antiqua" w:cs="Arial"/>
                <w:color w:val="800000"/>
                <w:kern w:val="0"/>
                <w:sz w:val="18"/>
                <w:szCs w:val="18"/>
                <w:u w:val="single"/>
                <w:vertAlign w:val="superscript"/>
                <w:lang w:eastAsia="pt-BR"/>
                <w14:ligatures w14:val="none"/>
              </w:rPr>
              <w:t>o</w:t>
            </w:r>
            <w:r w:rsidRPr="00B62C07">
              <w:rPr>
                <w:rFonts w:ascii="Book Antiqua" w:eastAsia="Times New Roman" w:hAnsi="Book Antiqua" w:cs="Arial"/>
                <w:color w:val="800000"/>
                <w:kern w:val="0"/>
                <w:sz w:val="18"/>
                <w:szCs w:val="18"/>
                <w:lang w:eastAsia="pt-BR"/>
                <w14:ligatures w14:val="none"/>
              </w:rPr>
              <w:t> 10.962, de 11 de outubro de 2004, e a Lei n</w:t>
            </w:r>
            <w:r w:rsidRPr="00B62C07">
              <w:rPr>
                <w:rFonts w:ascii="Book Antiqua" w:eastAsia="Times New Roman" w:hAnsi="Book Antiqua" w:cs="Arial"/>
                <w:color w:val="800000"/>
                <w:kern w:val="0"/>
                <w:sz w:val="18"/>
                <w:szCs w:val="18"/>
                <w:u w:val="single"/>
                <w:vertAlign w:val="superscript"/>
                <w:lang w:eastAsia="pt-BR"/>
                <w14:ligatures w14:val="none"/>
              </w:rPr>
              <w:t>o</w:t>
            </w:r>
            <w:r w:rsidRPr="00B62C07">
              <w:rPr>
                <w:rFonts w:ascii="Book Antiqua" w:eastAsia="Times New Roman" w:hAnsi="Book Antiqua" w:cs="Arial"/>
                <w:color w:val="800000"/>
                <w:kern w:val="0"/>
                <w:sz w:val="18"/>
                <w:szCs w:val="18"/>
                <w:lang w:eastAsia="pt-BR"/>
                <w14:ligatures w14:val="none"/>
              </w:rPr>
              <w:t> 8.078, de 11 de setembro de 1990.</w:t>
            </w:r>
          </w:p>
        </w:tc>
      </w:tr>
    </w:tbl>
    <w:p w14:paraId="1D0E7C44" w14:textId="609369B6" w:rsidR="00B62C07" w:rsidRPr="00B62C07" w:rsidRDefault="00B62C07" w:rsidP="00B62C07">
      <w:pPr>
        <w:spacing w:before="100" w:beforeAutospacing="1" w:after="100" w:afterAutospacing="1" w:line="240" w:lineRule="auto"/>
        <w:ind w:firstLine="426"/>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b/>
          <w:bCs/>
          <w:color w:val="000000"/>
          <w:kern w:val="0"/>
          <w:sz w:val="19"/>
          <w:szCs w:val="19"/>
          <w:lang w:eastAsia="pt-BR"/>
          <w14:ligatures w14:val="none"/>
        </w:rPr>
        <w:t>    O PRESIDENTE DA REPÚBLICA</w:t>
      </w:r>
      <w:r w:rsidRPr="00B62C07">
        <w:rPr>
          <w:rFonts w:ascii="Book Antiqua" w:eastAsia="Times New Roman" w:hAnsi="Book Antiqua" w:cs="Arial"/>
          <w:color w:val="000000"/>
          <w:kern w:val="0"/>
          <w:sz w:val="19"/>
          <w:szCs w:val="19"/>
          <w:lang w:eastAsia="pt-BR"/>
          <w14:ligatures w14:val="none"/>
        </w:rPr>
        <w:t>, no uso da atribuição que lhe confere o art. 84, inciso IV, da Constituição, e tendo em vista o disposto na Lei n</w:t>
      </w:r>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8.078, de 11 de setembro de 1990, e na Lei n</w:t>
      </w:r>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10.962, de 11 de outubro de 2004,  </w:t>
      </w:r>
    </w:p>
    <w:p w14:paraId="4FC1F187"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b/>
          <w:bCs/>
          <w:color w:val="000000"/>
          <w:kern w:val="0"/>
          <w:sz w:val="19"/>
          <w:szCs w:val="19"/>
          <w:lang w:eastAsia="pt-BR"/>
          <w14:ligatures w14:val="none"/>
        </w:rPr>
        <w:t>DECRETA:</w:t>
      </w:r>
      <w:r w:rsidRPr="00B62C07">
        <w:rPr>
          <w:rFonts w:ascii="Book Antiqua" w:eastAsia="Times New Roman" w:hAnsi="Book Antiqua" w:cs="Arial"/>
          <w:color w:val="000000"/>
          <w:kern w:val="0"/>
          <w:sz w:val="19"/>
          <w:szCs w:val="19"/>
          <w:lang w:eastAsia="pt-BR"/>
          <w14:ligatures w14:val="none"/>
        </w:rPr>
        <w:t> </w:t>
      </w:r>
    </w:p>
    <w:p w14:paraId="5E5BA40E"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B62C07">
        <w:rPr>
          <w:rFonts w:ascii="Book Antiqua" w:eastAsia="Times New Roman" w:hAnsi="Book Antiqua" w:cs="Arial"/>
          <w:color w:val="000000"/>
          <w:kern w:val="0"/>
          <w:sz w:val="19"/>
          <w:szCs w:val="19"/>
          <w:lang w:eastAsia="pt-BR"/>
          <w14:ligatures w14:val="none"/>
        </w:rPr>
        <w:t>Art. 1</w:t>
      </w:r>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Este Decreto regulamenta a </w:t>
      </w:r>
      <w:hyperlink r:id="rId4" w:history="1">
        <w:r w:rsidRPr="00B62C07">
          <w:rPr>
            <w:rFonts w:ascii="Book Antiqua" w:eastAsia="Times New Roman" w:hAnsi="Book Antiqua" w:cs="Arial"/>
            <w:color w:val="0000FF"/>
            <w:kern w:val="0"/>
            <w:sz w:val="19"/>
            <w:szCs w:val="19"/>
            <w:u w:val="single"/>
            <w:lang w:eastAsia="pt-BR"/>
            <w14:ligatures w14:val="none"/>
          </w:rPr>
          <w:t>Lei n</w:t>
        </w:r>
        <w:r w:rsidRPr="00B62C07">
          <w:rPr>
            <w:rFonts w:ascii="Book Antiqua" w:eastAsia="Times New Roman" w:hAnsi="Book Antiqua" w:cs="Arial"/>
            <w:color w:val="0000FF"/>
            <w:kern w:val="0"/>
            <w:sz w:val="19"/>
            <w:szCs w:val="19"/>
            <w:u w:val="single"/>
            <w:vertAlign w:val="superscript"/>
            <w:lang w:eastAsia="pt-BR"/>
            <w14:ligatures w14:val="none"/>
          </w:rPr>
          <w:t>o</w:t>
        </w:r>
        <w:r w:rsidRPr="00B62C07">
          <w:rPr>
            <w:rFonts w:ascii="Book Antiqua" w:eastAsia="Times New Roman" w:hAnsi="Book Antiqua" w:cs="Arial"/>
            <w:color w:val="0000FF"/>
            <w:kern w:val="0"/>
            <w:sz w:val="19"/>
            <w:szCs w:val="19"/>
            <w:u w:val="single"/>
            <w:lang w:eastAsia="pt-BR"/>
            <w14:ligatures w14:val="none"/>
          </w:rPr>
          <w:t> 10.962, de 11 de outubro de 2004,</w:t>
        </w:r>
      </w:hyperlink>
      <w:r w:rsidRPr="00B62C07">
        <w:rPr>
          <w:rFonts w:ascii="Book Antiqua" w:eastAsia="Times New Roman" w:hAnsi="Book Antiqua" w:cs="Arial"/>
          <w:color w:val="000000"/>
          <w:kern w:val="0"/>
          <w:sz w:val="19"/>
          <w:szCs w:val="19"/>
          <w:lang w:eastAsia="pt-BR"/>
          <w14:ligatures w14:val="none"/>
        </w:rPr>
        <w:t> e dispõe sobre as práticas infracionais que atentam contra o direito básico do consumidor de obter informação adequada e clara sobre produtos e serviços, previstas na </w:t>
      </w:r>
      <w:hyperlink r:id="rId5" w:history="1">
        <w:r w:rsidRPr="00B62C07">
          <w:rPr>
            <w:rFonts w:ascii="Book Antiqua" w:eastAsia="Times New Roman" w:hAnsi="Book Antiqua" w:cs="Arial"/>
            <w:color w:val="0000FF"/>
            <w:kern w:val="0"/>
            <w:sz w:val="19"/>
            <w:szCs w:val="19"/>
            <w:u w:val="single"/>
            <w:lang w:eastAsia="pt-BR"/>
            <w14:ligatures w14:val="none"/>
          </w:rPr>
          <w:t>Lei n</w:t>
        </w:r>
        <w:r w:rsidRPr="00B62C07">
          <w:rPr>
            <w:rFonts w:ascii="Book Antiqua" w:eastAsia="Times New Roman" w:hAnsi="Book Antiqua" w:cs="Arial"/>
            <w:color w:val="0000FF"/>
            <w:kern w:val="0"/>
            <w:sz w:val="19"/>
            <w:szCs w:val="19"/>
            <w:u w:val="single"/>
            <w:vertAlign w:val="superscript"/>
            <w:lang w:eastAsia="pt-BR"/>
            <w14:ligatures w14:val="none"/>
          </w:rPr>
          <w:t>o</w:t>
        </w:r>
        <w:r w:rsidRPr="00B62C07">
          <w:rPr>
            <w:rFonts w:ascii="Book Antiqua" w:eastAsia="Times New Roman" w:hAnsi="Book Antiqua" w:cs="Arial"/>
            <w:color w:val="0000FF"/>
            <w:kern w:val="0"/>
            <w:sz w:val="19"/>
            <w:szCs w:val="19"/>
            <w:u w:val="single"/>
            <w:lang w:eastAsia="pt-BR"/>
            <w14:ligatures w14:val="none"/>
          </w:rPr>
          <w:t> 8.078, de 11 de setembro de 1990. </w:t>
        </w:r>
      </w:hyperlink>
    </w:p>
    <w:p w14:paraId="7CB18905"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2"/>
      <w:bookmarkEnd w:id="1"/>
      <w:r w:rsidRPr="00B62C07">
        <w:rPr>
          <w:rFonts w:ascii="Book Antiqua" w:eastAsia="Times New Roman" w:hAnsi="Book Antiqua" w:cs="Arial"/>
          <w:color w:val="000000"/>
          <w:kern w:val="0"/>
          <w:sz w:val="19"/>
          <w:szCs w:val="19"/>
          <w:lang w:eastAsia="pt-BR"/>
          <w14:ligatures w14:val="none"/>
        </w:rPr>
        <w:t>Art. 2</w:t>
      </w:r>
      <w:proofErr w:type="gramStart"/>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Os</w:t>
      </w:r>
      <w:proofErr w:type="gramEnd"/>
      <w:r w:rsidRPr="00B62C07">
        <w:rPr>
          <w:rFonts w:ascii="Book Antiqua" w:eastAsia="Times New Roman" w:hAnsi="Book Antiqua" w:cs="Arial"/>
          <w:color w:val="000000"/>
          <w:kern w:val="0"/>
          <w:sz w:val="19"/>
          <w:szCs w:val="19"/>
          <w:lang w:eastAsia="pt-BR"/>
          <w14:ligatures w14:val="none"/>
        </w:rPr>
        <w:t xml:space="preserve"> preços de produtos e serviços deverão ser informados adequadamente, de modo a garantir ao consumidor a correção, clareza, precisão, ostensividade e legibilidade das informações prestadas. </w:t>
      </w:r>
    </w:p>
    <w:p w14:paraId="41E28026"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2§1"/>
      <w:bookmarkEnd w:id="2"/>
      <w:r w:rsidRPr="00B62C07">
        <w:rPr>
          <w:rFonts w:ascii="Book Antiqua" w:eastAsia="Times New Roman" w:hAnsi="Book Antiqua" w:cs="Arial"/>
          <w:color w:val="000000"/>
          <w:kern w:val="0"/>
          <w:sz w:val="19"/>
          <w:szCs w:val="19"/>
          <w:lang w:eastAsia="pt-BR"/>
          <w14:ligatures w14:val="none"/>
        </w:rPr>
        <w:t>§ 1</w:t>
      </w:r>
      <w:proofErr w:type="gramStart"/>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Para</w:t>
      </w:r>
      <w:proofErr w:type="gramEnd"/>
      <w:r w:rsidRPr="00B62C07">
        <w:rPr>
          <w:rFonts w:ascii="Book Antiqua" w:eastAsia="Times New Roman" w:hAnsi="Book Antiqua" w:cs="Arial"/>
          <w:color w:val="000000"/>
          <w:kern w:val="0"/>
          <w:sz w:val="19"/>
          <w:szCs w:val="19"/>
          <w:lang w:eastAsia="pt-BR"/>
          <w14:ligatures w14:val="none"/>
        </w:rPr>
        <w:t xml:space="preserve"> efeito do disposto no </w:t>
      </w:r>
      <w:r w:rsidRPr="00B62C07">
        <w:rPr>
          <w:rFonts w:ascii="Book Antiqua" w:eastAsia="Times New Roman" w:hAnsi="Book Antiqua" w:cs="Arial"/>
          <w:b/>
          <w:bCs/>
          <w:color w:val="000000"/>
          <w:kern w:val="0"/>
          <w:sz w:val="19"/>
          <w:szCs w:val="19"/>
          <w:lang w:eastAsia="pt-BR"/>
          <w14:ligatures w14:val="none"/>
        </w:rPr>
        <w:t>caput</w:t>
      </w:r>
      <w:r w:rsidRPr="00B62C07">
        <w:rPr>
          <w:rFonts w:ascii="Book Antiqua" w:eastAsia="Times New Roman" w:hAnsi="Book Antiqua" w:cs="Arial"/>
          <w:color w:val="000000"/>
          <w:kern w:val="0"/>
          <w:sz w:val="19"/>
          <w:szCs w:val="19"/>
          <w:lang w:eastAsia="pt-BR"/>
          <w14:ligatures w14:val="none"/>
        </w:rPr>
        <w:t> deste artigo, considera-se:</w:t>
      </w:r>
    </w:p>
    <w:p w14:paraId="295B0B0C"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 - </w:t>
      </w:r>
      <w:proofErr w:type="gramStart"/>
      <w:r w:rsidRPr="00B62C07">
        <w:rPr>
          <w:rFonts w:ascii="Book Antiqua" w:eastAsia="Times New Roman" w:hAnsi="Book Antiqua" w:cs="Arial"/>
          <w:color w:val="000000"/>
          <w:kern w:val="0"/>
          <w:sz w:val="19"/>
          <w:szCs w:val="19"/>
          <w:lang w:eastAsia="pt-BR"/>
          <w14:ligatures w14:val="none"/>
        </w:rPr>
        <w:t>correção</w:t>
      </w:r>
      <w:proofErr w:type="gramEnd"/>
      <w:r w:rsidRPr="00B62C07">
        <w:rPr>
          <w:rFonts w:ascii="Book Antiqua" w:eastAsia="Times New Roman" w:hAnsi="Book Antiqua" w:cs="Arial"/>
          <w:color w:val="000000"/>
          <w:kern w:val="0"/>
          <w:sz w:val="19"/>
          <w:szCs w:val="19"/>
          <w:lang w:eastAsia="pt-BR"/>
          <w14:ligatures w14:val="none"/>
        </w:rPr>
        <w:t>, a informação verdadeira que não seja capaz de induzir o consumidor em erro;</w:t>
      </w:r>
    </w:p>
    <w:p w14:paraId="24C38BA6" w14:textId="77777777" w:rsidR="00B62C07" w:rsidRPr="00B62C07" w:rsidRDefault="00B62C07" w:rsidP="00B62C07">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II - </w:t>
      </w:r>
      <w:proofErr w:type="gramStart"/>
      <w:r w:rsidRPr="00B62C07">
        <w:rPr>
          <w:rFonts w:ascii="Book Antiqua" w:eastAsia="Times New Roman" w:hAnsi="Book Antiqua" w:cs="Arial"/>
          <w:color w:val="000000"/>
          <w:kern w:val="0"/>
          <w:sz w:val="19"/>
          <w:szCs w:val="19"/>
          <w:lang w:eastAsia="pt-BR"/>
          <w14:ligatures w14:val="none"/>
        </w:rPr>
        <w:t>clareza</w:t>
      </w:r>
      <w:proofErr w:type="gramEnd"/>
      <w:r w:rsidRPr="00B62C07">
        <w:rPr>
          <w:rFonts w:ascii="Book Antiqua" w:eastAsia="Times New Roman" w:hAnsi="Book Antiqua" w:cs="Arial"/>
          <w:color w:val="000000"/>
          <w:kern w:val="0"/>
          <w:sz w:val="19"/>
          <w:szCs w:val="19"/>
          <w:lang w:eastAsia="pt-BR"/>
          <w14:ligatures w14:val="none"/>
        </w:rPr>
        <w:t>, a informação que pode ser entendida de imediato e com facilidade pelo consumidor, sem abreviaturas que dificultem a sua compreensão, e sem a necessidade de qualquer interpretação ou cálculo;</w:t>
      </w:r>
    </w:p>
    <w:p w14:paraId="7CD1334C"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III - precisão, a informação que seja exata, definida e que esteja física ou visualmente ligada ao produto a que se refere, sem nenhum embaraço físico ou visual interposto;</w:t>
      </w:r>
    </w:p>
    <w:p w14:paraId="00A9DC34"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IV - </w:t>
      </w:r>
      <w:proofErr w:type="gramStart"/>
      <w:r w:rsidRPr="00B62C07">
        <w:rPr>
          <w:rFonts w:ascii="Book Antiqua" w:eastAsia="Times New Roman" w:hAnsi="Book Antiqua" w:cs="Arial"/>
          <w:color w:val="000000"/>
          <w:kern w:val="0"/>
          <w:sz w:val="19"/>
          <w:szCs w:val="19"/>
          <w:lang w:eastAsia="pt-BR"/>
          <w14:ligatures w14:val="none"/>
        </w:rPr>
        <w:t>ostensividade</w:t>
      </w:r>
      <w:proofErr w:type="gramEnd"/>
      <w:r w:rsidRPr="00B62C07">
        <w:rPr>
          <w:rFonts w:ascii="Book Antiqua" w:eastAsia="Times New Roman" w:hAnsi="Book Antiqua" w:cs="Arial"/>
          <w:color w:val="000000"/>
          <w:kern w:val="0"/>
          <w:sz w:val="19"/>
          <w:szCs w:val="19"/>
          <w:lang w:eastAsia="pt-BR"/>
          <w14:ligatures w14:val="none"/>
        </w:rPr>
        <w:t>, a informação que seja de fácil percepção, dispensando qualquer esforço na sua assimilação; e</w:t>
      </w:r>
    </w:p>
    <w:p w14:paraId="0F717875" w14:textId="77777777" w:rsidR="00B62C07" w:rsidRPr="00B62C07" w:rsidRDefault="00B62C07" w:rsidP="00B62C07">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V - </w:t>
      </w:r>
      <w:proofErr w:type="gramStart"/>
      <w:r w:rsidRPr="00B62C07">
        <w:rPr>
          <w:rFonts w:ascii="Book Antiqua" w:eastAsia="Times New Roman" w:hAnsi="Book Antiqua" w:cs="Arial"/>
          <w:color w:val="000000"/>
          <w:kern w:val="0"/>
          <w:sz w:val="19"/>
          <w:szCs w:val="19"/>
          <w:lang w:eastAsia="pt-BR"/>
          <w14:ligatures w14:val="none"/>
        </w:rPr>
        <w:t>legibilidade</w:t>
      </w:r>
      <w:proofErr w:type="gramEnd"/>
      <w:r w:rsidRPr="00B62C07">
        <w:rPr>
          <w:rFonts w:ascii="Book Antiqua" w:eastAsia="Times New Roman" w:hAnsi="Book Antiqua" w:cs="Arial"/>
          <w:color w:val="000000"/>
          <w:kern w:val="0"/>
          <w:sz w:val="19"/>
          <w:szCs w:val="19"/>
          <w:lang w:eastAsia="pt-BR"/>
          <w14:ligatures w14:val="none"/>
        </w:rPr>
        <w:t>, a informação que seja visível e indelével. </w:t>
      </w:r>
    </w:p>
    <w:p w14:paraId="0F26D183"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 w:name="art3"/>
      <w:bookmarkEnd w:id="3"/>
      <w:r w:rsidRPr="00B62C07">
        <w:rPr>
          <w:rFonts w:ascii="Book Antiqua" w:eastAsia="Times New Roman" w:hAnsi="Book Antiqua" w:cs="Arial"/>
          <w:color w:val="000000"/>
          <w:spacing w:val="-4"/>
          <w:kern w:val="0"/>
          <w:sz w:val="19"/>
          <w:szCs w:val="19"/>
          <w:lang w:eastAsia="pt-BR"/>
          <w14:ligatures w14:val="none"/>
        </w:rPr>
        <w:t>Art. 3</w:t>
      </w:r>
      <w:proofErr w:type="gramStart"/>
      <w:r w:rsidRPr="00B62C07">
        <w:rPr>
          <w:rFonts w:ascii="Book Antiqua" w:eastAsia="Times New Roman" w:hAnsi="Book Antiqua" w:cs="Arial"/>
          <w:color w:val="000000"/>
          <w:spacing w:val="-4"/>
          <w:kern w:val="0"/>
          <w:sz w:val="19"/>
          <w:szCs w:val="19"/>
          <w:u w:val="single"/>
          <w:vertAlign w:val="superscript"/>
          <w:lang w:eastAsia="pt-BR"/>
          <w14:ligatures w14:val="none"/>
        </w:rPr>
        <w:t>o</w:t>
      </w:r>
      <w:r w:rsidRPr="00B62C07">
        <w:rPr>
          <w:rFonts w:ascii="Book Antiqua" w:eastAsia="Times New Roman" w:hAnsi="Book Antiqua" w:cs="Arial"/>
          <w:color w:val="000000"/>
          <w:spacing w:val="-4"/>
          <w:kern w:val="0"/>
          <w:sz w:val="19"/>
          <w:szCs w:val="19"/>
          <w:lang w:eastAsia="pt-BR"/>
          <w14:ligatures w14:val="none"/>
        </w:rPr>
        <w:t>  O</w:t>
      </w:r>
      <w:proofErr w:type="gramEnd"/>
      <w:r w:rsidRPr="00B62C07">
        <w:rPr>
          <w:rFonts w:ascii="Book Antiqua" w:eastAsia="Times New Roman" w:hAnsi="Book Antiqua" w:cs="Arial"/>
          <w:color w:val="000000"/>
          <w:spacing w:val="-4"/>
          <w:kern w:val="0"/>
          <w:sz w:val="19"/>
          <w:szCs w:val="19"/>
          <w:lang w:eastAsia="pt-BR"/>
          <w14:ligatures w14:val="none"/>
        </w:rPr>
        <w:t xml:space="preserve"> preço de produto ou serviço deverá ser informado discriminando-se o total à vista.</w:t>
      </w:r>
      <w:r w:rsidRPr="00B62C07">
        <w:rPr>
          <w:rFonts w:ascii="Book Antiqua" w:eastAsia="Times New Roman" w:hAnsi="Book Antiqua" w:cs="Arial"/>
          <w:color w:val="000000"/>
          <w:kern w:val="0"/>
          <w:sz w:val="19"/>
          <w:szCs w:val="19"/>
          <w:lang w:eastAsia="pt-BR"/>
          <w14:ligatures w14:val="none"/>
        </w:rPr>
        <w:t> </w:t>
      </w:r>
    </w:p>
    <w:p w14:paraId="5F4045A0"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Parágrafo único.  No caso de outorga de crédito, como nas hipóteses de financiamento ou parcelamento, deverão ser também discriminados:</w:t>
      </w:r>
    </w:p>
    <w:p w14:paraId="3FBBE1B4"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 </w:t>
      </w:r>
      <w:proofErr w:type="gramStart"/>
      <w:r w:rsidRPr="00B62C07">
        <w:rPr>
          <w:rFonts w:ascii="Book Antiqua" w:eastAsia="Times New Roman" w:hAnsi="Book Antiqua" w:cs="Arial"/>
          <w:color w:val="000000"/>
          <w:kern w:val="0"/>
          <w:sz w:val="19"/>
          <w:szCs w:val="19"/>
          <w:lang w:eastAsia="pt-BR"/>
          <w14:ligatures w14:val="none"/>
        </w:rPr>
        <w:t>-  o</w:t>
      </w:r>
      <w:proofErr w:type="gramEnd"/>
      <w:r w:rsidRPr="00B62C07">
        <w:rPr>
          <w:rFonts w:ascii="Book Antiqua" w:eastAsia="Times New Roman" w:hAnsi="Book Antiqua" w:cs="Arial"/>
          <w:color w:val="000000"/>
          <w:kern w:val="0"/>
          <w:sz w:val="19"/>
          <w:szCs w:val="19"/>
          <w:lang w:eastAsia="pt-BR"/>
          <w14:ligatures w14:val="none"/>
        </w:rPr>
        <w:t xml:space="preserve"> valor total a ser pago com financiamento;</w:t>
      </w:r>
    </w:p>
    <w:p w14:paraId="25CE9EFE" w14:textId="77777777" w:rsidR="00B62C07" w:rsidRPr="00B62C07" w:rsidRDefault="00B62C07" w:rsidP="00B62C07">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II - </w:t>
      </w:r>
      <w:proofErr w:type="gramStart"/>
      <w:r w:rsidRPr="00B62C07">
        <w:rPr>
          <w:rFonts w:ascii="Book Antiqua" w:eastAsia="Times New Roman" w:hAnsi="Book Antiqua" w:cs="Arial"/>
          <w:color w:val="000000"/>
          <w:kern w:val="0"/>
          <w:sz w:val="19"/>
          <w:szCs w:val="19"/>
          <w:lang w:eastAsia="pt-BR"/>
          <w14:ligatures w14:val="none"/>
        </w:rPr>
        <w:t>o</w:t>
      </w:r>
      <w:proofErr w:type="gramEnd"/>
      <w:r w:rsidRPr="00B62C07">
        <w:rPr>
          <w:rFonts w:ascii="Book Antiqua" w:eastAsia="Times New Roman" w:hAnsi="Book Antiqua" w:cs="Arial"/>
          <w:color w:val="000000"/>
          <w:kern w:val="0"/>
          <w:sz w:val="19"/>
          <w:szCs w:val="19"/>
          <w:lang w:eastAsia="pt-BR"/>
          <w14:ligatures w14:val="none"/>
        </w:rPr>
        <w:t xml:space="preserve"> número, periodicidade e valor das prestações;</w:t>
      </w:r>
    </w:p>
    <w:p w14:paraId="02B63FA2"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III - os juros; e</w:t>
      </w:r>
    </w:p>
    <w:p w14:paraId="24B3D6A9"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IV - </w:t>
      </w:r>
      <w:proofErr w:type="gramStart"/>
      <w:r w:rsidRPr="00B62C07">
        <w:rPr>
          <w:rFonts w:ascii="Book Antiqua" w:eastAsia="Times New Roman" w:hAnsi="Book Antiqua" w:cs="Arial"/>
          <w:color w:val="000000"/>
          <w:kern w:val="0"/>
          <w:sz w:val="19"/>
          <w:szCs w:val="19"/>
          <w:lang w:eastAsia="pt-BR"/>
          <w14:ligatures w14:val="none"/>
        </w:rPr>
        <w:t>os</w:t>
      </w:r>
      <w:proofErr w:type="gramEnd"/>
      <w:r w:rsidRPr="00B62C07">
        <w:rPr>
          <w:rFonts w:ascii="Book Antiqua" w:eastAsia="Times New Roman" w:hAnsi="Book Antiqua" w:cs="Arial"/>
          <w:color w:val="000000"/>
          <w:kern w:val="0"/>
          <w:sz w:val="19"/>
          <w:szCs w:val="19"/>
          <w:lang w:eastAsia="pt-BR"/>
          <w14:ligatures w14:val="none"/>
        </w:rPr>
        <w:t xml:space="preserve"> eventuais acréscimos e encargos que incidirem sobre o valor do financiamento ou parcelamento. </w:t>
      </w:r>
    </w:p>
    <w:p w14:paraId="223EDCB4"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 w:name="art4"/>
      <w:bookmarkEnd w:id="4"/>
      <w:r w:rsidRPr="00B62C07">
        <w:rPr>
          <w:rFonts w:ascii="Book Antiqua" w:eastAsia="Times New Roman" w:hAnsi="Book Antiqua" w:cs="Arial"/>
          <w:color w:val="000000"/>
          <w:kern w:val="0"/>
          <w:sz w:val="19"/>
          <w:szCs w:val="19"/>
          <w:lang w:eastAsia="pt-BR"/>
          <w14:ligatures w14:val="none"/>
        </w:rPr>
        <w:t>Art. 4</w:t>
      </w:r>
      <w:proofErr w:type="gramStart"/>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Os</w:t>
      </w:r>
      <w:proofErr w:type="gramEnd"/>
      <w:r w:rsidRPr="00B62C07">
        <w:rPr>
          <w:rFonts w:ascii="Book Antiqua" w:eastAsia="Times New Roman" w:hAnsi="Book Antiqua" w:cs="Arial"/>
          <w:color w:val="000000"/>
          <w:kern w:val="0"/>
          <w:sz w:val="19"/>
          <w:szCs w:val="19"/>
          <w:lang w:eastAsia="pt-BR"/>
          <w14:ligatures w14:val="none"/>
        </w:rPr>
        <w:t xml:space="preserve"> preços dos produtos e serviços expostos à venda devem ficar sempre visíveis aos consumidores enquanto o estabelecimento estiver aberto ao público.  </w:t>
      </w:r>
    </w:p>
    <w:p w14:paraId="60A59E8F" w14:textId="77777777" w:rsidR="00B62C07" w:rsidRPr="00B62C07" w:rsidRDefault="00B62C07" w:rsidP="00B62C07">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spacing w:val="-4"/>
          <w:kern w:val="0"/>
          <w:sz w:val="19"/>
          <w:szCs w:val="19"/>
          <w:lang w:eastAsia="pt-BR"/>
          <w14:ligatures w14:val="none"/>
        </w:rPr>
        <w:t>Parágrafo único.  A montagem, rearranjo ou limpeza, se em horário de funcionamento, deve ser feito sem prejuízo das informações relativas aos preços de produtos ou serviços expostos à venda.</w:t>
      </w:r>
      <w:r w:rsidRPr="00B62C07">
        <w:rPr>
          <w:rFonts w:ascii="Book Antiqua" w:eastAsia="Times New Roman" w:hAnsi="Book Antiqua" w:cs="Arial"/>
          <w:color w:val="000000"/>
          <w:kern w:val="0"/>
          <w:sz w:val="19"/>
          <w:szCs w:val="19"/>
          <w:lang w:eastAsia="pt-BR"/>
          <w14:ligatures w14:val="none"/>
        </w:rPr>
        <w:t> </w:t>
      </w:r>
    </w:p>
    <w:p w14:paraId="4CC0C47E"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 w:name="art5"/>
      <w:bookmarkEnd w:id="5"/>
      <w:r w:rsidRPr="00B62C07">
        <w:rPr>
          <w:rFonts w:ascii="Book Antiqua" w:eastAsia="Times New Roman" w:hAnsi="Book Antiqua" w:cs="Arial"/>
          <w:color w:val="000000"/>
          <w:kern w:val="0"/>
          <w:sz w:val="19"/>
          <w:szCs w:val="19"/>
          <w:lang w:eastAsia="pt-BR"/>
          <w14:ligatures w14:val="none"/>
        </w:rPr>
        <w:t>Art. 5</w:t>
      </w:r>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Na hipótese de afixação de preços de bens e serviços para o consumidor, em vitrines e no comércio em geral, de que trata o </w:t>
      </w:r>
      <w:hyperlink r:id="rId6" w:anchor="art2i" w:history="1">
        <w:r w:rsidRPr="00B62C07">
          <w:rPr>
            <w:rFonts w:ascii="Book Antiqua" w:eastAsia="Times New Roman" w:hAnsi="Book Antiqua" w:cs="Arial"/>
            <w:color w:val="0000FF"/>
            <w:kern w:val="0"/>
            <w:sz w:val="19"/>
            <w:szCs w:val="19"/>
            <w:u w:val="single"/>
            <w:lang w:eastAsia="pt-BR"/>
            <w14:ligatures w14:val="none"/>
          </w:rPr>
          <w:t>inciso I do art. 2</w:t>
        </w:r>
        <w:r w:rsidRPr="00B62C07">
          <w:rPr>
            <w:rFonts w:ascii="Book Antiqua" w:eastAsia="Times New Roman" w:hAnsi="Book Antiqua" w:cs="Arial"/>
            <w:color w:val="0000FF"/>
            <w:kern w:val="0"/>
            <w:sz w:val="19"/>
            <w:szCs w:val="19"/>
            <w:u w:val="single"/>
            <w:vertAlign w:val="superscript"/>
            <w:lang w:eastAsia="pt-BR"/>
            <w14:ligatures w14:val="none"/>
          </w:rPr>
          <w:t>o</w:t>
        </w:r>
        <w:r w:rsidRPr="00B62C07">
          <w:rPr>
            <w:rFonts w:ascii="Book Antiqua" w:eastAsia="Times New Roman" w:hAnsi="Book Antiqua" w:cs="Arial"/>
            <w:color w:val="0000FF"/>
            <w:kern w:val="0"/>
            <w:sz w:val="19"/>
            <w:szCs w:val="19"/>
            <w:u w:val="single"/>
            <w:lang w:eastAsia="pt-BR"/>
            <w14:ligatures w14:val="none"/>
          </w:rPr>
          <w:t> da Lei n</w:t>
        </w:r>
        <w:r w:rsidRPr="00B62C07">
          <w:rPr>
            <w:rFonts w:ascii="Book Antiqua" w:eastAsia="Times New Roman" w:hAnsi="Book Antiqua" w:cs="Arial"/>
            <w:color w:val="0000FF"/>
            <w:kern w:val="0"/>
            <w:sz w:val="19"/>
            <w:szCs w:val="19"/>
            <w:u w:val="single"/>
            <w:vertAlign w:val="superscript"/>
            <w:lang w:eastAsia="pt-BR"/>
            <w14:ligatures w14:val="none"/>
          </w:rPr>
          <w:t>o</w:t>
        </w:r>
        <w:r w:rsidRPr="00B62C07">
          <w:rPr>
            <w:rFonts w:ascii="Book Antiqua" w:eastAsia="Times New Roman" w:hAnsi="Book Antiqua" w:cs="Arial"/>
            <w:color w:val="0000FF"/>
            <w:kern w:val="0"/>
            <w:sz w:val="19"/>
            <w:szCs w:val="19"/>
            <w:u w:val="single"/>
            <w:lang w:eastAsia="pt-BR"/>
            <w14:ligatures w14:val="none"/>
          </w:rPr>
          <w:t> 10.962, de 2004</w:t>
        </w:r>
      </w:hyperlink>
      <w:r w:rsidRPr="00B62C07">
        <w:rPr>
          <w:rFonts w:ascii="Book Antiqua" w:eastAsia="Times New Roman" w:hAnsi="Book Antiqua" w:cs="Arial"/>
          <w:color w:val="000000"/>
          <w:kern w:val="0"/>
          <w:sz w:val="19"/>
          <w:szCs w:val="19"/>
          <w:lang w:eastAsia="pt-BR"/>
          <w14:ligatures w14:val="none"/>
        </w:rPr>
        <w:t xml:space="preserve">, a etiqueta ou similar afixada diretamente no produto exposto à venda deverá ter sua face principal voltada ao consumidor, </w:t>
      </w:r>
      <w:r w:rsidRPr="00B62C07">
        <w:rPr>
          <w:rFonts w:ascii="Book Antiqua" w:eastAsia="Times New Roman" w:hAnsi="Book Antiqua" w:cs="Arial"/>
          <w:color w:val="000000"/>
          <w:kern w:val="0"/>
          <w:sz w:val="19"/>
          <w:szCs w:val="19"/>
          <w:lang w:eastAsia="pt-BR"/>
          <w14:ligatures w14:val="none"/>
        </w:rPr>
        <w:lastRenderedPageBreak/>
        <w:t>a fim de garantir a pronta visualização do preço, independentemente de solicitação do consumidor ou intervenção do comerciante. </w:t>
      </w:r>
    </w:p>
    <w:p w14:paraId="1A3EE8DF"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Parágrafo único.  Entende-se como similar qualquer meio físico que esteja unido ao produto e gere efeitos visuais equivalentes aos da etiqueta. </w:t>
      </w:r>
    </w:p>
    <w:p w14:paraId="7A787758"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 w:name="art6"/>
      <w:bookmarkEnd w:id="6"/>
      <w:r w:rsidRPr="00B62C07">
        <w:rPr>
          <w:rFonts w:ascii="Book Antiqua" w:eastAsia="Times New Roman" w:hAnsi="Book Antiqua" w:cs="Arial"/>
          <w:color w:val="000000"/>
          <w:kern w:val="0"/>
          <w:sz w:val="19"/>
          <w:szCs w:val="19"/>
          <w:lang w:eastAsia="pt-BR"/>
          <w14:ligatures w14:val="none"/>
        </w:rPr>
        <w:t>Art. 6</w:t>
      </w:r>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Os preços de bens e serviços para o consumidor nos estabelecimentos comerciais de que trata o </w:t>
      </w:r>
      <w:hyperlink r:id="rId7" w:anchor="art2ii" w:history="1">
        <w:r w:rsidRPr="00B62C07">
          <w:rPr>
            <w:rFonts w:ascii="Book Antiqua" w:eastAsia="Times New Roman" w:hAnsi="Book Antiqua" w:cs="Arial"/>
            <w:color w:val="0000FF"/>
            <w:kern w:val="0"/>
            <w:sz w:val="19"/>
            <w:szCs w:val="19"/>
            <w:u w:val="single"/>
            <w:lang w:eastAsia="pt-BR"/>
            <w14:ligatures w14:val="none"/>
          </w:rPr>
          <w:t>inciso II do art. 2º da Lei nº 10.962, de 2004</w:t>
        </w:r>
      </w:hyperlink>
      <w:r w:rsidRPr="00B62C07">
        <w:rPr>
          <w:rFonts w:ascii="Book Antiqua" w:eastAsia="Times New Roman" w:hAnsi="Book Antiqua" w:cs="Arial"/>
          <w:color w:val="000000"/>
          <w:kern w:val="0"/>
          <w:sz w:val="19"/>
          <w:szCs w:val="19"/>
          <w:lang w:eastAsia="pt-BR"/>
          <w14:ligatures w14:val="none"/>
        </w:rPr>
        <w:t>, admitem as seguintes modalidades de afixação:</w:t>
      </w:r>
    </w:p>
    <w:p w14:paraId="7A875DFB"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 - </w:t>
      </w:r>
      <w:proofErr w:type="gramStart"/>
      <w:r w:rsidRPr="00B62C07">
        <w:rPr>
          <w:rFonts w:ascii="Book Antiqua" w:eastAsia="Times New Roman" w:hAnsi="Book Antiqua" w:cs="Arial"/>
          <w:color w:val="000000"/>
          <w:kern w:val="0"/>
          <w:sz w:val="19"/>
          <w:szCs w:val="19"/>
          <w:lang w:eastAsia="pt-BR"/>
          <w14:ligatures w14:val="none"/>
        </w:rPr>
        <w:t>direta ou impressa</w:t>
      </w:r>
      <w:proofErr w:type="gramEnd"/>
      <w:r w:rsidRPr="00B62C07">
        <w:rPr>
          <w:rFonts w:ascii="Book Antiqua" w:eastAsia="Times New Roman" w:hAnsi="Book Antiqua" w:cs="Arial"/>
          <w:color w:val="000000"/>
          <w:kern w:val="0"/>
          <w:sz w:val="19"/>
          <w:szCs w:val="19"/>
          <w:lang w:eastAsia="pt-BR"/>
          <w14:ligatures w14:val="none"/>
        </w:rPr>
        <w:t xml:space="preserve"> na própria embalagem;</w:t>
      </w:r>
    </w:p>
    <w:p w14:paraId="362D5F7E"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II - </w:t>
      </w:r>
      <w:proofErr w:type="gramStart"/>
      <w:r w:rsidRPr="00B62C07">
        <w:rPr>
          <w:rFonts w:ascii="Book Antiqua" w:eastAsia="Times New Roman" w:hAnsi="Book Antiqua" w:cs="Arial"/>
          <w:color w:val="000000"/>
          <w:kern w:val="0"/>
          <w:sz w:val="19"/>
          <w:szCs w:val="19"/>
          <w:lang w:eastAsia="pt-BR"/>
          <w14:ligatures w14:val="none"/>
        </w:rPr>
        <w:t>de</w:t>
      </w:r>
      <w:proofErr w:type="gramEnd"/>
      <w:r w:rsidRPr="00B62C07">
        <w:rPr>
          <w:rFonts w:ascii="Book Antiqua" w:eastAsia="Times New Roman" w:hAnsi="Book Antiqua" w:cs="Arial"/>
          <w:color w:val="000000"/>
          <w:kern w:val="0"/>
          <w:sz w:val="19"/>
          <w:szCs w:val="19"/>
          <w:lang w:eastAsia="pt-BR"/>
          <w14:ligatures w14:val="none"/>
        </w:rPr>
        <w:t xml:space="preserve"> código referencial; ou</w:t>
      </w:r>
    </w:p>
    <w:p w14:paraId="05B5419D"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III - de código de barras. </w:t>
      </w:r>
    </w:p>
    <w:p w14:paraId="15A2D989"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 1</w:t>
      </w:r>
      <w:proofErr w:type="gramStart"/>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Na</w:t>
      </w:r>
      <w:proofErr w:type="gramEnd"/>
      <w:r w:rsidRPr="00B62C07">
        <w:rPr>
          <w:rFonts w:ascii="Book Antiqua" w:eastAsia="Times New Roman" w:hAnsi="Book Antiqua" w:cs="Arial"/>
          <w:color w:val="000000"/>
          <w:kern w:val="0"/>
          <w:sz w:val="19"/>
          <w:szCs w:val="19"/>
          <w:lang w:eastAsia="pt-BR"/>
          <w14:ligatures w14:val="none"/>
        </w:rPr>
        <w:t xml:space="preserve"> afixação direta ou impressão na própria embalagem do produto, será observado o disposto no art. 5</w:t>
      </w:r>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deste Decreto. </w:t>
      </w:r>
    </w:p>
    <w:p w14:paraId="23802AC6"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 2</w:t>
      </w:r>
      <w:proofErr w:type="gramStart"/>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A</w:t>
      </w:r>
      <w:proofErr w:type="gramEnd"/>
      <w:r w:rsidRPr="00B62C07">
        <w:rPr>
          <w:rFonts w:ascii="Book Antiqua" w:eastAsia="Times New Roman" w:hAnsi="Book Antiqua" w:cs="Arial"/>
          <w:color w:val="000000"/>
          <w:kern w:val="0"/>
          <w:sz w:val="19"/>
          <w:szCs w:val="19"/>
          <w:lang w:eastAsia="pt-BR"/>
          <w14:ligatures w14:val="none"/>
        </w:rPr>
        <w:t xml:space="preserve"> utilização da modalidade de afixação de código referencial deverá atender às seguintes exigências:</w:t>
      </w:r>
    </w:p>
    <w:p w14:paraId="06F5A4C8"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 - </w:t>
      </w:r>
      <w:proofErr w:type="gramStart"/>
      <w:r w:rsidRPr="00B62C07">
        <w:rPr>
          <w:rFonts w:ascii="Book Antiqua" w:eastAsia="Times New Roman" w:hAnsi="Book Antiqua" w:cs="Arial"/>
          <w:color w:val="000000"/>
          <w:kern w:val="0"/>
          <w:sz w:val="19"/>
          <w:szCs w:val="19"/>
          <w:lang w:eastAsia="pt-BR"/>
          <w14:ligatures w14:val="none"/>
        </w:rPr>
        <w:t>a</w:t>
      </w:r>
      <w:proofErr w:type="gramEnd"/>
      <w:r w:rsidRPr="00B62C07">
        <w:rPr>
          <w:rFonts w:ascii="Book Antiqua" w:eastAsia="Times New Roman" w:hAnsi="Book Antiqua" w:cs="Arial"/>
          <w:color w:val="000000"/>
          <w:kern w:val="0"/>
          <w:sz w:val="19"/>
          <w:szCs w:val="19"/>
          <w:lang w:eastAsia="pt-BR"/>
          <w14:ligatures w14:val="none"/>
        </w:rPr>
        <w:t xml:space="preserve"> relação dos códigos e seus respectivos preços devem estar visualmente unidos e próximos dos produtos a que se referem, e imediatamente perceptível ao consumidor, sem a necessidade de qualquer esforço ou deslocamento de sua parte; e</w:t>
      </w:r>
    </w:p>
    <w:p w14:paraId="18BF3EA3"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II - </w:t>
      </w:r>
      <w:proofErr w:type="gramStart"/>
      <w:r w:rsidRPr="00B62C07">
        <w:rPr>
          <w:rFonts w:ascii="Book Antiqua" w:eastAsia="Times New Roman" w:hAnsi="Book Antiqua" w:cs="Arial"/>
          <w:color w:val="000000"/>
          <w:kern w:val="0"/>
          <w:sz w:val="19"/>
          <w:szCs w:val="19"/>
          <w:lang w:eastAsia="pt-BR"/>
          <w14:ligatures w14:val="none"/>
        </w:rPr>
        <w:t>o</w:t>
      </w:r>
      <w:proofErr w:type="gramEnd"/>
      <w:r w:rsidRPr="00B62C07">
        <w:rPr>
          <w:rFonts w:ascii="Book Antiqua" w:eastAsia="Times New Roman" w:hAnsi="Book Antiqua" w:cs="Arial"/>
          <w:color w:val="000000"/>
          <w:kern w:val="0"/>
          <w:sz w:val="19"/>
          <w:szCs w:val="19"/>
          <w:lang w:eastAsia="pt-BR"/>
          <w14:ligatures w14:val="none"/>
        </w:rPr>
        <w:t xml:space="preserve"> código referencial deve estar fisicamente ligado ao produto, em contraste de cores e em tamanho suficientes que permitam a pronta identificação pelo consumidor. </w:t>
      </w:r>
    </w:p>
    <w:p w14:paraId="7BD2AC9B"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 3</w:t>
      </w:r>
      <w:proofErr w:type="gramStart"/>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Na</w:t>
      </w:r>
      <w:proofErr w:type="gramEnd"/>
      <w:r w:rsidRPr="00B62C07">
        <w:rPr>
          <w:rFonts w:ascii="Book Antiqua" w:eastAsia="Times New Roman" w:hAnsi="Book Antiqua" w:cs="Arial"/>
          <w:color w:val="000000"/>
          <w:kern w:val="0"/>
          <w:sz w:val="19"/>
          <w:szCs w:val="19"/>
          <w:lang w:eastAsia="pt-BR"/>
          <w14:ligatures w14:val="none"/>
        </w:rPr>
        <w:t xml:space="preserve"> modalidade de afixação de código de barras, deverão ser observados os seguintes requisitos:</w:t>
      </w:r>
    </w:p>
    <w:p w14:paraId="5C34BBC1"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 - </w:t>
      </w:r>
      <w:proofErr w:type="gramStart"/>
      <w:r w:rsidRPr="00B62C07">
        <w:rPr>
          <w:rFonts w:ascii="Book Antiqua" w:eastAsia="Times New Roman" w:hAnsi="Book Antiqua" w:cs="Arial"/>
          <w:color w:val="000000"/>
          <w:kern w:val="0"/>
          <w:sz w:val="19"/>
          <w:szCs w:val="19"/>
          <w:lang w:eastAsia="pt-BR"/>
          <w14:ligatures w14:val="none"/>
        </w:rPr>
        <w:t>as</w:t>
      </w:r>
      <w:proofErr w:type="gramEnd"/>
      <w:r w:rsidRPr="00B62C07">
        <w:rPr>
          <w:rFonts w:ascii="Book Antiqua" w:eastAsia="Times New Roman" w:hAnsi="Book Antiqua" w:cs="Arial"/>
          <w:color w:val="000000"/>
          <w:kern w:val="0"/>
          <w:sz w:val="19"/>
          <w:szCs w:val="19"/>
          <w:lang w:eastAsia="pt-BR"/>
          <w14:ligatures w14:val="none"/>
        </w:rPr>
        <w:t xml:space="preserve"> informações relativas ao preço à vista, características e código do produto deverão estar a ele visualmente unidas, garantindo a pronta identificação pelo consumidor;</w:t>
      </w:r>
    </w:p>
    <w:p w14:paraId="6E13C848" w14:textId="77777777" w:rsidR="00B62C07" w:rsidRPr="00B62C07" w:rsidRDefault="00B62C07" w:rsidP="00B62C07">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II - </w:t>
      </w:r>
      <w:proofErr w:type="gramStart"/>
      <w:r w:rsidRPr="00B62C07">
        <w:rPr>
          <w:rFonts w:ascii="Book Antiqua" w:eastAsia="Times New Roman" w:hAnsi="Book Antiqua" w:cs="Arial"/>
          <w:color w:val="000000"/>
          <w:kern w:val="0"/>
          <w:sz w:val="19"/>
          <w:szCs w:val="19"/>
          <w:lang w:eastAsia="pt-BR"/>
          <w14:ligatures w14:val="none"/>
        </w:rPr>
        <w:t>a</w:t>
      </w:r>
      <w:proofErr w:type="gramEnd"/>
      <w:r w:rsidRPr="00B62C07">
        <w:rPr>
          <w:rFonts w:ascii="Book Antiqua" w:eastAsia="Times New Roman" w:hAnsi="Book Antiqua" w:cs="Arial"/>
          <w:color w:val="000000"/>
          <w:kern w:val="0"/>
          <w:sz w:val="19"/>
          <w:szCs w:val="19"/>
          <w:lang w:eastAsia="pt-BR"/>
          <w14:ligatures w14:val="none"/>
        </w:rPr>
        <w:t xml:space="preserve"> informação sobre as características do item deve compreender o nome, quantidade e demais elementos que o particularizem; e</w:t>
      </w:r>
    </w:p>
    <w:p w14:paraId="07F764F3"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III - as informações deverão ser disponibilizadas em etiquetas com caracteres ostensivos e em cores de destaque em relação ao fundo. </w:t>
      </w:r>
    </w:p>
    <w:p w14:paraId="38E87C3E"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 w:name="art7"/>
      <w:bookmarkEnd w:id="7"/>
      <w:r w:rsidRPr="00B62C07">
        <w:rPr>
          <w:rFonts w:ascii="Book Antiqua" w:eastAsia="Times New Roman" w:hAnsi="Book Antiqua" w:cs="Arial"/>
          <w:color w:val="000000"/>
          <w:kern w:val="0"/>
          <w:sz w:val="19"/>
          <w:szCs w:val="19"/>
          <w:lang w:eastAsia="pt-BR"/>
          <w14:ligatures w14:val="none"/>
        </w:rPr>
        <w:t>Art. 7</w:t>
      </w:r>
      <w:proofErr w:type="gramStart"/>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Na</w:t>
      </w:r>
      <w:proofErr w:type="gramEnd"/>
      <w:r w:rsidRPr="00B62C07">
        <w:rPr>
          <w:rFonts w:ascii="Book Antiqua" w:eastAsia="Times New Roman" w:hAnsi="Book Antiqua" w:cs="Arial"/>
          <w:color w:val="000000"/>
          <w:kern w:val="0"/>
          <w:sz w:val="19"/>
          <w:szCs w:val="19"/>
          <w:lang w:eastAsia="pt-BR"/>
          <w14:ligatures w14:val="none"/>
        </w:rPr>
        <w:t xml:space="preserve"> hipótese de utilização do código de barras para apreçamento, os fornecedores deverão disponibilizar, na área de vendas, para consulta de preços pelo consumidor, equipamentos de leitura ótica em perfeito estado de funcionamento. </w:t>
      </w:r>
    </w:p>
    <w:p w14:paraId="49F338AE"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 1</w:t>
      </w:r>
      <w:proofErr w:type="gramStart"/>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Os</w:t>
      </w:r>
      <w:proofErr w:type="gramEnd"/>
      <w:r w:rsidRPr="00B62C07">
        <w:rPr>
          <w:rFonts w:ascii="Book Antiqua" w:eastAsia="Times New Roman" w:hAnsi="Book Antiqua" w:cs="Arial"/>
          <w:color w:val="000000"/>
          <w:kern w:val="0"/>
          <w:sz w:val="19"/>
          <w:szCs w:val="19"/>
          <w:lang w:eastAsia="pt-BR"/>
          <w14:ligatures w14:val="none"/>
        </w:rPr>
        <w:t xml:space="preserve"> leitores óticos deverão ser indicados por cartazes suspensos que informem a sua localização. </w:t>
      </w:r>
    </w:p>
    <w:p w14:paraId="12D2431B"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 2</w:t>
      </w:r>
      <w:proofErr w:type="gramStart"/>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Os</w:t>
      </w:r>
      <w:proofErr w:type="gramEnd"/>
      <w:r w:rsidRPr="00B62C07">
        <w:rPr>
          <w:rFonts w:ascii="Book Antiqua" w:eastAsia="Times New Roman" w:hAnsi="Book Antiqua" w:cs="Arial"/>
          <w:color w:val="000000"/>
          <w:kern w:val="0"/>
          <w:sz w:val="19"/>
          <w:szCs w:val="19"/>
          <w:lang w:eastAsia="pt-BR"/>
          <w14:ligatures w14:val="none"/>
        </w:rPr>
        <w:t xml:space="preserve"> leitores óticos deverão ser dispostos na área de vendas, observada a distância máxima de quinze metros entre qualquer produto e a leitora ótica mais próxima. </w:t>
      </w:r>
    </w:p>
    <w:p w14:paraId="276518C2"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 3</w:t>
      </w:r>
      <w:proofErr w:type="gramStart"/>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Para</w:t>
      </w:r>
      <w:proofErr w:type="gramEnd"/>
      <w:r w:rsidRPr="00B62C07">
        <w:rPr>
          <w:rFonts w:ascii="Book Antiqua" w:eastAsia="Times New Roman" w:hAnsi="Book Antiqua" w:cs="Arial"/>
          <w:color w:val="000000"/>
          <w:kern w:val="0"/>
          <w:sz w:val="19"/>
          <w:szCs w:val="19"/>
          <w:lang w:eastAsia="pt-BR"/>
          <w14:ligatures w14:val="none"/>
        </w:rPr>
        <w:t xml:space="preserve"> efeito de fiscalização, os fornecedores deverão prestar as informações necessárias aos agentes fiscais mediante disponibilização de croqui da área de vendas, com a identificação clara e precisa da localização dos leitores óticos e a distância que os separa, demonstrando graficamente o cumprimento da distância máxima fixada neste artigo. </w:t>
      </w:r>
    </w:p>
    <w:p w14:paraId="6C739BEC"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 w:name="art8"/>
      <w:bookmarkEnd w:id="8"/>
      <w:r w:rsidRPr="00B62C07">
        <w:rPr>
          <w:rFonts w:ascii="Book Antiqua" w:eastAsia="Times New Roman" w:hAnsi="Book Antiqua" w:cs="Arial"/>
          <w:color w:val="000000"/>
          <w:kern w:val="0"/>
          <w:sz w:val="19"/>
          <w:szCs w:val="19"/>
          <w:lang w:eastAsia="pt-BR"/>
          <w14:ligatures w14:val="none"/>
        </w:rPr>
        <w:t>Art. 8</w:t>
      </w:r>
      <w:proofErr w:type="gramStart"/>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A</w:t>
      </w:r>
      <w:proofErr w:type="gramEnd"/>
      <w:r w:rsidRPr="00B62C07">
        <w:rPr>
          <w:rFonts w:ascii="Book Antiqua" w:eastAsia="Times New Roman" w:hAnsi="Book Antiqua" w:cs="Arial"/>
          <w:color w:val="000000"/>
          <w:kern w:val="0"/>
          <w:sz w:val="19"/>
          <w:szCs w:val="19"/>
          <w:lang w:eastAsia="pt-BR"/>
          <w14:ligatures w14:val="none"/>
        </w:rPr>
        <w:t xml:space="preserve"> modalidade de relação de preços de produtos expostos e de serviços oferecidos aos consumidores somente poderá ser empregada quando for impossível o uso das modalidades descritas nos </w:t>
      </w:r>
      <w:proofErr w:type="spellStart"/>
      <w:r w:rsidRPr="00B62C07">
        <w:rPr>
          <w:rFonts w:ascii="Book Antiqua" w:eastAsia="Times New Roman" w:hAnsi="Book Antiqua" w:cs="Arial"/>
          <w:color w:val="000000"/>
          <w:kern w:val="0"/>
          <w:sz w:val="19"/>
          <w:szCs w:val="19"/>
          <w:lang w:eastAsia="pt-BR"/>
          <w14:ligatures w14:val="none"/>
        </w:rPr>
        <w:t>arts</w:t>
      </w:r>
      <w:proofErr w:type="spellEnd"/>
      <w:r w:rsidRPr="00B62C07">
        <w:rPr>
          <w:rFonts w:ascii="Book Antiqua" w:eastAsia="Times New Roman" w:hAnsi="Book Antiqua" w:cs="Arial"/>
          <w:color w:val="000000"/>
          <w:kern w:val="0"/>
          <w:sz w:val="19"/>
          <w:szCs w:val="19"/>
          <w:lang w:eastAsia="pt-BR"/>
          <w14:ligatures w14:val="none"/>
        </w:rPr>
        <w:t>. 5</w:t>
      </w:r>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e 6</w:t>
      </w:r>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deste Decreto. </w:t>
      </w:r>
    </w:p>
    <w:p w14:paraId="2A319795"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lastRenderedPageBreak/>
        <w:t>§ 1</w:t>
      </w:r>
      <w:proofErr w:type="gramStart"/>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A</w:t>
      </w:r>
      <w:proofErr w:type="gramEnd"/>
      <w:r w:rsidRPr="00B62C07">
        <w:rPr>
          <w:rFonts w:ascii="Book Antiqua" w:eastAsia="Times New Roman" w:hAnsi="Book Antiqua" w:cs="Arial"/>
          <w:color w:val="000000"/>
          <w:kern w:val="0"/>
          <w:sz w:val="19"/>
          <w:szCs w:val="19"/>
          <w:lang w:eastAsia="pt-BR"/>
          <w14:ligatures w14:val="none"/>
        </w:rPr>
        <w:t xml:space="preserve"> relação de preços de produtos ou serviços expostos à venda deve ter sua face principal voltada ao consumidor, de forma a garantir a pronta visualização do preço, independentemente de solicitação do consumidor ou intervenção do comerciante. </w:t>
      </w:r>
    </w:p>
    <w:p w14:paraId="4B9109DE"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 2</w:t>
      </w:r>
      <w:proofErr w:type="gramStart"/>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A</w:t>
      </w:r>
      <w:proofErr w:type="gramEnd"/>
      <w:r w:rsidRPr="00B62C07">
        <w:rPr>
          <w:rFonts w:ascii="Book Antiqua" w:eastAsia="Times New Roman" w:hAnsi="Book Antiqua" w:cs="Arial"/>
          <w:color w:val="000000"/>
          <w:kern w:val="0"/>
          <w:sz w:val="19"/>
          <w:szCs w:val="19"/>
          <w:lang w:eastAsia="pt-BR"/>
          <w14:ligatures w14:val="none"/>
        </w:rPr>
        <w:t xml:space="preserve"> relação de preços deverá ser também afixada, externamente, nas entradas de restaurantes, bares, casas noturnas e similares.  </w:t>
      </w:r>
    </w:p>
    <w:p w14:paraId="16346237" w14:textId="7BA1E49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bookmarkStart w:id="9" w:name="art9"/>
      <w:bookmarkEnd w:id="9"/>
      <w:r w:rsidRPr="00B62C07">
        <w:rPr>
          <w:rFonts w:ascii="Book Antiqua" w:eastAsia="Times New Roman" w:hAnsi="Book Antiqua" w:cs="Arial"/>
          <w:b/>
          <w:bCs/>
          <w:color w:val="000000"/>
          <w:kern w:val="0"/>
          <w:sz w:val="19"/>
          <w:szCs w:val="19"/>
          <w:highlight w:val="magenta"/>
          <w:lang w:eastAsia="pt-BR"/>
          <w14:ligatures w14:val="none"/>
        </w:rPr>
        <w:t>Art. 9</w:t>
      </w:r>
      <w:proofErr w:type="gramStart"/>
      <w:r w:rsidRPr="00B62C07">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B62C07">
        <w:rPr>
          <w:rFonts w:ascii="Book Antiqua" w:eastAsia="Times New Roman" w:hAnsi="Book Antiqua" w:cs="Arial"/>
          <w:b/>
          <w:bCs/>
          <w:color w:val="000000"/>
          <w:kern w:val="0"/>
          <w:sz w:val="19"/>
          <w:szCs w:val="19"/>
          <w:lang w:eastAsia="pt-BR"/>
          <w14:ligatures w14:val="none"/>
        </w:rPr>
        <w:t>  Configuram</w:t>
      </w:r>
      <w:proofErr w:type="gramEnd"/>
      <w:r w:rsidRPr="00B62C07">
        <w:rPr>
          <w:rFonts w:ascii="Book Antiqua" w:eastAsia="Times New Roman" w:hAnsi="Book Antiqua" w:cs="Arial"/>
          <w:b/>
          <w:bCs/>
          <w:color w:val="000000"/>
          <w:kern w:val="0"/>
          <w:sz w:val="19"/>
          <w:szCs w:val="19"/>
          <w:lang w:eastAsia="pt-BR"/>
          <w14:ligatures w14:val="none"/>
        </w:rPr>
        <w:t xml:space="preserve"> infrações ao direito básico do consumidor à informação adequada e clara sobre os diferentes produtos e serviços, sujeitando o infrator às penalidades previstas na </w:t>
      </w:r>
      <w:hyperlink r:id="rId8" w:history="1">
        <w:r w:rsidRPr="00B62C07">
          <w:rPr>
            <w:rFonts w:ascii="Book Antiqua" w:eastAsia="Times New Roman" w:hAnsi="Book Antiqua" w:cs="Arial"/>
            <w:b/>
            <w:bCs/>
            <w:color w:val="0000FF"/>
            <w:kern w:val="0"/>
            <w:sz w:val="19"/>
            <w:szCs w:val="19"/>
            <w:u w:val="single"/>
            <w:lang w:eastAsia="pt-BR"/>
            <w14:ligatures w14:val="none"/>
          </w:rPr>
          <w:t>Lei no 8.078, de 1990</w:t>
        </w:r>
      </w:hyperlink>
      <w:r w:rsidRPr="00B62C07">
        <w:rPr>
          <w:rFonts w:ascii="Book Antiqua" w:eastAsia="Times New Roman" w:hAnsi="Book Antiqua" w:cs="Arial"/>
          <w:b/>
          <w:bCs/>
          <w:color w:val="000000"/>
          <w:kern w:val="0"/>
          <w:sz w:val="19"/>
          <w:szCs w:val="19"/>
          <w:lang w:eastAsia="pt-BR"/>
          <w14:ligatures w14:val="none"/>
        </w:rPr>
        <w:t>, as seguintes condutas:</w:t>
      </w:r>
      <w:r>
        <w:rPr>
          <w:rFonts w:ascii="Book Antiqua" w:eastAsia="Times New Roman" w:hAnsi="Book Antiqua" w:cs="Arial"/>
          <w:b/>
          <w:bCs/>
          <w:color w:val="000000"/>
          <w:kern w:val="0"/>
          <w:sz w:val="19"/>
          <w:szCs w:val="19"/>
          <w:lang w:eastAsia="pt-BR"/>
          <w14:ligatures w14:val="none"/>
        </w:rPr>
        <w:t xml:space="preserve"> </w:t>
      </w:r>
      <w:r>
        <w:rPr>
          <w:rFonts w:ascii="Book Antiqua" w:eastAsia="Times New Roman" w:hAnsi="Book Antiqua" w:cs="Arial"/>
          <w:b/>
          <w:bCs/>
          <w:color w:val="FF0000"/>
          <w:sz w:val="16"/>
          <w:szCs w:val="16"/>
          <w:u w:val="single"/>
          <w:lang w:eastAsia="pt-BR"/>
        </w:rPr>
        <w:t>(ENAM/1º-2024)</w:t>
      </w:r>
    </w:p>
    <w:p w14:paraId="72A8A647"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 - </w:t>
      </w:r>
      <w:proofErr w:type="gramStart"/>
      <w:r w:rsidRPr="00B62C07">
        <w:rPr>
          <w:rFonts w:ascii="Book Antiqua" w:eastAsia="Times New Roman" w:hAnsi="Book Antiqua" w:cs="Arial"/>
          <w:color w:val="000000"/>
          <w:kern w:val="0"/>
          <w:sz w:val="19"/>
          <w:szCs w:val="19"/>
          <w:lang w:eastAsia="pt-BR"/>
          <w14:ligatures w14:val="none"/>
        </w:rPr>
        <w:t>utilizar</w:t>
      </w:r>
      <w:proofErr w:type="gramEnd"/>
      <w:r w:rsidRPr="00B62C07">
        <w:rPr>
          <w:rFonts w:ascii="Book Antiqua" w:eastAsia="Times New Roman" w:hAnsi="Book Antiqua" w:cs="Arial"/>
          <w:color w:val="000000"/>
          <w:kern w:val="0"/>
          <w:sz w:val="19"/>
          <w:szCs w:val="19"/>
          <w:lang w:eastAsia="pt-BR"/>
          <w14:ligatures w14:val="none"/>
        </w:rPr>
        <w:t xml:space="preserve"> letras cujo tamanho não seja uniforme ou dificulte a percepção da informação, considerada a distância normal de visualização do consumidor;</w:t>
      </w:r>
    </w:p>
    <w:p w14:paraId="4AFFEAE0"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II - </w:t>
      </w:r>
      <w:proofErr w:type="gramStart"/>
      <w:r w:rsidRPr="00B62C07">
        <w:rPr>
          <w:rFonts w:ascii="Book Antiqua" w:eastAsia="Times New Roman" w:hAnsi="Book Antiqua" w:cs="Arial"/>
          <w:color w:val="000000"/>
          <w:kern w:val="0"/>
          <w:sz w:val="19"/>
          <w:szCs w:val="19"/>
          <w:lang w:eastAsia="pt-BR"/>
          <w14:ligatures w14:val="none"/>
        </w:rPr>
        <w:t>expor</w:t>
      </w:r>
      <w:proofErr w:type="gramEnd"/>
      <w:r w:rsidRPr="00B62C07">
        <w:rPr>
          <w:rFonts w:ascii="Book Antiqua" w:eastAsia="Times New Roman" w:hAnsi="Book Antiqua" w:cs="Arial"/>
          <w:color w:val="000000"/>
          <w:kern w:val="0"/>
          <w:sz w:val="19"/>
          <w:szCs w:val="19"/>
          <w:lang w:eastAsia="pt-BR"/>
          <w14:ligatures w14:val="none"/>
        </w:rPr>
        <w:t xml:space="preserve"> preços com as cores das letras e do fundo idêntico ou semelhante;</w:t>
      </w:r>
    </w:p>
    <w:p w14:paraId="56E28198"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III - utilizar caracteres apagados, rasurados ou borrados;</w:t>
      </w:r>
    </w:p>
    <w:p w14:paraId="4A92857A" w14:textId="77777777" w:rsidR="00B62C07" w:rsidRPr="00B62C07" w:rsidRDefault="00B62C07" w:rsidP="00B62C07">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IV - </w:t>
      </w:r>
      <w:proofErr w:type="gramStart"/>
      <w:r w:rsidRPr="00B62C07">
        <w:rPr>
          <w:rFonts w:ascii="Book Antiqua" w:eastAsia="Times New Roman" w:hAnsi="Book Antiqua" w:cs="Arial"/>
          <w:color w:val="000000"/>
          <w:kern w:val="0"/>
          <w:sz w:val="19"/>
          <w:szCs w:val="19"/>
          <w:lang w:eastAsia="pt-BR"/>
          <w14:ligatures w14:val="none"/>
        </w:rPr>
        <w:t>informar</w:t>
      </w:r>
      <w:proofErr w:type="gramEnd"/>
      <w:r w:rsidRPr="00B62C07">
        <w:rPr>
          <w:rFonts w:ascii="Book Antiqua" w:eastAsia="Times New Roman" w:hAnsi="Book Antiqua" w:cs="Arial"/>
          <w:color w:val="000000"/>
          <w:kern w:val="0"/>
          <w:sz w:val="19"/>
          <w:szCs w:val="19"/>
          <w:lang w:eastAsia="pt-BR"/>
          <w14:ligatures w14:val="none"/>
        </w:rPr>
        <w:t xml:space="preserve"> preços apenas em parcelas, obrigando o consumidor ao cálculo do total;</w:t>
      </w:r>
    </w:p>
    <w:p w14:paraId="72176A51" w14:textId="2A108D2C"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b/>
          <w:bCs/>
          <w:color w:val="000000"/>
          <w:kern w:val="0"/>
          <w:sz w:val="19"/>
          <w:szCs w:val="19"/>
          <w:lang w:eastAsia="pt-BR"/>
          <w14:ligatures w14:val="none"/>
        </w:rPr>
        <w:t>V - </w:t>
      </w:r>
      <w:proofErr w:type="gramStart"/>
      <w:r w:rsidRPr="00B62C07">
        <w:rPr>
          <w:rFonts w:ascii="Book Antiqua" w:eastAsia="Times New Roman" w:hAnsi="Book Antiqua" w:cs="Arial"/>
          <w:b/>
          <w:bCs/>
          <w:color w:val="000000"/>
          <w:kern w:val="0"/>
          <w:sz w:val="19"/>
          <w:szCs w:val="19"/>
          <w:lang w:eastAsia="pt-BR"/>
          <w14:ligatures w14:val="none"/>
        </w:rPr>
        <w:t>informar</w:t>
      </w:r>
      <w:proofErr w:type="gramEnd"/>
      <w:r w:rsidRPr="00B62C07">
        <w:rPr>
          <w:rFonts w:ascii="Book Antiqua" w:eastAsia="Times New Roman" w:hAnsi="Book Antiqua" w:cs="Arial"/>
          <w:b/>
          <w:bCs/>
          <w:color w:val="000000"/>
          <w:kern w:val="0"/>
          <w:sz w:val="19"/>
          <w:szCs w:val="19"/>
          <w:lang w:eastAsia="pt-BR"/>
          <w14:ligatures w14:val="none"/>
        </w:rPr>
        <w:t xml:space="preserve"> preços em moeda estrangeira, desacompanhados de sua conversão em moeda corrente nacional, em caracteres de igual ou superior destaque</w:t>
      </w:r>
      <w:r w:rsidRPr="00B62C07">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FF0000"/>
          <w:sz w:val="16"/>
          <w:szCs w:val="16"/>
          <w:u w:val="single"/>
          <w:lang w:eastAsia="pt-BR"/>
        </w:rPr>
        <w:t>(ENAM/1º-2024)</w:t>
      </w:r>
    </w:p>
    <w:p w14:paraId="07568CD5"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VI - </w:t>
      </w:r>
      <w:proofErr w:type="gramStart"/>
      <w:r w:rsidRPr="00B62C07">
        <w:rPr>
          <w:rFonts w:ascii="Book Antiqua" w:eastAsia="Times New Roman" w:hAnsi="Book Antiqua" w:cs="Arial"/>
          <w:color w:val="000000"/>
          <w:kern w:val="0"/>
          <w:sz w:val="19"/>
          <w:szCs w:val="19"/>
          <w:lang w:eastAsia="pt-BR"/>
          <w14:ligatures w14:val="none"/>
        </w:rPr>
        <w:t>utilizar</w:t>
      </w:r>
      <w:proofErr w:type="gramEnd"/>
      <w:r w:rsidRPr="00B62C07">
        <w:rPr>
          <w:rFonts w:ascii="Book Antiqua" w:eastAsia="Times New Roman" w:hAnsi="Book Antiqua" w:cs="Arial"/>
          <w:color w:val="000000"/>
          <w:kern w:val="0"/>
          <w:sz w:val="19"/>
          <w:szCs w:val="19"/>
          <w:lang w:eastAsia="pt-BR"/>
          <w14:ligatures w14:val="none"/>
        </w:rPr>
        <w:t xml:space="preserve"> referência que deixa dúvida quanto à identificação do item ao qual se refere;</w:t>
      </w:r>
    </w:p>
    <w:p w14:paraId="1E656DF8"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VII - atribuir preços distintos para o mesmo item; e</w:t>
      </w:r>
    </w:p>
    <w:p w14:paraId="34388B7A" w14:textId="77777777" w:rsidR="00B62C07" w:rsidRPr="00B62C07" w:rsidRDefault="00B62C07" w:rsidP="00B62C07">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VIII - expor informação redigida na vertical ou outro ângulo que dificulte a percepção. </w:t>
      </w:r>
    </w:p>
    <w:p w14:paraId="784B8CA0"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 w:name="art10"/>
      <w:bookmarkEnd w:id="10"/>
      <w:r w:rsidRPr="00B62C07">
        <w:rPr>
          <w:rFonts w:ascii="Book Antiqua" w:eastAsia="Times New Roman" w:hAnsi="Book Antiqua" w:cs="Arial"/>
          <w:color w:val="000000"/>
          <w:kern w:val="0"/>
          <w:sz w:val="19"/>
          <w:szCs w:val="19"/>
          <w:lang w:eastAsia="pt-BR"/>
          <w14:ligatures w14:val="none"/>
        </w:rPr>
        <w:t>Art. 10.  A aplicação do disposto neste Decreto dar-se-á sem prejuízo de outras normas de controle incluídas na competência de demais órgãos e entidades federais. </w:t>
      </w:r>
    </w:p>
    <w:p w14:paraId="055ED701"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 w:name="art10p"/>
      <w:bookmarkEnd w:id="11"/>
      <w:r w:rsidRPr="00B62C07">
        <w:rPr>
          <w:rFonts w:ascii="Book Antiqua" w:eastAsia="Times New Roman" w:hAnsi="Book Antiqua" w:cs="Arial"/>
          <w:color w:val="000000"/>
          <w:kern w:val="0"/>
          <w:sz w:val="19"/>
          <w:szCs w:val="19"/>
          <w:lang w:eastAsia="pt-BR"/>
          <w14:ligatures w14:val="none"/>
        </w:rPr>
        <w:t xml:space="preserve">Parágrafo único. O disposto nos </w:t>
      </w:r>
      <w:proofErr w:type="spellStart"/>
      <w:r w:rsidRPr="00B62C07">
        <w:rPr>
          <w:rFonts w:ascii="Book Antiqua" w:eastAsia="Times New Roman" w:hAnsi="Book Antiqua" w:cs="Arial"/>
          <w:color w:val="000000"/>
          <w:kern w:val="0"/>
          <w:sz w:val="19"/>
          <w:szCs w:val="19"/>
          <w:lang w:eastAsia="pt-BR"/>
          <w14:ligatures w14:val="none"/>
        </w:rPr>
        <w:t>arts</w:t>
      </w:r>
      <w:proofErr w:type="spellEnd"/>
      <w:r w:rsidRPr="00B62C07">
        <w:rPr>
          <w:rFonts w:ascii="Book Antiqua" w:eastAsia="Times New Roman" w:hAnsi="Book Antiqua" w:cs="Arial"/>
          <w:color w:val="000000"/>
          <w:kern w:val="0"/>
          <w:sz w:val="19"/>
          <w:szCs w:val="19"/>
          <w:lang w:eastAsia="pt-BR"/>
          <w14:ligatures w14:val="none"/>
        </w:rPr>
        <w:t>. 2</w:t>
      </w:r>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3</w:t>
      </w:r>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e 9</w:t>
      </w:r>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deste Decreto aplica-se às contratações no comércio eletrônico. </w:t>
      </w:r>
      <w:hyperlink r:id="rId9" w:anchor="art8" w:history="1">
        <w:r w:rsidRPr="00B62C07">
          <w:rPr>
            <w:rFonts w:ascii="Book Antiqua" w:eastAsia="Times New Roman" w:hAnsi="Book Antiqua" w:cs="Arial"/>
            <w:color w:val="0000FF"/>
            <w:kern w:val="0"/>
            <w:sz w:val="19"/>
            <w:szCs w:val="19"/>
            <w:u w:val="single"/>
            <w:lang w:eastAsia="pt-BR"/>
            <w14:ligatures w14:val="none"/>
          </w:rPr>
          <w:t>(Incluído pelo Decreto nº 7.962, de 201'3)</w:t>
        </w:r>
      </w:hyperlink>
    </w:p>
    <w:p w14:paraId="226B0507" w14:textId="77777777" w:rsidR="00B62C07" w:rsidRPr="00B62C07" w:rsidRDefault="00B62C07" w:rsidP="00B62C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 w:name="art11"/>
      <w:bookmarkEnd w:id="12"/>
      <w:r w:rsidRPr="00B62C07">
        <w:rPr>
          <w:rFonts w:ascii="Book Antiqua" w:eastAsia="Times New Roman" w:hAnsi="Book Antiqua" w:cs="Arial"/>
          <w:color w:val="000000"/>
          <w:kern w:val="0"/>
          <w:sz w:val="19"/>
          <w:szCs w:val="19"/>
          <w:lang w:eastAsia="pt-BR"/>
          <w14:ligatures w14:val="none"/>
        </w:rPr>
        <w:t>Art. 11.  Este Decreto entra em vigor noventa dias após sua publicação. </w:t>
      </w:r>
    </w:p>
    <w:p w14:paraId="7EAC91D7" w14:textId="77777777" w:rsidR="00B62C07" w:rsidRPr="00B62C07" w:rsidRDefault="00B62C07" w:rsidP="00B62C07">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Brasília, 20 de setembro de 2006; 185</w:t>
      </w:r>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da Independência e 118</w:t>
      </w:r>
      <w:r w:rsidRPr="00B62C07">
        <w:rPr>
          <w:rFonts w:ascii="Book Antiqua" w:eastAsia="Times New Roman" w:hAnsi="Book Antiqua" w:cs="Arial"/>
          <w:color w:val="000000"/>
          <w:kern w:val="0"/>
          <w:sz w:val="19"/>
          <w:szCs w:val="19"/>
          <w:u w:val="single"/>
          <w:vertAlign w:val="superscript"/>
          <w:lang w:eastAsia="pt-BR"/>
          <w14:ligatures w14:val="none"/>
        </w:rPr>
        <w:t>o</w:t>
      </w:r>
      <w:r w:rsidRPr="00B62C07">
        <w:rPr>
          <w:rFonts w:ascii="Book Antiqua" w:eastAsia="Times New Roman" w:hAnsi="Book Antiqua" w:cs="Arial"/>
          <w:color w:val="000000"/>
          <w:kern w:val="0"/>
          <w:sz w:val="19"/>
          <w:szCs w:val="19"/>
          <w:lang w:eastAsia="pt-BR"/>
          <w14:ligatures w14:val="none"/>
        </w:rPr>
        <w:t> da República.</w:t>
      </w:r>
    </w:p>
    <w:p w14:paraId="3D63DD11" w14:textId="77777777" w:rsidR="00B62C07" w:rsidRPr="00B62C07" w:rsidRDefault="00B62C07" w:rsidP="00B62C07">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LUIZ INÁCIO LULA DA SILVA</w:t>
      </w:r>
      <w:r w:rsidRPr="00B62C07">
        <w:rPr>
          <w:rFonts w:ascii="Book Antiqua" w:eastAsia="Times New Roman" w:hAnsi="Book Antiqua" w:cs="Arial"/>
          <w:color w:val="000000"/>
          <w:kern w:val="0"/>
          <w:sz w:val="19"/>
          <w:szCs w:val="19"/>
          <w:lang w:eastAsia="pt-BR"/>
          <w14:ligatures w14:val="none"/>
        </w:rPr>
        <w:br/>
      </w:r>
      <w:r w:rsidRPr="00B62C07">
        <w:rPr>
          <w:rFonts w:ascii="Book Antiqua" w:eastAsia="Times New Roman" w:hAnsi="Book Antiqua" w:cs="Arial"/>
          <w:i/>
          <w:iCs/>
          <w:color w:val="000000"/>
          <w:kern w:val="0"/>
          <w:sz w:val="19"/>
          <w:szCs w:val="19"/>
          <w:lang w:val="en-US" w:eastAsia="pt-BR"/>
          <w14:ligatures w14:val="none"/>
        </w:rPr>
        <w:t>Marcio Thomaz Bastos</w:t>
      </w:r>
    </w:p>
    <w:p w14:paraId="3B24A7AC" w14:textId="77777777" w:rsidR="00B62C07" w:rsidRPr="00B62C07" w:rsidRDefault="00B62C07" w:rsidP="00B62C07">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FF0000"/>
          <w:kern w:val="0"/>
          <w:sz w:val="19"/>
          <w:szCs w:val="19"/>
          <w:lang w:eastAsia="pt-BR"/>
          <w14:ligatures w14:val="none"/>
        </w:rPr>
        <w:t>Este texto não substitui o publicado no DOU de 21.9.2006.</w:t>
      </w:r>
    </w:p>
    <w:p w14:paraId="08414ACD" w14:textId="77777777" w:rsidR="00B62C07" w:rsidRPr="00B62C07" w:rsidRDefault="00B62C07" w:rsidP="00B62C07">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FF0000"/>
          <w:kern w:val="0"/>
          <w:sz w:val="19"/>
          <w:szCs w:val="19"/>
          <w:lang w:eastAsia="pt-BR"/>
          <w14:ligatures w14:val="none"/>
        </w:rPr>
        <w:t>*</w:t>
      </w:r>
    </w:p>
    <w:p w14:paraId="4BDF61BB" w14:textId="77777777" w:rsidR="00B62C07" w:rsidRPr="00B62C07" w:rsidRDefault="00B62C07" w:rsidP="00B62C07">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62C07">
        <w:rPr>
          <w:rFonts w:ascii="Book Antiqua" w:eastAsia="Times New Roman" w:hAnsi="Book Antiqua" w:cs="Arial"/>
          <w:color w:val="000000"/>
          <w:kern w:val="0"/>
          <w:sz w:val="19"/>
          <w:szCs w:val="19"/>
          <w:lang w:eastAsia="pt-BR"/>
          <w14:ligatures w14:val="none"/>
        </w:rPr>
        <w:t> </w:t>
      </w:r>
    </w:p>
    <w:p w14:paraId="483690EF" w14:textId="77777777" w:rsidR="00BB7FE6" w:rsidRPr="00B62C07" w:rsidRDefault="00BB7FE6" w:rsidP="00B62C07">
      <w:pPr>
        <w:spacing w:before="100" w:beforeAutospacing="1" w:after="100" w:afterAutospacing="1" w:line="240" w:lineRule="auto"/>
        <w:rPr>
          <w:rFonts w:ascii="Book Antiqua" w:hAnsi="Book Antiqua"/>
          <w:sz w:val="19"/>
          <w:szCs w:val="19"/>
        </w:rPr>
      </w:pPr>
    </w:p>
    <w:sectPr w:rsidR="00BB7FE6" w:rsidRPr="00B62C07" w:rsidSect="00B62C07">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DE9"/>
    <w:rsid w:val="000C5FD8"/>
    <w:rsid w:val="00621DE9"/>
    <w:rsid w:val="00B62C07"/>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3AC12"/>
  <w15:chartTrackingRefBased/>
  <w15:docId w15:val="{98BCF609-5326-4E35-A6FC-DF0A0EAC8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1961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LEIS/L8078.htm" TargetMode="External"/><Relationship Id="rId3" Type="http://schemas.openxmlformats.org/officeDocument/2006/relationships/webSettings" Target="webSettings.xml"/><Relationship Id="rId7" Type="http://schemas.openxmlformats.org/officeDocument/2006/relationships/hyperlink" Target="https://www.planalto.gov.br/ccivil_03/_ato2004-2006/2004/Lei/L10.962.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lanalto.gov.br/ccivil_03/_ato2004-2006/2004/Lei/L10.962.htm" TargetMode="External"/><Relationship Id="rId11" Type="http://schemas.openxmlformats.org/officeDocument/2006/relationships/theme" Target="theme/theme1.xml"/><Relationship Id="rId5" Type="http://schemas.openxmlformats.org/officeDocument/2006/relationships/hyperlink" Target="https://www.planalto.gov.br/ccivil_03/LEIS/L8078.htm" TargetMode="External"/><Relationship Id="rId10" Type="http://schemas.openxmlformats.org/officeDocument/2006/relationships/fontTable" Target="fontTable.xml"/><Relationship Id="rId4" Type="http://schemas.openxmlformats.org/officeDocument/2006/relationships/hyperlink" Target="https://www.planalto.gov.br/ccivil_03/_ato2004-2006/2004/Lei/L10.962.htm" TargetMode="External"/><Relationship Id="rId9" Type="http://schemas.openxmlformats.org/officeDocument/2006/relationships/hyperlink" Target="https://www.planalto.gov.br/ccivil_03/_Ato2011-2014/2013/Decreto/D796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1273</Words>
  <Characters>6876</Characters>
  <Application>Microsoft Office Word</Application>
  <DocSecurity>0</DocSecurity>
  <Lines>57</Lines>
  <Paragraphs>16</Paragraphs>
  <ScaleCrop>false</ScaleCrop>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2024-11-28T19:54:00Z</dcterms:created>
  <dcterms:modified xsi:type="dcterms:W3CDTF">2024-11-28T19:56:00Z</dcterms:modified>
</cp:coreProperties>
</file>