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AF39BC" w:rsidRPr="000D3943" w:rsidRDefault="00952BB3" w:rsidP="00A44E74">
      <w:pPr>
        <w:spacing w:before="300" w:after="300" w:line="240" w:lineRule="auto"/>
        <w:jc w:val="center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fldChar w:fldCharType="begin"/>
      </w:r>
      <w:r w:rsidRPr="000D3943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instrText xml:space="preserve"> HYPERLINK "http://legislacao.planalto.gov.br/legisla/legislacao.nsf/Viw_Identificacao/lei%2013.179-2015?OpenDocument" </w:instrText>
      </w:r>
      <w:r w:rsidRPr="000D3943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fldChar w:fldCharType="separate"/>
      </w:r>
      <w:r w:rsidR="00AF39BC" w:rsidRPr="000D3943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t>LEI Nº 13.179, DE 22 DE OUTUBRO DE 2015.</w:t>
      </w:r>
      <w:r w:rsidRPr="000D3943">
        <w:rPr>
          <w:rFonts w:ascii="Book Antiqua" w:eastAsia="Times New Roman" w:hAnsi="Book Antiqua" w:cs="Times New Roman"/>
          <w:b/>
          <w:bCs/>
          <w:color w:val="000080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4167"/>
      </w:tblGrid>
      <w:tr w:rsidR="00AF39BC" w:rsidRPr="000D3943" w:rsidTr="00AF39BC">
        <w:trPr>
          <w:tblCellSpacing w:w="0" w:type="dxa"/>
        </w:trPr>
        <w:tc>
          <w:tcPr>
            <w:tcW w:w="2550" w:type="pct"/>
            <w:vAlign w:val="center"/>
            <w:hideMark/>
          </w:tcPr>
          <w:p w:rsidR="00AF39BC" w:rsidRPr="000D3943" w:rsidRDefault="00AF39BC" w:rsidP="00A44E74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0D3943">
              <w:rPr>
                <w:rFonts w:ascii="Book Antiqua" w:eastAsia="Times New Roman" w:hAnsi="Book Antiqua" w:cs="Times New Roman"/>
                <w:lang w:eastAsia="pt-BR"/>
              </w:rPr>
              <w:t> </w:t>
            </w:r>
          </w:p>
        </w:tc>
        <w:tc>
          <w:tcPr>
            <w:tcW w:w="2450" w:type="pct"/>
            <w:vAlign w:val="center"/>
            <w:hideMark/>
          </w:tcPr>
          <w:p w:rsidR="00AF39BC" w:rsidRPr="000D3943" w:rsidRDefault="00AF39BC" w:rsidP="00A44E74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lang w:eastAsia="pt-BR"/>
              </w:rPr>
            </w:pPr>
            <w:r w:rsidRPr="000D3943">
              <w:rPr>
                <w:rFonts w:ascii="Book Antiqua" w:eastAsia="Times New Roman" w:hAnsi="Book Antiqua" w:cs="Times New Roman"/>
                <w:color w:val="800000"/>
                <w:lang w:eastAsia="pt-BR"/>
              </w:rPr>
              <w:t>Obriga o fornecedor de ingresso para evento cultural pela internet a tornar disponível a venda de meia-entrada por esse veículo.</w:t>
            </w:r>
          </w:p>
        </w:tc>
      </w:tr>
    </w:tbl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b/>
          <w:bCs/>
          <w:color w:val="000000"/>
          <w:lang w:eastAsia="pt-BR"/>
        </w:rPr>
        <w:t xml:space="preserve">A PRESIDENTA DA REPÚBLICA 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Faço saber que o Congresso Nacional decreta e eu sanciono a seguinte Lei: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1" w:name="art1"/>
      <w:bookmarkEnd w:id="1"/>
      <w:r w:rsidRPr="000D3943">
        <w:rPr>
          <w:rFonts w:ascii="Book Antiqua" w:eastAsia="Times New Roman" w:hAnsi="Book Antiqua" w:cs="Times New Roman"/>
          <w:color w:val="000000"/>
          <w:lang w:eastAsia="pt-BR"/>
        </w:rPr>
        <w:t>Art. 1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O fornecedor de ingresso para evento cultural pela internet é obrigado a tornar disponível a venda de meia-entrada por esse veículo.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2" w:name="art2"/>
      <w:bookmarkEnd w:id="2"/>
      <w:r w:rsidRPr="000D3943">
        <w:rPr>
          <w:rFonts w:ascii="Book Antiqua" w:eastAsia="Times New Roman" w:hAnsi="Book Antiqua" w:cs="Times New Roman"/>
          <w:color w:val="000000"/>
          <w:lang w:eastAsia="pt-BR"/>
        </w:rPr>
        <w:t>Art. 2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A comprovação da situação de beneficiário da meia-entrada dar-se-á por ocasião do ingresso ao evento cultural, mediante a apresentação da documentação exigida.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000000"/>
          <w:lang w:eastAsia="pt-BR"/>
        </w:rPr>
        <w:t>§ 1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O fornecedor deverá informar, de forma clara e inequívoca, antes de consumada a venda, quais documentos serão reconhecidos para comprovação do direito ao benefício da meia-entrada.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000000"/>
          <w:lang w:eastAsia="pt-BR"/>
        </w:rPr>
        <w:t>§ 2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As informações previstas no § 1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 também deverão ser afixadas em local visível, na entrada do evento.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000000"/>
          <w:lang w:eastAsia="pt-BR"/>
        </w:rPr>
        <w:t>§ 3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A impossibilidade de comprovação do direito ao benefício, de acordo com as informações divulgadas na forma dos §§ 1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 e 2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, implica a perda do ingresso pelo consumidor, resguardado seu direito de complementar o pagamento do ingresso em seu valor integral.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000000"/>
          <w:lang w:eastAsia="pt-BR"/>
        </w:rPr>
        <w:t>§ 4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Na falta das informações anunciadas na forma dos §§ 1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 e 2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, o consumidor prejudicado terá direito à devolução imediata do valor pago, sem prejuízo de eventual indenização por perdas e danos.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3" w:name="art3"/>
      <w:bookmarkEnd w:id="3"/>
      <w:r w:rsidRPr="000D3943">
        <w:rPr>
          <w:rFonts w:ascii="Book Antiqua" w:eastAsia="Times New Roman" w:hAnsi="Book Antiqua" w:cs="Times New Roman"/>
          <w:color w:val="000000"/>
          <w:lang w:eastAsia="pt-BR"/>
        </w:rPr>
        <w:t>Art. 3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  A desobediência ao disposto nesta Lei sujeita o infrator às sanções previstas na </w:t>
      </w:r>
      <w:hyperlink r:id="rId6" w:history="1">
        <w:r w:rsidRPr="000D3943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Lei n</w:t>
        </w:r>
        <w:r w:rsidRPr="000D3943">
          <w:rPr>
            <w:rFonts w:ascii="Book Antiqua" w:eastAsia="Times New Roman" w:hAnsi="Book Antiqua" w:cs="Times New Roman"/>
            <w:color w:val="0000FF"/>
            <w:u w:val="single"/>
            <w:vertAlign w:val="superscript"/>
            <w:lang w:eastAsia="pt-BR"/>
          </w:rPr>
          <w:t>o</w:t>
        </w:r>
        <w:r w:rsidRPr="000D3943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8.078, de 11 de setembro de 1990</w:t>
        </w:r>
      </w:hyperlink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, que dispõe sobre a proteção do consumidor e dá outras providências. 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bookmarkStart w:id="4" w:name="art4"/>
      <w:bookmarkEnd w:id="4"/>
      <w:r w:rsidRPr="000D3943">
        <w:rPr>
          <w:rFonts w:ascii="Book Antiqua" w:eastAsia="Times New Roman" w:hAnsi="Book Antiqua" w:cs="Times New Roman"/>
          <w:color w:val="000000"/>
          <w:lang w:eastAsia="pt-BR"/>
        </w:rPr>
        <w:t>Art. 4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 Esta Lei entra em vigor na data de sua publicação.</w:t>
      </w:r>
    </w:p>
    <w:p w:rsidR="00AF39BC" w:rsidRPr="000D3943" w:rsidRDefault="00AF39BC" w:rsidP="00A44E74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000000"/>
          <w:lang w:eastAsia="pt-BR"/>
        </w:rPr>
        <w:t>Brasília, 22 de  outubro de 2015; 194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 da Independência e 127</w:t>
      </w:r>
      <w:r w:rsidRPr="000D3943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 xml:space="preserve"> da República.</w:t>
      </w:r>
    </w:p>
    <w:p w:rsidR="00AF39BC" w:rsidRPr="000D3943" w:rsidRDefault="00AF39BC" w:rsidP="00A44E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000000"/>
          <w:lang w:eastAsia="pt-BR"/>
        </w:rPr>
        <w:t>DILMA ROUSSEFF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br/>
      </w:r>
      <w:r w:rsidRPr="000D3943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José Eduardo Cardozo</w:t>
      </w:r>
      <w:r w:rsidRPr="000D3943">
        <w:rPr>
          <w:rFonts w:ascii="Book Antiqua" w:eastAsia="Times New Roman" w:hAnsi="Book Antiqua" w:cs="Times New Roman"/>
          <w:i/>
          <w:iCs/>
          <w:color w:val="000000"/>
          <w:lang w:eastAsia="pt-BR"/>
        </w:rPr>
        <w:br/>
        <w:t>João Luiz Silva Ferreira</w:t>
      </w:r>
    </w:p>
    <w:p w:rsidR="00AF39BC" w:rsidRPr="000D3943" w:rsidRDefault="00AF39BC" w:rsidP="00A44E74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FF0000"/>
          <w:lang w:eastAsia="pt-BR"/>
        </w:rPr>
        <w:t>Este texto não substitui o publicado no DOU de 23.10.2015</w:t>
      </w:r>
      <w:r w:rsidRPr="000D3943">
        <w:rPr>
          <w:rFonts w:ascii="Book Antiqua" w:eastAsia="Times New Roman" w:hAnsi="Book Antiqua" w:cs="Times New Roman"/>
          <w:color w:val="000000"/>
          <w:lang w:eastAsia="pt-BR"/>
        </w:rPr>
        <w:t>  </w:t>
      </w:r>
    </w:p>
    <w:p w:rsidR="002D62BD" w:rsidRPr="000D3943" w:rsidRDefault="00AF39BC" w:rsidP="000D3943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lang w:eastAsia="pt-BR"/>
        </w:rPr>
      </w:pPr>
      <w:r w:rsidRPr="000D3943">
        <w:rPr>
          <w:rFonts w:ascii="Book Antiqua" w:eastAsia="Times New Roman" w:hAnsi="Book Antiqua" w:cs="Times New Roman"/>
          <w:color w:val="FF0000"/>
          <w:lang w:eastAsia="pt-BR"/>
        </w:rPr>
        <w:t>*</w:t>
      </w:r>
    </w:p>
    <w:sectPr w:rsidR="002D62BD" w:rsidRPr="000D3943" w:rsidSect="000D3943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2BB3" w:rsidRDefault="00952BB3" w:rsidP="000D3943">
      <w:pPr>
        <w:spacing w:after="0" w:line="240" w:lineRule="auto"/>
      </w:pPr>
      <w:r>
        <w:separator/>
      </w:r>
    </w:p>
  </w:endnote>
  <w:endnote w:type="continuationSeparator" w:id="0">
    <w:p w:rsidR="00952BB3" w:rsidRDefault="00952BB3" w:rsidP="000D3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2BB3" w:rsidRDefault="00952BB3" w:rsidP="000D3943">
      <w:pPr>
        <w:spacing w:after="0" w:line="240" w:lineRule="auto"/>
      </w:pPr>
      <w:r>
        <w:separator/>
      </w:r>
    </w:p>
  </w:footnote>
  <w:footnote w:type="continuationSeparator" w:id="0">
    <w:p w:rsidR="00952BB3" w:rsidRDefault="00952BB3" w:rsidP="000D39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E83"/>
    <w:rsid w:val="000D3943"/>
    <w:rsid w:val="002A6E83"/>
    <w:rsid w:val="002D62BD"/>
    <w:rsid w:val="00952BB3"/>
    <w:rsid w:val="00A44E74"/>
    <w:rsid w:val="00AF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F3807F"/>
  <w15:chartTrackingRefBased/>
  <w15:docId w15:val="{0B643103-D050-4F38-9D26-7582117C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3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3943"/>
  </w:style>
  <w:style w:type="paragraph" w:styleId="Rodap">
    <w:name w:val="footer"/>
    <w:basedOn w:val="Normal"/>
    <w:link w:val="RodapChar"/>
    <w:uiPriority w:val="99"/>
    <w:unhideWhenUsed/>
    <w:rsid w:val="000D3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3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0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78.ht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4</cp:revision>
  <dcterms:created xsi:type="dcterms:W3CDTF">2015-10-27T20:36:00Z</dcterms:created>
  <dcterms:modified xsi:type="dcterms:W3CDTF">2018-10-27T00:26:00Z</dcterms:modified>
</cp:coreProperties>
</file>