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5DB" w:rsidRPr="00F735DB" w:rsidRDefault="00F735DB" w:rsidP="00F735DB">
      <w:pPr>
        <w:spacing w:before="300" w:after="300" w:line="240" w:lineRule="auto"/>
        <w:jc w:val="center"/>
        <w:rPr>
          <w:rFonts w:ascii="Book Antiqua" w:eastAsia="Times New Roman" w:hAnsi="Book Antiqua" w:cs="Times New Roman"/>
          <w:color w:val="000000"/>
          <w:lang w:eastAsia="pt-BR"/>
        </w:rPr>
      </w:pPr>
      <w:r w:rsidRPr="00F735DB">
        <w:rPr>
          <w:rFonts w:ascii="Book Antiqua" w:eastAsia="Times New Roman" w:hAnsi="Book Antiqua" w:cs="Arial"/>
          <w:b/>
          <w:bCs/>
          <w:color w:val="000080"/>
          <w:lang w:eastAsia="pt-BR"/>
        </w:rPr>
        <w:fldChar w:fldCharType="begin"/>
      </w:r>
      <w:r w:rsidRPr="00F735DB">
        <w:rPr>
          <w:rFonts w:ascii="Book Antiqua" w:eastAsia="Times New Roman" w:hAnsi="Book Antiqua" w:cs="Arial"/>
          <w:b/>
          <w:bCs/>
          <w:color w:val="000080"/>
          <w:lang w:eastAsia="pt-BR"/>
        </w:rPr>
        <w:instrText xml:space="preserve"> HYPERLINK "http://legislacao.planalto.gov.br/legisla/legislacao.nsf/Viw_Identificacao/lei%2013.455-2017?OpenDocument" </w:instrText>
      </w:r>
      <w:r w:rsidRPr="00F735DB">
        <w:rPr>
          <w:rFonts w:ascii="Book Antiqua" w:eastAsia="Times New Roman" w:hAnsi="Book Antiqua" w:cs="Arial"/>
          <w:b/>
          <w:bCs/>
          <w:color w:val="000080"/>
          <w:lang w:eastAsia="pt-BR"/>
        </w:rPr>
        <w:fldChar w:fldCharType="separate"/>
      </w:r>
      <w:r w:rsidRPr="00F735DB">
        <w:rPr>
          <w:rFonts w:ascii="Book Antiqua" w:eastAsia="Times New Roman" w:hAnsi="Book Antiqua" w:cs="Arial"/>
          <w:b/>
          <w:bCs/>
          <w:color w:val="000080"/>
          <w:u w:val="single"/>
          <w:lang w:eastAsia="pt-BR"/>
        </w:rPr>
        <w:t>LEI Nº 13.455, DE 26 DE JUNHO DE 2017.</w:t>
      </w:r>
      <w:r w:rsidRPr="00F735DB">
        <w:rPr>
          <w:rFonts w:ascii="Book Antiqua" w:eastAsia="Times New Roman" w:hAnsi="Book Antiqua" w:cs="Arial"/>
          <w:b/>
          <w:bCs/>
          <w:color w:val="000080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167"/>
      </w:tblGrid>
      <w:tr w:rsidR="00F735DB" w:rsidRPr="00F735DB" w:rsidTr="00F735DB">
        <w:trPr>
          <w:tblCellSpacing w:w="0" w:type="dxa"/>
        </w:trPr>
        <w:tc>
          <w:tcPr>
            <w:tcW w:w="2550" w:type="pct"/>
            <w:vAlign w:val="center"/>
            <w:hideMark/>
          </w:tcPr>
          <w:p w:rsidR="00F735DB" w:rsidRPr="00F735DB" w:rsidRDefault="00F735DB" w:rsidP="00F735DB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hyperlink r:id="rId7" w:history="1">
              <w:r w:rsidRPr="00F735DB">
                <w:rPr>
                  <w:rFonts w:ascii="Book Antiqua" w:eastAsia="Times New Roman" w:hAnsi="Book Antiqua" w:cs="Times New Roman"/>
                  <w:color w:val="0000FF"/>
                  <w:u w:val="single"/>
                  <w:lang w:eastAsia="pt-BR"/>
                </w:rPr>
                <w:t>Conversão da Medida Provisória nº 764, de 2016</w:t>
              </w:r>
            </w:hyperlink>
          </w:p>
        </w:tc>
        <w:tc>
          <w:tcPr>
            <w:tcW w:w="2450" w:type="pct"/>
            <w:vAlign w:val="center"/>
            <w:hideMark/>
          </w:tcPr>
          <w:p w:rsidR="00F735DB" w:rsidRPr="00F735DB" w:rsidRDefault="00F735DB" w:rsidP="00F735D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lang w:eastAsia="pt-BR"/>
              </w:rPr>
            </w:pPr>
            <w:r w:rsidRPr="00F735DB">
              <w:rPr>
                <w:rFonts w:ascii="Book Antiqua" w:eastAsia="Times New Roman" w:hAnsi="Book Antiqua" w:cs="Arial"/>
                <w:color w:val="800000"/>
                <w:lang w:eastAsia="pt-BR"/>
              </w:rPr>
              <w:t>Dispõe sobre a diferenciação de preços de bens e serviços oferecidos ao público em função do prazo ou do instrumento de pagamento utilizado, e altera a Lei n</w:t>
            </w:r>
            <w:r w:rsidRPr="00F735DB">
              <w:rPr>
                <w:rFonts w:ascii="Book Antiqua" w:eastAsia="Times New Roman" w:hAnsi="Book Antiqua" w:cs="Arial"/>
                <w:color w:val="800000"/>
                <w:u w:val="single"/>
                <w:vertAlign w:val="superscript"/>
                <w:lang w:eastAsia="pt-BR"/>
              </w:rPr>
              <w:t>o</w:t>
            </w:r>
            <w:r w:rsidRPr="00F735DB">
              <w:rPr>
                <w:rFonts w:ascii="Book Antiqua" w:eastAsia="Times New Roman" w:hAnsi="Book Antiqua" w:cs="Arial"/>
                <w:color w:val="800000"/>
                <w:lang w:eastAsia="pt-BR"/>
              </w:rPr>
              <w:t xml:space="preserve"> 10.962, de 11 de outubro de 2004.</w:t>
            </w:r>
          </w:p>
        </w:tc>
      </w:tr>
    </w:tbl>
    <w:p w:rsidR="00F735DB" w:rsidRDefault="00F735DB" w:rsidP="002639CE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Arial"/>
          <w:color w:val="000000"/>
        </w:rPr>
      </w:pPr>
      <w:bookmarkStart w:id="0" w:name="art1"/>
      <w:bookmarkEnd w:id="0"/>
      <w:r w:rsidRPr="00F735DB">
        <w:rPr>
          <w:rFonts w:ascii="Book Antiqua" w:hAnsi="Book Antiqua" w:cs="Arial"/>
          <w:b/>
          <w:bCs/>
          <w:color w:val="000000"/>
        </w:rPr>
        <w:t xml:space="preserve">O PRESIDENTE DA REPÚBLICA </w:t>
      </w:r>
      <w:r w:rsidRPr="00F735DB">
        <w:rPr>
          <w:rFonts w:ascii="Book Antiqua" w:hAnsi="Book Antiqua" w:cs="Arial"/>
          <w:color w:val="000000"/>
        </w:rPr>
        <w:t>Faço saber que o Congresso Nacional decreta e eu sanciono a seguinte Lei: </w:t>
      </w:r>
    </w:p>
    <w:p w:rsidR="00F735DB" w:rsidRPr="00F735DB" w:rsidRDefault="00F735DB" w:rsidP="00F735DB">
      <w:pPr>
        <w:pStyle w:val="texto1"/>
        <w:ind w:firstLine="525"/>
        <w:jc w:val="both"/>
        <w:rPr>
          <w:rFonts w:ascii="Book Antiqua" w:hAnsi="Book Antiqua" w:cs="Arial"/>
          <w:color w:val="000000"/>
          <w:sz w:val="22"/>
          <w:szCs w:val="20"/>
        </w:rPr>
      </w:pPr>
      <w:r w:rsidRPr="00F735DB">
        <w:rPr>
          <w:rFonts w:ascii="Book Antiqua" w:hAnsi="Book Antiqua" w:cs="Arial"/>
          <w:color w:val="000000"/>
          <w:sz w:val="22"/>
          <w:szCs w:val="20"/>
        </w:rPr>
        <w:t>Art. 1</w:t>
      </w:r>
      <w:r w:rsidRPr="00F735DB">
        <w:rPr>
          <w:rFonts w:ascii="Book Antiqua" w:hAnsi="Book Antiqua" w:cs="Arial"/>
          <w:color w:val="000000"/>
          <w:sz w:val="22"/>
          <w:szCs w:val="20"/>
          <w:u w:val="single"/>
          <w:vertAlign w:val="superscript"/>
        </w:rPr>
        <w:t>o</w:t>
      </w:r>
      <w:r w:rsidRPr="00F735DB">
        <w:rPr>
          <w:rFonts w:ascii="Book Antiqua" w:hAnsi="Book Antiqua" w:cs="Arial"/>
          <w:color w:val="000000"/>
          <w:sz w:val="22"/>
          <w:szCs w:val="20"/>
        </w:rPr>
        <w:t>  Fica autorizada a diferenciação de preços de bens e serviços oferecidos ao público em função do praz</w:t>
      </w:r>
      <w:bookmarkStart w:id="1" w:name="_GoBack"/>
      <w:bookmarkEnd w:id="1"/>
      <w:r w:rsidRPr="00F735DB">
        <w:rPr>
          <w:rFonts w:ascii="Book Antiqua" w:hAnsi="Book Antiqua" w:cs="Arial"/>
          <w:color w:val="000000"/>
          <w:sz w:val="22"/>
          <w:szCs w:val="20"/>
        </w:rPr>
        <w:t>o ou do instrumento de pagamento utilizado. </w:t>
      </w:r>
    </w:p>
    <w:p w:rsidR="00F735DB" w:rsidRPr="00F735DB" w:rsidRDefault="00F735DB" w:rsidP="00F735DB">
      <w:pPr>
        <w:pStyle w:val="texto1"/>
        <w:ind w:firstLine="525"/>
        <w:jc w:val="both"/>
        <w:rPr>
          <w:rFonts w:ascii="Book Antiqua" w:hAnsi="Book Antiqua" w:cs="Arial"/>
          <w:color w:val="000000"/>
          <w:sz w:val="22"/>
          <w:szCs w:val="20"/>
        </w:rPr>
      </w:pPr>
      <w:r w:rsidRPr="00F735DB">
        <w:rPr>
          <w:rFonts w:ascii="Book Antiqua" w:hAnsi="Book Antiqua" w:cs="Arial"/>
          <w:color w:val="000000"/>
          <w:sz w:val="22"/>
          <w:szCs w:val="20"/>
        </w:rPr>
        <w:t>Parágrafo único. É nula a cláusula contratual, estabelecida no âmbito de arranjos de pagamento ou de outros acordos para prestação de serviço de pagamento, que proíba ou restrinja a diferenciação de preços facultada no caput deste artigo.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639CE" w:rsidRPr="00F735DB" w:rsidTr="002639CE">
        <w:tc>
          <w:tcPr>
            <w:tcW w:w="8494" w:type="dxa"/>
            <w:shd w:val="clear" w:color="auto" w:fill="CCFFFF"/>
          </w:tcPr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color w:val="000000"/>
                <w:highlight w:val="magenta"/>
                <w:u w:val="single"/>
                <w:lang w:eastAsia="pt-BR"/>
              </w:rPr>
              <w:t>OBS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:</w:t>
            </w: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i/>
                <w:color w:val="000000"/>
                <w:u w:val="single"/>
                <w:lang w:eastAsia="pt-BR"/>
              </w:rPr>
              <w:t>Os estabelecimentos comerciais (e outros fornecedores de bens ou serviços) podem cobrar mais caro pelo produto caso o consumidor opte por pagar com cartão de crédito ou com cheque em vez de pagar com dinheiro? Os fornecedores de bens e serviços podem dar descontos para quem paga no dinheiro?</w:t>
            </w: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</w:p>
          <w:tbl>
            <w:tblPr>
              <w:tblStyle w:val="Tabelacomgrade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134"/>
              <w:gridCol w:w="4134"/>
            </w:tblGrid>
            <w:tr w:rsidR="002639CE" w:rsidRPr="00F735DB" w:rsidTr="002639CE">
              <w:tc>
                <w:tcPr>
                  <w:tcW w:w="4134" w:type="dxa"/>
                  <w:shd w:val="clear" w:color="auto" w:fill="FFFF00"/>
                </w:tcPr>
                <w:p w:rsidR="002639CE" w:rsidRPr="00F735DB" w:rsidRDefault="002639CE" w:rsidP="002639CE">
                  <w:pPr>
                    <w:jc w:val="center"/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  <w:t>ANTES: NÃO.</w:t>
                  </w:r>
                </w:p>
                <w:p w:rsidR="002639CE" w:rsidRPr="00F735DB" w:rsidRDefault="002639CE" w:rsidP="002639CE">
                  <w:pPr>
                    <w:jc w:val="center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  <w:t>Isso era considerado prática abusiva.</w:t>
                  </w:r>
                </w:p>
              </w:tc>
              <w:tc>
                <w:tcPr>
                  <w:tcW w:w="4134" w:type="dxa"/>
                  <w:shd w:val="clear" w:color="auto" w:fill="FFFF00"/>
                </w:tcPr>
                <w:p w:rsidR="002639CE" w:rsidRPr="00F735DB" w:rsidRDefault="002639CE" w:rsidP="002639CE">
                  <w:pPr>
                    <w:jc w:val="center"/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  <w:t>A partir de 27/12/2016: SIM</w:t>
                  </w:r>
                </w:p>
                <w:p w:rsidR="002639CE" w:rsidRPr="00F735DB" w:rsidRDefault="00F735DB" w:rsidP="002639CE">
                  <w:pPr>
                    <w:jc w:val="center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  <w:t>LEI 13.455</w:t>
                  </w:r>
                  <w:r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  <w:t>/2017</w:t>
                  </w:r>
                  <w:r w:rsidR="002639CE" w:rsidRPr="00F735DB">
                    <w:rPr>
                      <w:rFonts w:ascii="Book Antiqua" w:eastAsia="Times New Roman" w:hAnsi="Book Antiqua" w:cs="Times New Roman"/>
                      <w:b/>
                      <w:color w:val="000000"/>
                      <w:lang w:eastAsia="pt-BR"/>
                    </w:rPr>
                    <w:t xml:space="preserve"> passou a permitir a prática.</w:t>
                  </w:r>
                </w:p>
              </w:tc>
            </w:tr>
            <w:tr w:rsidR="002639CE" w:rsidRPr="00F735DB" w:rsidTr="002639CE">
              <w:tc>
                <w:tcPr>
                  <w:tcW w:w="4134" w:type="dxa"/>
                  <w:shd w:val="clear" w:color="auto" w:fill="FFFFFF" w:themeFill="background1"/>
                </w:tcPr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A jurisprudência dizia que:</w:t>
                  </w:r>
                </w:p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A diferenciação entre o pagamento em dinheiro, cheque ou cartão de crédito caracteriza prática abusiva no mercado de consumo, nociva ao equilíbrio contratual.</w:t>
                  </w:r>
                </w:p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 xml:space="preserve">STJ. 2ª Turma. </w:t>
                  </w:r>
                  <w:proofErr w:type="spellStart"/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REsp</w:t>
                  </w:r>
                  <w:proofErr w:type="spellEnd"/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 xml:space="preserve"> 1.479.039-MG, Rel. Min. Humberto Martins, julgado em 6/10/2015.</w:t>
                  </w:r>
                </w:p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 xml:space="preserve">STJ. 3ª Turma. </w:t>
                  </w:r>
                  <w:proofErr w:type="spellStart"/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REsp</w:t>
                  </w:r>
                  <w:proofErr w:type="spellEnd"/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 xml:space="preserve"> 1.133.410/RS, Rel. Min. Massami </w:t>
                  </w:r>
                  <w:proofErr w:type="spellStart"/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Uyeda</w:t>
                  </w:r>
                  <w:proofErr w:type="spellEnd"/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, julgado em 16/03/2010.</w:t>
                  </w:r>
                </w:p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Fundamento legal para essa conclusão do STJ: art. 39, V e X, do CDC e no art. 36, § 3º, X e XI, da Lei nº 12.529/2011.</w:t>
                  </w:r>
                </w:p>
              </w:tc>
              <w:tc>
                <w:tcPr>
                  <w:tcW w:w="4134" w:type="dxa"/>
                  <w:shd w:val="clear" w:color="auto" w:fill="FFFFFF" w:themeFill="background1"/>
                </w:tcPr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 xml:space="preserve">Veja o que diz a </w:t>
                  </w:r>
                  <w:r w:rsid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Lei 13.455/17</w:t>
                  </w: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:</w:t>
                  </w:r>
                </w:p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Art. 1º Fica autorizada a diferenciação de preços de bens e serviços oferecidos ao público, em função do prazo ou do instrumento de pagamento utilizado.</w:t>
                  </w:r>
                </w:p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  <w:r w:rsidRPr="00F735DB"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  <w:t>Parágrafo único. É nula a cláusula contratual, estabelecida no âmbito de arranjos de pagamento ou de outros acordos para prestação de serviço de pagamento, que proíba ou restrinja a diferenciação de preços facultada neste artigo.</w:t>
                  </w:r>
                </w:p>
                <w:p w:rsidR="002639CE" w:rsidRPr="00F735DB" w:rsidRDefault="002639CE" w:rsidP="002639CE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Repare, portanto, que o caput do art. 1º da </w:t>
            </w:r>
            <w:r w:rsidR="00F735DB"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L</w:t>
            </w:r>
            <w:r w:rsid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ei</w:t>
            </w:r>
            <w:r w:rsidR="00F735DB"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 13.455/2017 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permite expressamente a diferenciação de preços de bens e serviços em função:</w:t>
            </w:r>
          </w:p>
          <w:p w:rsidR="002639CE" w:rsidRPr="00F735DB" w:rsidRDefault="002639CE" w:rsidP="002639CE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i/>
                <w:color w:val="000000"/>
                <w:lang w:eastAsia="pt-BR"/>
              </w:rPr>
              <w:t>do prazo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. Ex: pagamentos à vista podem ser mais baratos que os realizados a prazo; ou</w:t>
            </w:r>
          </w:p>
          <w:p w:rsidR="002639CE" w:rsidRPr="00F735DB" w:rsidRDefault="002639CE" w:rsidP="002639CE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i/>
                <w:color w:val="000000"/>
                <w:lang w:eastAsia="pt-BR"/>
              </w:rPr>
              <w:t>do instrumento de pagamento utilizado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. Ex: é permitido que o lojista cobre um preço mais caro se o consumidor optar por pagar em cheque ou cartão em vez de dinheiro.</w:t>
            </w: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i/>
                <w:color w:val="000000"/>
                <w:u w:val="single"/>
                <w:lang w:eastAsia="pt-BR"/>
              </w:rPr>
              <w:t>E o art. 39, V e X, do CDC e o art. 36, § 3º, X e XI, da Lei nº 12.529/2011?</w:t>
            </w:r>
            <w:r w:rsidRPr="00F735DB">
              <w:rPr>
                <w:rFonts w:ascii="Book Antiqua" w:eastAsia="Times New Roman" w:hAnsi="Book Antiqua" w:cs="Times New Roman"/>
                <w:b/>
                <w:i/>
                <w:color w:val="000000"/>
                <w:lang w:eastAsia="pt-BR"/>
              </w:rPr>
              <w:t xml:space="preserve"> 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Como já dito no quadro acima, o fundamento legal para o STJ proibir a diferenciação de preços era o art. 39, V e X, do CDC e o art. 36, § 3º, X e XI, da Lei nº 12.529/2011. Confira: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color w:val="000000"/>
                <w:highlight w:val="magenta"/>
                <w:lang w:eastAsia="pt-BR"/>
              </w:rPr>
              <w:t>Art. 39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. É vedado ao fornecedor de produtos ou serviços, dentre outras práticas abusivas:  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V - exigir do consumidor vantagem manifestamente excessiva;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X - elevar sem justa causa o preço de produtos ou serviços;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i/>
                <w:color w:val="000000"/>
                <w:u w:val="single"/>
                <w:lang w:eastAsia="pt-BR"/>
              </w:rPr>
              <w:t>Lei nº 12.529/2011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: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b/>
                <w:color w:val="000000"/>
                <w:highlight w:val="magenta"/>
                <w:lang w:eastAsia="pt-BR"/>
              </w:rPr>
              <w:t>Art. 36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 (...)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§ 3º As seguintes condutas, além de outras, na medida em que configurem hipótese prevista no caput deste artigo e seus incisos, caracterizam infração da ordem econômica: 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(...)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X - discriminar adquirentes ou fornecedores de bens ou serviços por meio da fixação diferenciada de preços, ou de condições operacionais de venda ou prestação de serviços; </w:t>
            </w:r>
          </w:p>
          <w:p w:rsidR="002639CE" w:rsidRPr="00F735DB" w:rsidRDefault="002639CE" w:rsidP="002639CE">
            <w:pPr>
              <w:ind w:left="2297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XI - recusar a venda de bens ou a prestação de serviços, dentro das condições de pagamento normais aos usos e costumes comerciais;</w:t>
            </w: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</w:p>
          <w:p w:rsidR="002639CE" w:rsidRPr="00F735DB" w:rsidRDefault="002639CE" w:rsidP="002639CE">
            <w:pPr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Tais dispositivos foram derrogados pela </w:t>
            </w:r>
            <w:r w:rsidR="00F735DB"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L</w:t>
            </w:r>
            <w:r w:rsid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ei</w:t>
            </w:r>
            <w:r w:rsidR="00F735DB"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 13.455/2017 </w:t>
            </w:r>
            <w:r w:rsidRPr="00F735DB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e agora a interpretação a ser dada é a de que não mais é proibida a diferenciação de preços de bens e serviços oferecidos ao público em função do prazo ou do instrumento de pagamento utilizado.</w:t>
            </w:r>
          </w:p>
        </w:tc>
      </w:tr>
    </w:tbl>
    <w:p w:rsidR="002639CE" w:rsidRPr="00F735DB" w:rsidRDefault="002639CE" w:rsidP="002639CE">
      <w:pPr>
        <w:spacing w:before="100" w:beforeAutospacing="1" w:after="0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F735DB">
        <w:rPr>
          <w:rFonts w:ascii="Book Antiqua" w:eastAsia="Times New Roman" w:hAnsi="Book Antiqua" w:cs="Times New Roman"/>
          <w:color w:val="000000"/>
          <w:lang w:eastAsia="pt-BR"/>
        </w:rPr>
        <w:lastRenderedPageBreak/>
        <w:t> </w:t>
      </w:r>
      <w:bookmarkStart w:id="2" w:name="art2"/>
      <w:bookmarkEnd w:id="2"/>
      <w:r w:rsidRPr="00F735DB">
        <w:rPr>
          <w:rFonts w:ascii="Book Antiqua" w:eastAsia="Times New Roman" w:hAnsi="Book Antiqua" w:cs="Times New Roman"/>
          <w:color w:val="000000"/>
          <w:lang w:eastAsia="pt-BR"/>
        </w:rPr>
        <w:t>Art. 2</w:t>
      </w:r>
      <w:r w:rsidRPr="00F735DB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F735DB">
        <w:rPr>
          <w:rFonts w:ascii="Book Antiqua" w:eastAsia="Times New Roman" w:hAnsi="Book Antiqua" w:cs="Times New Roman"/>
          <w:color w:val="000000"/>
          <w:lang w:eastAsia="pt-BR"/>
        </w:rPr>
        <w:t>  Esta Medida Provisória entra em vigor na data da sua publicação.</w:t>
      </w:r>
    </w:p>
    <w:p w:rsidR="002639CE" w:rsidRPr="00F735DB" w:rsidRDefault="002639CE" w:rsidP="002639CE">
      <w:pPr>
        <w:spacing w:before="100" w:beforeAutospacing="1" w:after="0" w:line="240" w:lineRule="auto"/>
        <w:ind w:firstLine="567"/>
        <w:jc w:val="both"/>
        <w:rPr>
          <w:rFonts w:ascii="Book Antiqua" w:eastAsia="Times New Roman" w:hAnsi="Book Antiqua" w:cs="Times New Roman"/>
          <w:lang w:eastAsia="pt-BR"/>
        </w:rPr>
      </w:pPr>
      <w:r w:rsidRPr="00F735DB">
        <w:rPr>
          <w:rFonts w:ascii="Book Antiqua" w:eastAsia="Times New Roman" w:hAnsi="Book Antiqua" w:cs="Times New Roman"/>
          <w:color w:val="000000"/>
          <w:lang w:eastAsia="pt-BR"/>
        </w:rPr>
        <w:t> Brasília, 26 de dezembro de 2016; 195</w:t>
      </w:r>
      <w:r w:rsidRPr="00F735DB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F735DB">
        <w:rPr>
          <w:rFonts w:ascii="Book Antiqua" w:eastAsia="Times New Roman" w:hAnsi="Book Antiqua" w:cs="Times New Roman"/>
          <w:color w:val="000000"/>
          <w:lang w:eastAsia="pt-BR"/>
        </w:rPr>
        <w:t xml:space="preserve"> da Independência e 128</w:t>
      </w:r>
      <w:r w:rsidRPr="00F735DB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F735DB">
        <w:rPr>
          <w:rFonts w:ascii="Book Antiqua" w:eastAsia="Times New Roman" w:hAnsi="Book Antiqua" w:cs="Times New Roman"/>
          <w:color w:val="000000"/>
          <w:lang w:eastAsia="pt-BR"/>
        </w:rPr>
        <w:t xml:space="preserve"> da República.</w:t>
      </w:r>
    </w:p>
    <w:p w:rsidR="002639CE" w:rsidRPr="00F735DB" w:rsidRDefault="002639CE" w:rsidP="002639CE">
      <w:pPr>
        <w:spacing w:before="100" w:beforeAutospacing="1" w:after="0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F735DB">
        <w:rPr>
          <w:rFonts w:ascii="Book Antiqua" w:eastAsia="Times New Roman" w:hAnsi="Book Antiqua" w:cs="Times New Roman"/>
          <w:color w:val="000000"/>
          <w:lang w:val="en-US" w:eastAsia="pt-BR"/>
        </w:rPr>
        <w:t>MICHEL TEMER</w:t>
      </w:r>
      <w:r w:rsidRPr="00F735DB">
        <w:rPr>
          <w:rFonts w:ascii="Book Antiqua" w:eastAsia="Times New Roman" w:hAnsi="Book Antiqua" w:cs="Times New Roman"/>
          <w:color w:val="000000"/>
          <w:lang w:val="en-US" w:eastAsia="pt-BR"/>
        </w:rPr>
        <w:br/>
      </w:r>
      <w:r w:rsidRPr="00F735DB">
        <w:rPr>
          <w:rFonts w:ascii="Book Antiqua" w:eastAsia="Times New Roman" w:hAnsi="Book Antiqua" w:cs="Times New Roman"/>
          <w:i/>
          <w:iCs/>
          <w:color w:val="000000"/>
          <w:lang w:val="en-US" w:eastAsia="pt-BR"/>
        </w:rPr>
        <w:t xml:space="preserve">Eduardo </w:t>
      </w:r>
      <w:proofErr w:type="spellStart"/>
      <w:r w:rsidRPr="00F735DB">
        <w:rPr>
          <w:rFonts w:ascii="Book Antiqua" w:eastAsia="Times New Roman" w:hAnsi="Book Antiqua" w:cs="Times New Roman"/>
          <w:i/>
          <w:iCs/>
          <w:color w:val="000000"/>
          <w:lang w:val="en-US" w:eastAsia="pt-BR"/>
        </w:rPr>
        <w:t>Refinetti</w:t>
      </w:r>
      <w:proofErr w:type="spellEnd"/>
      <w:r w:rsidRPr="00F735DB">
        <w:rPr>
          <w:rFonts w:ascii="Book Antiqua" w:eastAsia="Times New Roman" w:hAnsi="Book Antiqua" w:cs="Times New Roman"/>
          <w:i/>
          <w:iCs/>
          <w:color w:val="000000"/>
          <w:lang w:val="en-US" w:eastAsia="pt-BR"/>
        </w:rPr>
        <w:t xml:space="preserve"> Guardia</w:t>
      </w:r>
      <w:r w:rsidRPr="00F735DB">
        <w:rPr>
          <w:rFonts w:ascii="Book Antiqua" w:eastAsia="Times New Roman" w:hAnsi="Book Antiqua" w:cs="Times New Roman"/>
          <w:i/>
          <w:iCs/>
          <w:color w:val="000000"/>
          <w:lang w:val="en-US" w:eastAsia="pt-BR"/>
        </w:rPr>
        <w:br/>
      </w:r>
      <w:proofErr w:type="spellStart"/>
      <w:r w:rsidRPr="00F735DB">
        <w:rPr>
          <w:rFonts w:ascii="Book Antiqua" w:eastAsia="Times New Roman" w:hAnsi="Book Antiqua" w:cs="Times New Roman"/>
          <w:i/>
          <w:iCs/>
          <w:color w:val="000000"/>
          <w:lang w:val="en-US" w:eastAsia="pt-BR"/>
        </w:rPr>
        <w:t>Ilan</w:t>
      </w:r>
      <w:proofErr w:type="spellEnd"/>
      <w:r w:rsidRPr="00F735DB">
        <w:rPr>
          <w:rFonts w:ascii="Book Antiqua" w:eastAsia="Times New Roman" w:hAnsi="Book Antiqua" w:cs="Times New Roman"/>
          <w:i/>
          <w:iCs/>
          <w:color w:val="000000"/>
          <w:lang w:val="en-US" w:eastAsia="pt-BR"/>
        </w:rPr>
        <w:t xml:space="preserve"> </w:t>
      </w:r>
      <w:proofErr w:type="spellStart"/>
      <w:r w:rsidRPr="00F735DB">
        <w:rPr>
          <w:rFonts w:ascii="Book Antiqua" w:eastAsia="Times New Roman" w:hAnsi="Book Antiqua" w:cs="Times New Roman"/>
          <w:i/>
          <w:iCs/>
          <w:color w:val="000000"/>
          <w:lang w:val="en-US" w:eastAsia="pt-BR"/>
        </w:rPr>
        <w:t>Goldfajn</w:t>
      </w:r>
      <w:proofErr w:type="spellEnd"/>
    </w:p>
    <w:p w:rsidR="002639CE" w:rsidRPr="00F735DB" w:rsidRDefault="002639CE" w:rsidP="002639CE">
      <w:pPr>
        <w:spacing w:before="300" w:after="300" w:line="240" w:lineRule="auto"/>
        <w:rPr>
          <w:rFonts w:ascii="Book Antiqua" w:eastAsia="Times New Roman" w:hAnsi="Book Antiqua" w:cs="Times New Roman"/>
          <w:lang w:eastAsia="pt-BR"/>
        </w:rPr>
      </w:pPr>
      <w:r w:rsidRPr="00F735DB">
        <w:rPr>
          <w:rFonts w:ascii="Book Antiqua" w:eastAsia="Times New Roman" w:hAnsi="Book Antiqua" w:cs="Times New Roman"/>
          <w:color w:val="FF0000"/>
          <w:lang w:eastAsia="pt-BR"/>
        </w:rPr>
        <w:t xml:space="preserve">Este texto não substitui o publicado no DOU de 27.12.2016 e </w:t>
      </w:r>
      <w:hyperlink r:id="rId8" w:history="1">
        <w:r w:rsidRPr="00F735DB">
          <w:rPr>
            <w:rFonts w:ascii="Book Antiqua" w:eastAsia="Times New Roman" w:hAnsi="Book Antiqua" w:cs="Times New Roman"/>
            <w:color w:val="FF0000"/>
            <w:u w:val="single"/>
            <w:lang w:eastAsia="pt-BR"/>
          </w:rPr>
          <w:t>republicado em 28.12.2016</w:t>
        </w:r>
      </w:hyperlink>
    </w:p>
    <w:p w:rsidR="00BD2845" w:rsidRPr="00F735DB" w:rsidRDefault="00BD2845" w:rsidP="00F735DB">
      <w:pPr>
        <w:spacing w:before="300" w:after="300" w:line="240" w:lineRule="auto"/>
        <w:ind w:firstLine="570"/>
        <w:rPr>
          <w:rFonts w:ascii="Book Antiqua" w:eastAsia="Times New Roman" w:hAnsi="Book Antiqua" w:cs="Times New Roman"/>
          <w:lang w:eastAsia="pt-BR"/>
        </w:rPr>
      </w:pPr>
    </w:p>
    <w:sectPr w:rsidR="00BD2845" w:rsidRPr="00F735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7CD" w:rsidRDefault="008177CD" w:rsidP="00F735DB">
      <w:pPr>
        <w:spacing w:after="0" w:line="240" w:lineRule="auto"/>
      </w:pPr>
      <w:r>
        <w:separator/>
      </w:r>
    </w:p>
  </w:endnote>
  <w:endnote w:type="continuationSeparator" w:id="0">
    <w:p w:rsidR="008177CD" w:rsidRDefault="008177CD" w:rsidP="00F73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7CD" w:rsidRDefault="008177CD" w:rsidP="00F735DB">
      <w:pPr>
        <w:spacing w:after="0" w:line="240" w:lineRule="auto"/>
      </w:pPr>
      <w:r>
        <w:separator/>
      </w:r>
    </w:p>
  </w:footnote>
  <w:footnote w:type="continuationSeparator" w:id="0">
    <w:p w:rsidR="008177CD" w:rsidRDefault="008177CD" w:rsidP="00F73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C25392"/>
    <w:multiLevelType w:val="hybridMultilevel"/>
    <w:tmpl w:val="875A29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2AF"/>
    <w:rsid w:val="002639CE"/>
    <w:rsid w:val="005772AF"/>
    <w:rsid w:val="008177CD"/>
    <w:rsid w:val="00BD2845"/>
    <w:rsid w:val="00F7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B53208"/>
  <w15:chartTrackingRefBased/>
  <w15:docId w15:val="{6C94C7EF-B533-47F6-AB78-7CE3A23B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63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639C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735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35DB"/>
  </w:style>
  <w:style w:type="paragraph" w:styleId="Rodap">
    <w:name w:val="footer"/>
    <w:basedOn w:val="Normal"/>
    <w:link w:val="RodapChar"/>
    <w:uiPriority w:val="99"/>
    <w:unhideWhenUsed/>
    <w:rsid w:val="00F735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35DB"/>
  </w:style>
  <w:style w:type="paragraph" w:customStyle="1" w:styleId="texto1">
    <w:name w:val="texto1"/>
    <w:basedOn w:val="Normal"/>
    <w:rsid w:val="00F73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0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6/Ret/Mpv764-rep.doc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5-2018/2016/Mpv/mpv764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673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3</cp:revision>
  <dcterms:created xsi:type="dcterms:W3CDTF">2017-01-15T21:21:00Z</dcterms:created>
  <dcterms:modified xsi:type="dcterms:W3CDTF">2018-10-27T00:25:00Z</dcterms:modified>
</cp:coreProperties>
</file>