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A08EBF" w14:textId="77777777" w:rsidR="00896CCF" w:rsidRPr="009632DE" w:rsidRDefault="009632DE" w:rsidP="00896CC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sz w:val="20"/>
          <w:szCs w:val="20"/>
        </w:rPr>
        <w:fldChar w:fldCharType="begin"/>
      </w:r>
      <w:r w:rsidRPr="009632DE">
        <w:rPr>
          <w:sz w:val="20"/>
          <w:szCs w:val="20"/>
        </w:rPr>
        <w:instrText xml:space="preserve"> HYPERLINK "http://legislacao.planalto.gov.br/legisla/legislacao.nsf/Viw_Identificacao/lei%2010.962-2004?OpenDocument" </w:instrText>
      </w:r>
      <w:r w:rsidRPr="009632DE">
        <w:rPr>
          <w:sz w:val="20"/>
          <w:szCs w:val="20"/>
        </w:rPr>
        <w:fldChar w:fldCharType="separate"/>
      </w:r>
      <w:r w:rsidR="00896CCF" w:rsidRPr="009632DE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t>LEI N</w:t>
      </w:r>
      <w:r w:rsidR="00896CCF" w:rsidRPr="009632DE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vertAlign w:val="superscript"/>
          <w:lang w:eastAsia="pt-BR"/>
        </w:rPr>
        <w:t>o</w:t>
      </w:r>
      <w:r w:rsidR="00896CCF" w:rsidRPr="009632DE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t xml:space="preserve"> 10.962, DE 11 DE OUTUBRO DE 2004.</w:t>
      </w:r>
      <w:r w:rsidRPr="009632DE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896CCF" w:rsidRPr="009632DE" w14:paraId="3703B74B" w14:textId="77777777" w:rsidTr="006C0A8F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03360A70" w14:textId="57DC21C1" w:rsidR="00896CCF" w:rsidRPr="006C0A8F" w:rsidRDefault="00896CCF" w:rsidP="00896CC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4B3B24E8" w14:textId="77777777" w:rsidR="00896CCF" w:rsidRPr="006C0A8F" w:rsidRDefault="00896CCF" w:rsidP="00896CC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C0A8F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Dispõe sobre a oferta e as formas de afixação de preços de produtos e serviços para o consumidor.</w:t>
            </w:r>
          </w:p>
        </w:tc>
      </w:tr>
    </w:tbl>
    <w:p w14:paraId="249B8F04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b/>
          <w:bCs/>
          <w:sz w:val="20"/>
          <w:szCs w:val="20"/>
          <w:lang w:eastAsia="pt-BR"/>
        </w:rPr>
        <w:t>        O PRESIDENTE DA REPÚBLICA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 Faço saber que o Congresso Nacional decreta e eu sanciono a seguinte Lei:</w:t>
      </w:r>
    </w:p>
    <w:p w14:paraId="7ECA4CF6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        </w:t>
      </w:r>
      <w:bookmarkStart w:id="0" w:name="art1"/>
      <w:bookmarkEnd w:id="0"/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Art. 1</w:t>
      </w:r>
      <w:r w:rsidRPr="009632DE">
        <w:rPr>
          <w:rFonts w:ascii="Book Antiqua" w:eastAsia="Times New Roman" w:hAnsi="Book Antiqua" w:cs="Times New Roman"/>
          <w:sz w:val="20"/>
          <w:szCs w:val="20"/>
          <w:u w:val="single"/>
          <w:vertAlign w:val="superscript"/>
          <w:lang w:eastAsia="pt-BR"/>
        </w:rPr>
        <w:t>o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 Esta Lei regula as condições de oferta e afixação de preços de bens e serviços para o consumidor. </w:t>
      </w:r>
    </w:p>
    <w:p w14:paraId="31F788A2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        </w:t>
      </w:r>
      <w:bookmarkStart w:id="1" w:name="art2"/>
      <w:bookmarkEnd w:id="1"/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Art. 2</w:t>
      </w:r>
      <w:r w:rsidRPr="009632DE">
        <w:rPr>
          <w:rFonts w:ascii="Book Antiqua" w:eastAsia="Times New Roman" w:hAnsi="Book Antiqua" w:cs="Times New Roman"/>
          <w:sz w:val="20"/>
          <w:szCs w:val="20"/>
          <w:u w:val="single"/>
          <w:vertAlign w:val="superscript"/>
          <w:lang w:eastAsia="pt-BR"/>
        </w:rPr>
        <w:t>o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 São admitidas as seguintes formas de afixação de preços em vendas a varejo para o consumidor:</w:t>
      </w:r>
    </w:p>
    <w:p w14:paraId="00416DB8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        </w:t>
      </w:r>
      <w:bookmarkStart w:id="2" w:name="art2i"/>
      <w:bookmarkEnd w:id="2"/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I – no comércio em geral, por meio de etiquetas ou similares afixados diretamente nos bens expostos à venda, e em vitrines, mediante divulgação do preço à vista em caracteres legíveis;</w:t>
      </w:r>
    </w:p>
    <w:p w14:paraId="691AEE87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        </w:t>
      </w:r>
      <w:bookmarkStart w:id="3" w:name="art2ii"/>
      <w:bookmarkEnd w:id="3"/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II – em </w:t>
      </w:r>
      <w:proofErr w:type="spellStart"/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auto-serviços</w:t>
      </w:r>
      <w:proofErr w:type="spellEnd"/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, supermercados, hipermercados, mercearias ou estabelecimentos comerciais onde o consumidor tenha acesso direto ao produto, sem intervenção do comerciante, mediante a impressão ou afixação do preço do produto na embalagem, ou a afixação de código referencial, ou ainda, com a afixação de código de barras.</w:t>
      </w:r>
    </w:p>
    <w:p w14:paraId="493DA435" w14:textId="77777777" w:rsidR="00FD3E41" w:rsidRPr="009632DE" w:rsidRDefault="00FD3E41" w:rsidP="00FD3E41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hAnsi="Book Antiqua" w:cs="Arial"/>
          <w:color w:val="000000"/>
          <w:sz w:val="20"/>
          <w:szCs w:val="20"/>
        </w:rPr>
        <w:t xml:space="preserve">III - no comércio eletrônico, mediante divulgação ostensiva do preço à vista, junto à imagem do produto ou descrição do serviço, em caracteres facilmente legíveis com tamanho de fonte não inferior a doze.   </w:t>
      </w:r>
      <w:hyperlink r:id="rId5" w:anchor="art2" w:history="1">
        <w:r w:rsidRPr="009632DE">
          <w:rPr>
            <w:rFonts w:ascii="Book Antiqua" w:hAnsi="Book Antiqua" w:cs="Arial"/>
            <w:color w:val="0066CC"/>
            <w:sz w:val="20"/>
            <w:szCs w:val="20"/>
            <w:u w:val="single"/>
          </w:rPr>
          <w:t>(Incluído pela Lei nº 13.543, de 2017)</w:t>
        </w:r>
      </w:hyperlink>
    </w:p>
    <w:p w14:paraId="5CD17472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        Parágrafo único. Nos casos de utilização de código referencial ou de barras, o comerciante deverá expor, de forma clara e legível, junto aos itens expostos, informação relativa ao preço à vista do produto, suas características e código.</w:t>
      </w:r>
    </w:p>
    <w:p w14:paraId="6A6D2888" w14:textId="77777777" w:rsidR="00896CCF" w:rsidRPr="009632DE" w:rsidRDefault="00896CCF" w:rsidP="00896CC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bookmarkStart w:id="4" w:name="art2a"/>
      <w:bookmarkEnd w:id="4"/>
      <w:r w:rsidRPr="009632DE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Art. 2</w:t>
      </w:r>
      <w:r w:rsidRPr="009632DE">
        <w:rPr>
          <w:rFonts w:ascii="Book Antiqua" w:eastAsia="Times New Roman" w:hAnsi="Book Antiqua" w:cs="Times New Roman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9632DE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-A  Na venda a varejo de produtos fracionados em pequenas quantidades, o comerciante deverá informar, na etiqueta contendo o preço ou junto aos itens expostos, além do preço do produto à vista, o preço correspondente a uma das seguintes unidades fundamentais de medida: capacidade, massa, volume, comprimento ou área, de acordo com a forma habitual de comercialização de cada tipo de produto.  </w:t>
      </w:r>
      <w:hyperlink r:id="rId6" w:anchor="art1" w:history="1">
        <w:r w:rsidRPr="009632DE">
          <w:rPr>
            <w:rFonts w:ascii="Book Antiqua" w:eastAsia="Times New Roman" w:hAnsi="Book Antiqua" w:cs="Times New Roman"/>
            <w:color w:val="0000FF"/>
            <w:sz w:val="20"/>
            <w:szCs w:val="20"/>
            <w:u w:val="single"/>
            <w:lang w:eastAsia="pt-BR"/>
          </w:rPr>
          <w:t>(Incluído pela Lei nº 13.175, de 2015)</w:t>
        </w:r>
      </w:hyperlink>
    </w:p>
    <w:p w14:paraId="78B8D18E" w14:textId="77777777" w:rsidR="00896CCF" w:rsidRPr="009632DE" w:rsidRDefault="00896CCF" w:rsidP="00896CC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 xml:space="preserve">Parágrafo único.  O disposto neste artigo não se aplica à comercialização de medicamentos.  </w:t>
      </w:r>
      <w:hyperlink r:id="rId7" w:anchor="art1" w:history="1">
        <w:r w:rsidRPr="009632DE">
          <w:rPr>
            <w:rFonts w:ascii="Book Antiqua" w:eastAsia="Times New Roman" w:hAnsi="Book Antiqua" w:cs="Times New Roman"/>
            <w:color w:val="0000FF"/>
            <w:sz w:val="20"/>
            <w:szCs w:val="20"/>
            <w:u w:val="single"/>
            <w:lang w:eastAsia="pt-BR"/>
          </w:rPr>
          <w:t>(Incluído pela Lei nº 13.175, de 2015)</w:t>
        </w:r>
      </w:hyperlink>
    </w:p>
    <w:p w14:paraId="654C20DB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        Art. 3</w:t>
      </w:r>
      <w:r w:rsidRPr="009632DE">
        <w:rPr>
          <w:rFonts w:ascii="Book Antiqua" w:eastAsia="Times New Roman" w:hAnsi="Book Antiqua" w:cs="Times New Roman"/>
          <w:sz w:val="20"/>
          <w:szCs w:val="20"/>
          <w:u w:val="single"/>
          <w:vertAlign w:val="superscript"/>
          <w:lang w:eastAsia="pt-BR"/>
        </w:rPr>
        <w:t>o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 Na impossibilidade de afixação de preços conforme disposto no art. 2º, é permitido o uso de relações de preços dos produtos expostos, bem como dos serviços oferecidos, de forma escrita, clara e acessível ao consumidor.</w:t>
      </w:r>
    </w:p>
    <w:p w14:paraId="34955D88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        Art. 4</w:t>
      </w:r>
      <w:r w:rsidRPr="009632DE">
        <w:rPr>
          <w:rFonts w:ascii="Book Antiqua" w:eastAsia="Times New Roman" w:hAnsi="Book Antiqua" w:cs="Times New Roman"/>
          <w:sz w:val="20"/>
          <w:szCs w:val="20"/>
          <w:u w:val="single"/>
          <w:vertAlign w:val="superscript"/>
          <w:lang w:eastAsia="pt-BR"/>
        </w:rPr>
        <w:t>o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 Nos estabelecimentos que utilizem código de barras para apreçamento, deverão ser oferecidos equipamentos de leitura ótica para consulta de preço pelo consumidor, localizados na área de vendas e em outras de fácil acesso.</w:t>
      </w:r>
    </w:p>
    <w:p w14:paraId="6131FA6E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        § 1</w:t>
      </w:r>
      <w:r w:rsidRPr="009632DE">
        <w:rPr>
          <w:rFonts w:ascii="Book Antiqua" w:eastAsia="Times New Roman" w:hAnsi="Book Antiqua" w:cs="Times New Roman"/>
          <w:sz w:val="20"/>
          <w:szCs w:val="20"/>
          <w:u w:val="single"/>
          <w:vertAlign w:val="superscript"/>
          <w:lang w:eastAsia="pt-BR"/>
        </w:rPr>
        <w:t>o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 O regulamento desta Lei definirá, observados, dentre outros critérios ou fatores, o tipo e o tamanho do estabelecimento e a quantidade e a diversidade dos itens de bens e serviços, a área máxima que deverá ser atendida por cada leitora ótica.</w:t>
      </w:r>
    </w:p>
    <w:p w14:paraId="55612780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        § 2</w:t>
      </w:r>
      <w:r w:rsidRPr="009632DE">
        <w:rPr>
          <w:rFonts w:ascii="Book Antiqua" w:eastAsia="Times New Roman" w:hAnsi="Book Antiqua" w:cs="Times New Roman"/>
          <w:sz w:val="20"/>
          <w:szCs w:val="20"/>
          <w:u w:val="single"/>
          <w:vertAlign w:val="superscript"/>
          <w:lang w:eastAsia="pt-BR"/>
        </w:rPr>
        <w:t>o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 Para os fins desta Lei, considera-se área de vendas aquela na qual os consumidores têm acesso às mercadorias e serviços oferecidos para consumo no varejo, dentro do estabelecimento. </w:t>
      </w:r>
    </w:p>
    <w:p w14:paraId="0B3535AA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lastRenderedPageBreak/>
        <w:t>        Art. 5</w:t>
      </w:r>
      <w:r w:rsidRPr="009632DE">
        <w:rPr>
          <w:rFonts w:ascii="Book Antiqua" w:eastAsia="Times New Roman" w:hAnsi="Book Antiqua" w:cs="Times New Roman"/>
          <w:sz w:val="20"/>
          <w:szCs w:val="20"/>
          <w:u w:val="single"/>
          <w:vertAlign w:val="superscript"/>
          <w:lang w:eastAsia="pt-BR"/>
        </w:rPr>
        <w:t>o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 No caso de divergência de preços para o mesmo produto entre os sistemas de informação de preços utilizados pelo estabelecimento, o consumidor pagará o menor dentre eles.</w:t>
      </w:r>
    </w:p>
    <w:p w14:paraId="13587E45" w14:textId="77777777" w:rsidR="00623973" w:rsidRPr="009632DE" w:rsidRDefault="00623973" w:rsidP="00623973">
      <w:pPr>
        <w:pStyle w:val="NormalWeb"/>
        <w:ind w:firstLine="567"/>
        <w:jc w:val="both"/>
        <w:rPr>
          <w:rFonts w:ascii="Book Antiqua" w:hAnsi="Book Antiqua"/>
          <w:sz w:val="20"/>
          <w:szCs w:val="20"/>
        </w:rPr>
      </w:pPr>
      <w:bookmarkStart w:id="5" w:name="art5a"/>
      <w:bookmarkEnd w:id="5"/>
      <w:r w:rsidRPr="009632DE">
        <w:rPr>
          <w:rFonts w:ascii="Book Antiqua" w:hAnsi="Book Antiqua"/>
          <w:color w:val="000000"/>
          <w:sz w:val="20"/>
          <w:szCs w:val="20"/>
        </w:rPr>
        <w:t>Art. 5º-A.  O fornecedor deve informar, em local e formato visíveis ao consumidor, eventuais descontos oferecidos em função do prazo ou do instrumento de pagamento utilizado. </w:t>
      </w:r>
      <w:r w:rsidRPr="009632DE">
        <w:rPr>
          <w:rFonts w:ascii="Book Antiqua" w:hAnsi="Book Antiqua"/>
          <w:sz w:val="20"/>
          <w:szCs w:val="20"/>
        </w:rPr>
        <w:t xml:space="preserve">              </w:t>
      </w:r>
      <w:hyperlink r:id="rId8" w:anchor="art2" w:history="1">
        <w:r w:rsidRPr="009632DE">
          <w:rPr>
            <w:rStyle w:val="Hyperlink"/>
            <w:rFonts w:ascii="Book Antiqua" w:hAnsi="Book Antiqua"/>
            <w:sz w:val="20"/>
            <w:szCs w:val="20"/>
          </w:rPr>
          <w:t>(Incluído pela Lei nº 13.455, de 2017)</w:t>
        </w:r>
      </w:hyperlink>
    </w:p>
    <w:p w14:paraId="44F0E9CB" w14:textId="38066163" w:rsidR="00623973" w:rsidRPr="009632DE" w:rsidRDefault="00623973" w:rsidP="00623973">
      <w:pPr>
        <w:pStyle w:val="texto2"/>
        <w:spacing w:before="300" w:beforeAutospacing="0" w:after="300" w:afterAutospacing="0"/>
        <w:jc w:val="both"/>
        <w:rPr>
          <w:rStyle w:val="Hyperlink"/>
          <w:rFonts w:ascii="Book Antiqua" w:hAnsi="Book Antiqua"/>
          <w:sz w:val="20"/>
          <w:szCs w:val="20"/>
        </w:rPr>
      </w:pPr>
      <w:r w:rsidRPr="009632DE">
        <w:rPr>
          <w:rFonts w:ascii="Book Antiqua" w:hAnsi="Book Antiqua"/>
          <w:sz w:val="20"/>
          <w:szCs w:val="20"/>
        </w:rPr>
        <w:t xml:space="preserve">        </w:t>
      </w:r>
      <w:bookmarkStart w:id="6" w:name="art5ap"/>
      <w:bookmarkEnd w:id="6"/>
      <w:r w:rsidRPr="009632DE">
        <w:rPr>
          <w:rFonts w:ascii="Book Antiqua" w:hAnsi="Book Antiqua"/>
          <w:color w:val="000000"/>
          <w:sz w:val="20"/>
          <w:szCs w:val="20"/>
        </w:rPr>
        <w:t xml:space="preserve">Parágrafo único. Aplicam-se às infrações a este artigo as sanções previstas na </w:t>
      </w:r>
      <w:hyperlink r:id="rId9" w:history="1">
        <w:r w:rsidRPr="009632DE">
          <w:rPr>
            <w:rStyle w:val="Hyperlink"/>
            <w:rFonts w:ascii="Book Antiqua" w:hAnsi="Book Antiqua"/>
            <w:sz w:val="20"/>
            <w:szCs w:val="20"/>
          </w:rPr>
          <w:t>Lei nº 8.078, de 11 de setembro de 1990</w:t>
        </w:r>
      </w:hyperlink>
      <w:r w:rsidRPr="009632DE">
        <w:rPr>
          <w:rFonts w:ascii="Book Antiqua" w:hAnsi="Book Antiqua"/>
          <w:color w:val="000000"/>
          <w:sz w:val="20"/>
          <w:szCs w:val="20"/>
        </w:rPr>
        <w:t>.</w:t>
      </w:r>
      <w:r w:rsidRPr="009632DE">
        <w:rPr>
          <w:rFonts w:ascii="Book Antiqua" w:hAnsi="Book Antiqua"/>
          <w:sz w:val="20"/>
          <w:szCs w:val="20"/>
        </w:rPr>
        <w:t xml:space="preserve">   </w:t>
      </w:r>
      <w:hyperlink r:id="rId10" w:anchor="art2" w:history="1">
        <w:r w:rsidRPr="009632DE">
          <w:rPr>
            <w:rStyle w:val="Hyperlink"/>
            <w:rFonts w:ascii="Book Antiqua" w:hAnsi="Book Antiqua"/>
            <w:sz w:val="20"/>
            <w:szCs w:val="20"/>
          </w:rPr>
          <w:t>(Incluído pela Lei nº 13.455, de 2017)</w:t>
        </w:r>
      </w:hyperlink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67BEA" w:rsidRPr="009632DE" w14:paraId="38AEA1D0" w14:textId="77777777" w:rsidTr="003D1630">
        <w:tc>
          <w:tcPr>
            <w:tcW w:w="8494" w:type="dxa"/>
            <w:shd w:val="clear" w:color="auto" w:fill="CCFFFF"/>
          </w:tcPr>
          <w:p w14:paraId="2CB50C89" w14:textId="4A9E726D" w:rsidR="00767BEA" w:rsidRPr="009632DE" w:rsidRDefault="00767BEA" w:rsidP="00767BEA">
            <w:p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9632DE">
              <w:rPr>
                <w:rFonts w:ascii="Book Antiqua" w:eastAsia="Times New Roman" w:hAnsi="Book Antiqua" w:cs="Times New Roman"/>
                <w:b/>
                <w:i/>
                <w:color w:val="FF0000"/>
                <w:sz w:val="20"/>
                <w:szCs w:val="20"/>
                <w:lang w:eastAsia="pt-BR"/>
              </w:rPr>
              <w:t>##</w:t>
            </w:r>
            <w:r w:rsidRPr="009632DE">
              <w:rPr>
                <w:rFonts w:ascii="Book Antiqua" w:eastAsia="Times New Roman" w:hAnsi="Book Antiqua" w:cs="Times New Roman"/>
                <w:b/>
                <w:i/>
                <w:color w:val="FF0000"/>
                <w:sz w:val="20"/>
                <w:szCs w:val="20"/>
                <w:highlight w:val="green"/>
                <w:lang w:eastAsia="pt-BR"/>
              </w:rPr>
              <w:t>Atenção</w:t>
            </w:r>
            <w:r w:rsidRPr="009632DE">
              <w:rPr>
                <w:rFonts w:ascii="Book Antiqua" w:eastAsia="Times New Roman" w:hAnsi="Book Antiqua" w:cs="Times New Roman"/>
                <w:b/>
                <w:i/>
                <w:color w:val="FF0000"/>
                <w:sz w:val="20"/>
                <w:szCs w:val="20"/>
                <w:lang w:eastAsia="pt-BR"/>
              </w:rPr>
              <w:t>: ##</w:t>
            </w:r>
            <w:r w:rsidRPr="009632DE">
              <w:rPr>
                <w:rFonts w:ascii="Book Antiqua" w:eastAsia="Times New Roman" w:hAnsi="Book Antiqua" w:cs="Times New Roman"/>
                <w:b/>
                <w:i/>
                <w:color w:val="FF0000"/>
                <w:sz w:val="20"/>
                <w:szCs w:val="20"/>
                <w:highlight w:val="green"/>
                <w:lang w:eastAsia="pt-BR"/>
              </w:rPr>
              <w:t>Lei 13.455/17</w:t>
            </w:r>
            <w:r w:rsidRPr="009632DE">
              <w:rPr>
                <w:rFonts w:ascii="Book Antiqua" w:eastAsia="Times New Roman" w:hAnsi="Book Antiqua" w:cs="Times New Roman"/>
                <w:b/>
                <w:i/>
                <w:color w:val="FF0000"/>
                <w:sz w:val="20"/>
                <w:szCs w:val="20"/>
                <w:lang w:eastAsia="pt-BR"/>
              </w:rPr>
              <w:t>: ##</w:t>
            </w:r>
            <w:r w:rsidRPr="009632DE">
              <w:rPr>
                <w:rFonts w:ascii="Book Antiqua" w:eastAsia="Times New Roman" w:hAnsi="Book Antiqua" w:cs="Times New Roman"/>
                <w:b/>
                <w:i/>
                <w:color w:val="FF0000"/>
                <w:sz w:val="20"/>
                <w:szCs w:val="20"/>
                <w:highlight w:val="green"/>
                <w:lang w:eastAsia="pt-BR"/>
              </w:rPr>
              <w:t>DOD</w:t>
            </w:r>
            <w:r w:rsidRPr="009632DE">
              <w:rPr>
                <w:rFonts w:ascii="Book Antiqua" w:eastAsia="Times New Roman" w:hAnsi="Book Antiqua" w:cs="Times New Roman"/>
                <w:b/>
                <w:bCs/>
                <w:i/>
                <w:iCs/>
                <w:sz w:val="20"/>
                <w:szCs w:val="20"/>
                <w:lang w:eastAsia="pt-BR"/>
              </w:rPr>
              <w:t xml:space="preserve">: </w:t>
            </w:r>
            <w:r w:rsidRPr="009632DE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 xml:space="preserve">A Lei 10.962/04 dispõe sobre a oferta e as formas de afixação de preços de produtos e serviços para o consumidor. A Lei 13.455/17 acrescentou mais um artigo a essa determinando que, se o fornecedor praticar descontos para pagamentos à vista, em dinheiro etc., ele é obrigado a fixar um aviso informando isso em local e formato visíveis ao consumidor.  </w:t>
            </w:r>
          </w:p>
        </w:tc>
      </w:tr>
    </w:tbl>
    <w:p w14:paraId="6945EA95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        Art. 6</w:t>
      </w:r>
      <w:r w:rsidRPr="009632DE">
        <w:rPr>
          <w:rFonts w:ascii="Book Antiqua" w:eastAsia="Times New Roman" w:hAnsi="Book Antiqua" w:cs="Times New Roman"/>
          <w:sz w:val="20"/>
          <w:szCs w:val="20"/>
          <w:u w:val="single"/>
          <w:vertAlign w:val="superscript"/>
          <w:lang w:eastAsia="pt-BR"/>
        </w:rPr>
        <w:t>o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 </w:t>
      </w:r>
      <w:hyperlink r:id="rId11" w:history="1">
        <w:r w:rsidRPr="009632DE">
          <w:rPr>
            <w:rFonts w:ascii="Book Antiqua" w:eastAsia="Times New Roman" w:hAnsi="Book Antiqua" w:cs="Times New Roman"/>
            <w:color w:val="0000FF"/>
            <w:sz w:val="20"/>
            <w:szCs w:val="20"/>
            <w:u w:val="single"/>
            <w:lang w:eastAsia="pt-BR"/>
          </w:rPr>
          <w:t>(VETADO)</w:t>
        </w:r>
      </w:hyperlink>
    </w:p>
    <w:p w14:paraId="3A454E2A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        Art. 7</w:t>
      </w:r>
      <w:r w:rsidRPr="009632DE">
        <w:rPr>
          <w:rFonts w:ascii="Book Antiqua" w:eastAsia="Times New Roman" w:hAnsi="Book Antiqua" w:cs="Times New Roman"/>
          <w:sz w:val="20"/>
          <w:szCs w:val="20"/>
          <w:u w:val="single"/>
          <w:vertAlign w:val="superscript"/>
          <w:lang w:eastAsia="pt-BR"/>
        </w:rPr>
        <w:t>o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 Esta Lei entra em vigor na data de sua publicação.</w:t>
      </w:r>
    </w:p>
    <w:p w14:paraId="0FD47AA7" w14:textId="77777777" w:rsidR="00896CCF" w:rsidRPr="009632DE" w:rsidRDefault="00896CCF" w:rsidP="00896CC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        Brasília, 11 de outubro de 2004; 183</w:t>
      </w:r>
      <w:r w:rsidRPr="009632DE">
        <w:rPr>
          <w:rFonts w:ascii="Book Antiqua" w:eastAsia="Times New Roman" w:hAnsi="Book Antiqua" w:cs="Times New Roman"/>
          <w:sz w:val="20"/>
          <w:szCs w:val="20"/>
          <w:u w:val="single"/>
          <w:vertAlign w:val="superscript"/>
          <w:lang w:eastAsia="pt-BR"/>
        </w:rPr>
        <w:t>o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 da Independência e 116</w:t>
      </w:r>
      <w:r w:rsidRPr="009632DE">
        <w:rPr>
          <w:rFonts w:ascii="Book Antiqua" w:eastAsia="Times New Roman" w:hAnsi="Book Antiqua" w:cs="Times New Roman"/>
          <w:sz w:val="20"/>
          <w:szCs w:val="20"/>
          <w:u w:val="single"/>
          <w:vertAlign w:val="superscript"/>
          <w:lang w:eastAsia="pt-BR"/>
        </w:rPr>
        <w:t>o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 xml:space="preserve"> da República.</w:t>
      </w:r>
    </w:p>
    <w:p w14:paraId="65720087" w14:textId="77777777" w:rsidR="00896CCF" w:rsidRPr="009632DE" w:rsidRDefault="00896CCF" w:rsidP="00896CC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t>LUIZ INÁCIO LULA DA SILVA</w:t>
      </w:r>
      <w:r w:rsidRPr="009632DE">
        <w:rPr>
          <w:rFonts w:ascii="Book Antiqua" w:eastAsia="Times New Roman" w:hAnsi="Book Antiqua" w:cs="Times New Roman"/>
          <w:sz w:val="20"/>
          <w:szCs w:val="20"/>
          <w:lang w:eastAsia="pt-BR"/>
        </w:rPr>
        <w:br/>
      </w:r>
      <w:r w:rsidRPr="009632DE">
        <w:rPr>
          <w:rFonts w:ascii="Book Antiqua" w:eastAsia="Times New Roman" w:hAnsi="Book Antiqua" w:cs="Times New Roman"/>
          <w:i/>
          <w:iCs/>
          <w:sz w:val="20"/>
          <w:szCs w:val="20"/>
          <w:lang w:eastAsia="pt-BR"/>
        </w:rPr>
        <w:t>Márcio Thomaz Bastos</w:t>
      </w:r>
    </w:p>
    <w:p w14:paraId="618B2D28" w14:textId="77777777" w:rsidR="00896CCF" w:rsidRPr="009632DE" w:rsidRDefault="00896CCF" w:rsidP="00896CC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9632DE">
        <w:rPr>
          <w:rFonts w:ascii="Book Antiqua" w:eastAsia="Times New Roman" w:hAnsi="Book Antiqua" w:cs="Times New Roman"/>
          <w:color w:val="FF0000"/>
          <w:sz w:val="20"/>
          <w:szCs w:val="20"/>
          <w:lang w:eastAsia="pt-BR"/>
        </w:rPr>
        <w:t>Este texto não substitui o publicado no D.O.U. de  13.10.2004</w:t>
      </w:r>
    </w:p>
    <w:p w14:paraId="335049DF" w14:textId="77777777" w:rsidR="00957174" w:rsidRPr="009632DE" w:rsidRDefault="00957174">
      <w:pPr>
        <w:rPr>
          <w:rFonts w:ascii="Book Antiqua" w:hAnsi="Book Antiqua" w:cs="Times New Roman"/>
          <w:sz w:val="20"/>
          <w:szCs w:val="20"/>
        </w:rPr>
      </w:pPr>
    </w:p>
    <w:sectPr w:rsidR="00957174" w:rsidRPr="00963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4D762F"/>
    <w:multiLevelType w:val="hybridMultilevel"/>
    <w:tmpl w:val="7E144D7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1D0"/>
    <w:rsid w:val="001D51D0"/>
    <w:rsid w:val="002B067D"/>
    <w:rsid w:val="00623973"/>
    <w:rsid w:val="006C0A8F"/>
    <w:rsid w:val="00767BEA"/>
    <w:rsid w:val="00896CCF"/>
    <w:rsid w:val="00957174"/>
    <w:rsid w:val="009632DE"/>
    <w:rsid w:val="00FD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0B5B5"/>
  <w15:chartTrackingRefBased/>
  <w15:docId w15:val="{73CDCD7D-032A-4C8B-A849-7D0A658F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3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23973"/>
    <w:rPr>
      <w:color w:val="0000FF"/>
      <w:u w:val="single"/>
    </w:rPr>
  </w:style>
  <w:style w:type="paragraph" w:customStyle="1" w:styleId="texto2">
    <w:name w:val="texto2"/>
    <w:basedOn w:val="Normal"/>
    <w:rsid w:val="00623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767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67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37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5-2018/2017/Lei/L13455.ht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_Ato2015-2018/2015/Lei/L13175.ht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_Ato2015-2018/2015/Lei/L13175.htm" TargetMode="External"/><Relationship Id="rId11" Type="http://schemas.openxmlformats.org/officeDocument/2006/relationships/hyperlink" Target="http://www.planalto.gov.br/CCIVIL_03/_Ato2004-2006/2004/Msg/Vep/VEP-674-04.htm" TargetMode="External"/><Relationship Id="rId5" Type="http://schemas.openxmlformats.org/officeDocument/2006/relationships/hyperlink" Target="http://www.planalto.gov.br/ccivil_03/_Ato2015-2018/2017/Lei/L13543.htm" TargetMode="External"/><Relationship Id="rId10" Type="http://schemas.openxmlformats.org/officeDocument/2006/relationships/hyperlink" Target="http://www.planalto.gov.br/ccivil_03/_Ato2015-2018/2017/Lei/L1345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8078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783</Words>
  <Characters>4233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8</cp:revision>
  <dcterms:created xsi:type="dcterms:W3CDTF">2015-10-27T20:31:00Z</dcterms:created>
  <dcterms:modified xsi:type="dcterms:W3CDTF">2021-07-09T20:14:00Z</dcterms:modified>
</cp:coreProperties>
</file>