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E013E" w14:textId="77777777" w:rsidR="00270368" w:rsidRPr="00270368" w:rsidRDefault="00270368" w:rsidP="00270368">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b/>
          <w:bCs/>
          <w:color w:val="000080"/>
          <w:kern w:val="0"/>
          <w:sz w:val="19"/>
          <w:szCs w:val="19"/>
          <w:lang w:eastAsia="pt-BR"/>
          <w14:ligatures w14:val="none"/>
        </w:rPr>
        <w:fldChar w:fldCharType="begin"/>
      </w:r>
      <w:r w:rsidRPr="00270368">
        <w:rPr>
          <w:rFonts w:ascii="Book Antiqua" w:eastAsia="Times New Roman" w:hAnsi="Book Antiqua" w:cs="Arial"/>
          <w:b/>
          <w:bCs/>
          <w:color w:val="000080"/>
          <w:kern w:val="0"/>
          <w:sz w:val="19"/>
          <w:szCs w:val="19"/>
          <w:lang w:eastAsia="pt-BR"/>
          <w14:ligatures w14:val="none"/>
        </w:rPr>
        <w:instrText>HYPERLINK "http://legislacao.planalto.gov.br/legisla/legislacao.nsf/Viw_Identificacao/lei%2014.811-2024?OpenDocument"</w:instrText>
      </w:r>
      <w:r w:rsidRPr="00270368">
        <w:rPr>
          <w:rFonts w:ascii="Book Antiqua" w:eastAsia="Times New Roman" w:hAnsi="Book Antiqua" w:cs="Arial"/>
          <w:b/>
          <w:bCs/>
          <w:color w:val="000080"/>
          <w:kern w:val="0"/>
          <w:sz w:val="19"/>
          <w:szCs w:val="19"/>
          <w:lang w:eastAsia="pt-BR"/>
          <w14:ligatures w14:val="none"/>
        </w:rPr>
      </w:r>
      <w:r w:rsidRPr="00270368">
        <w:rPr>
          <w:rFonts w:ascii="Book Antiqua" w:eastAsia="Times New Roman" w:hAnsi="Book Antiqua" w:cs="Arial"/>
          <w:b/>
          <w:bCs/>
          <w:color w:val="000080"/>
          <w:kern w:val="0"/>
          <w:sz w:val="19"/>
          <w:szCs w:val="19"/>
          <w:lang w:eastAsia="pt-BR"/>
          <w14:ligatures w14:val="none"/>
        </w:rPr>
        <w:fldChar w:fldCharType="separate"/>
      </w:r>
      <w:r w:rsidRPr="00270368">
        <w:rPr>
          <w:rFonts w:ascii="Book Antiqua" w:eastAsia="Times New Roman" w:hAnsi="Book Antiqua" w:cs="Arial"/>
          <w:b/>
          <w:bCs/>
          <w:color w:val="000080"/>
          <w:kern w:val="0"/>
          <w:sz w:val="19"/>
          <w:szCs w:val="19"/>
          <w:u w:val="single"/>
          <w:lang w:eastAsia="pt-BR"/>
          <w14:ligatures w14:val="none"/>
        </w:rPr>
        <w:t>LEI Nº 14.811, DE 12 DE JANEIRO DE 2024</w:t>
      </w:r>
      <w:r w:rsidRPr="00270368">
        <w:rPr>
          <w:rFonts w:ascii="Book Antiqua" w:eastAsia="Times New Roman" w:hAnsi="Book Antiqua" w:cs="Arial"/>
          <w:b/>
          <w:bCs/>
          <w:color w:val="000080"/>
          <w:kern w:val="0"/>
          <w:sz w:val="19"/>
          <w:szCs w:val="19"/>
          <w:lang w:eastAsia="pt-BR"/>
          <w14:ligatures w14:val="none"/>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270368" w:rsidRPr="00270368" w14:paraId="633FCA2E" w14:textId="77777777" w:rsidTr="00270368">
        <w:trPr>
          <w:tblCellSpacing w:w="0" w:type="dxa"/>
        </w:trPr>
        <w:tc>
          <w:tcPr>
            <w:tcW w:w="1417" w:type="pct"/>
            <w:vAlign w:val="center"/>
            <w:hideMark/>
          </w:tcPr>
          <w:p w14:paraId="74028D7F" w14:textId="77777777" w:rsidR="00270368" w:rsidRPr="00270368" w:rsidRDefault="00270368" w:rsidP="00270368">
            <w:pPr>
              <w:spacing w:before="100" w:beforeAutospacing="1" w:after="100" w:afterAutospacing="1" w:line="240" w:lineRule="auto"/>
              <w:rPr>
                <w:rFonts w:ascii="Book Antiqua" w:eastAsia="Times New Roman" w:hAnsi="Book Antiqua" w:cs="Times New Roman"/>
                <w:kern w:val="0"/>
                <w:sz w:val="18"/>
                <w:szCs w:val="18"/>
                <w:lang w:eastAsia="pt-BR"/>
                <w14:ligatures w14:val="none"/>
              </w:rPr>
            </w:pPr>
            <w:r w:rsidRPr="00270368">
              <w:rPr>
                <w:rFonts w:ascii="Book Antiqua" w:eastAsia="Times New Roman" w:hAnsi="Book Antiqua" w:cs="Times New Roman"/>
                <w:kern w:val="0"/>
                <w:sz w:val="18"/>
                <w:szCs w:val="18"/>
                <w:lang w:eastAsia="pt-BR"/>
                <w14:ligatures w14:val="none"/>
              </w:rPr>
              <w:t> </w:t>
            </w:r>
          </w:p>
        </w:tc>
        <w:tc>
          <w:tcPr>
            <w:tcW w:w="3583" w:type="pct"/>
            <w:vAlign w:val="center"/>
            <w:hideMark/>
          </w:tcPr>
          <w:p w14:paraId="20FB4982" w14:textId="77777777" w:rsidR="00270368" w:rsidRPr="00270368" w:rsidRDefault="00270368" w:rsidP="00270368">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270368">
              <w:rPr>
                <w:rFonts w:ascii="Book Antiqua" w:eastAsia="Times New Roman" w:hAnsi="Book Antiqua" w:cs="Arial"/>
                <w:color w:val="800000"/>
                <w:kern w:val="0"/>
                <w:sz w:val="18"/>
                <w:szCs w:val="18"/>
                <w:lang w:eastAsia="pt-BR"/>
                <w14:ligatures w14:val="none"/>
              </w:rPr>
              <w:t xml:space="preserve">Institui medidas de proteção à criança e ao adolescente contra a violência nos estabelecimentos educacionais ou similares, prevê a Política Nacional de Prevenção e Combate ao Abuso e Exploração Sexual da Criança e do Adolescente e altera o Decreto-Lei nº 2.848, de 7 de dezembro de 1940 (Código Penal), e as Leis </w:t>
            </w:r>
            <w:proofErr w:type="spellStart"/>
            <w:r w:rsidRPr="00270368">
              <w:rPr>
                <w:rFonts w:ascii="Book Antiqua" w:eastAsia="Times New Roman" w:hAnsi="Book Antiqua" w:cs="Arial"/>
                <w:color w:val="800000"/>
                <w:kern w:val="0"/>
                <w:sz w:val="18"/>
                <w:szCs w:val="18"/>
                <w:lang w:eastAsia="pt-BR"/>
                <w14:ligatures w14:val="none"/>
              </w:rPr>
              <w:t>nºs</w:t>
            </w:r>
            <w:proofErr w:type="spellEnd"/>
            <w:r w:rsidRPr="00270368">
              <w:rPr>
                <w:rFonts w:ascii="Book Antiqua" w:eastAsia="Times New Roman" w:hAnsi="Book Antiqua" w:cs="Arial"/>
                <w:color w:val="800000"/>
                <w:kern w:val="0"/>
                <w:sz w:val="18"/>
                <w:szCs w:val="18"/>
                <w:lang w:eastAsia="pt-BR"/>
                <w14:ligatures w14:val="none"/>
              </w:rPr>
              <w:t xml:space="preserve"> 8.072, de 25 de julho de 1990 (Lei dos Crimes Hediondos), e 8.069, de 13 de julho de 1990 (Estatuto da Criança e do Adolescente).</w:t>
            </w:r>
          </w:p>
        </w:tc>
      </w:tr>
    </w:tbl>
    <w:p w14:paraId="213C2B44" w14:textId="77777777" w:rsidR="00270368" w:rsidRPr="00270368" w:rsidRDefault="00270368" w:rsidP="00270368">
      <w:pPr>
        <w:spacing w:before="100" w:beforeAutospacing="1" w:after="100" w:afterAutospacing="1" w:line="240" w:lineRule="auto"/>
        <w:ind w:firstLine="567"/>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b/>
          <w:bCs/>
          <w:color w:val="000000"/>
          <w:kern w:val="0"/>
          <w:sz w:val="19"/>
          <w:szCs w:val="19"/>
          <w:lang w:eastAsia="pt-BR"/>
          <w14:ligatures w14:val="none"/>
        </w:rPr>
        <w:t>O PRESIDENTE DA REPÚBLICA</w:t>
      </w:r>
      <w:r w:rsidRPr="00270368">
        <w:rPr>
          <w:rFonts w:ascii="Book Antiqua" w:eastAsia="Times New Roman" w:hAnsi="Book Antiqua" w:cs="Arial"/>
          <w:color w:val="000000"/>
          <w:kern w:val="0"/>
          <w:sz w:val="19"/>
          <w:szCs w:val="19"/>
          <w:lang w:eastAsia="pt-BR"/>
          <w14:ligatures w14:val="none"/>
        </w:rPr>
        <w:t> Faço saber que o Congresso Nacional decreta e eu sanciono a seguinte Lei:</w:t>
      </w:r>
    </w:p>
    <w:p w14:paraId="1C54A067"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0" w:name="art1"/>
      <w:bookmarkEnd w:id="0"/>
      <w:r w:rsidRPr="00270368">
        <w:rPr>
          <w:rFonts w:ascii="Book Antiqua" w:eastAsia="Times New Roman" w:hAnsi="Book Antiqua" w:cs="Arial"/>
          <w:color w:val="000000"/>
          <w:kern w:val="0"/>
          <w:sz w:val="19"/>
          <w:szCs w:val="19"/>
          <w:lang w:eastAsia="pt-BR"/>
          <w14:ligatures w14:val="none"/>
        </w:rPr>
        <w:t>Art. 1º  Esta Lei institui medidas de proteção à criança e ao adolescente contra a violência nos estabelecimentos educacionais ou similares, prevê a Política Nacional de Prevenção e Combate ao Abuso e Exploração Sexual da Criança e do Adolescente e altera o </w:t>
      </w:r>
      <w:hyperlink r:id="rId4" w:history="1">
        <w:r w:rsidRPr="00270368">
          <w:rPr>
            <w:rFonts w:ascii="Book Antiqua" w:eastAsia="Times New Roman" w:hAnsi="Book Antiqua" w:cs="Arial"/>
            <w:color w:val="0000FF"/>
            <w:kern w:val="0"/>
            <w:sz w:val="19"/>
            <w:szCs w:val="19"/>
            <w:u w:val="single"/>
            <w:lang w:eastAsia="pt-BR"/>
            <w14:ligatures w14:val="none"/>
          </w:rPr>
          <w:t>Decreto-Lei nº 2.848, de 7 de dezembro de 1940</w:t>
        </w:r>
      </w:hyperlink>
      <w:r w:rsidRPr="00270368">
        <w:rPr>
          <w:rFonts w:ascii="Book Antiqua" w:eastAsia="Times New Roman" w:hAnsi="Book Antiqua" w:cs="Arial"/>
          <w:color w:val="000000"/>
          <w:kern w:val="0"/>
          <w:sz w:val="19"/>
          <w:szCs w:val="19"/>
          <w:lang w:eastAsia="pt-BR"/>
          <w14:ligatures w14:val="none"/>
        </w:rPr>
        <w:t> (Código Penal), e as </w:t>
      </w:r>
      <w:hyperlink r:id="rId5" w:history="1">
        <w:r w:rsidRPr="00270368">
          <w:rPr>
            <w:rFonts w:ascii="Book Antiqua" w:eastAsia="Times New Roman" w:hAnsi="Book Antiqua" w:cs="Arial"/>
            <w:color w:val="0000FF"/>
            <w:kern w:val="0"/>
            <w:sz w:val="19"/>
            <w:szCs w:val="19"/>
            <w:u w:val="single"/>
            <w:lang w:eastAsia="pt-BR"/>
            <w14:ligatures w14:val="none"/>
          </w:rPr>
          <w:t xml:space="preserve">Leis </w:t>
        </w:r>
        <w:proofErr w:type="spellStart"/>
        <w:r w:rsidRPr="00270368">
          <w:rPr>
            <w:rFonts w:ascii="Book Antiqua" w:eastAsia="Times New Roman" w:hAnsi="Book Antiqua" w:cs="Arial"/>
            <w:color w:val="0000FF"/>
            <w:kern w:val="0"/>
            <w:sz w:val="19"/>
            <w:szCs w:val="19"/>
            <w:u w:val="single"/>
            <w:lang w:eastAsia="pt-BR"/>
            <w14:ligatures w14:val="none"/>
          </w:rPr>
          <w:t>nºs</w:t>
        </w:r>
        <w:proofErr w:type="spellEnd"/>
        <w:r w:rsidRPr="00270368">
          <w:rPr>
            <w:rFonts w:ascii="Book Antiqua" w:eastAsia="Times New Roman" w:hAnsi="Book Antiqua" w:cs="Arial"/>
            <w:color w:val="0000FF"/>
            <w:kern w:val="0"/>
            <w:sz w:val="19"/>
            <w:szCs w:val="19"/>
            <w:u w:val="single"/>
            <w:lang w:eastAsia="pt-BR"/>
            <w14:ligatures w14:val="none"/>
          </w:rPr>
          <w:t xml:space="preserve"> 8.072, de 25 de julho de 1990</w:t>
        </w:r>
      </w:hyperlink>
      <w:r w:rsidRPr="00270368">
        <w:rPr>
          <w:rFonts w:ascii="Book Antiqua" w:eastAsia="Times New Roman" w:hAnsi="Book Antiqua" w:cs="Arial"/>
          <w:color w:val="000000"/>
          <w:kern w:val="0"/>
          <w:sz w:val="19"/>
          <w:szCs w:val="19"/>
          <w:lang w:eastAsia="pt-BR"/>
          <w14:ligatures w14:val="none"/>
        </w:rPr>
        <w:t> (Lei dos Crimes Hediondos), e </w:t>
      </w:r>
      <w:hyperlink r:id="rId6" w:history="1">
        <w:r w:rsidRPr="00270368">
          <w:rPr>
            <w:rFonts w:ascii="Book Antiqua" w:eastAsia="Times New Roman" w:hAnsi="Book Antiqua" w:cs="Arial"/>
            <w:color w:val="0000FF"/>
            <w:kern w:val="0"/>
            <w:sz w:val="19"/>
            <w:szCs w:val="19"/>
            <w:u w:val="single"/>
            <w:lang w:eastAsia="pt-BR"/>
            <w14:ligatures w14:val="none"/>
          </w:rPr>
          <w:t>8.069, de 13 de julho de 1990</w:t>
        </w:r>
      </w:hyperlink>
      <w:r w:rsidRPr="00270368">
        <w:rPr>
          <w:rFonts w:ascii="Book Antiqua" w:eastAsia="Times New Roman" w:hAnsi="Book Antiqua" w:cs="Arial"/>
          <w:color w:val="000000"/>
          <w:kern w:val="0"/>
          <w:sz w:val="19"/>
          <w:szCs w:val="19"/>
          <w:lang w:eastAsia="pt-BR"/>
          <w14:ligatures w14:val="none"/>
        </w:rPr>
        <w:t> (Estatuto da Criança e do Adolescente).</w:t>
      </w:r>
    </w:p>
    <w:p w14:paraId="759A5AF1"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 w:name="art2"/>
      <w:bookmarkEnd w:id="1"/>
      <w:r w:rsidRPr="00270368">
        <w:rPr>
          <w:rFonts w:ascii="Book Antiqua" w:eastAsia="Times New Roman" w:hAnsi="Book Antiqua" w:cs="Arial"/>
          <w:color w:val="000000"/>
          <w:kern w:val="0"/>
          <w:sz w:val="19"/>
          <w:szCs w:val="19"/>
          <w:lang w:eastAsia="pt-BR"/>
          <w14:ligatures w14:val="none"/>
        </w:rPr>
        <w:t xml:space="preserve">Art. 2º As medidas de prevenção e combate à violência contra a criança e </w:t>
      </w:r>
      <w:proofErr w:type="spellStart"/>
      <w:r w:rsidRPr="00270368">
        <w:rPr>
          <w:rFonts w:ascii="Book Antiqua" w:eastAsia="Times New Roman" w:hAnsi="Book Antiqua" w:cs="Arial"/>
          <w:color w:val="000000"/>
          <w:kern w:val="0"/>
          <w:sz w:val="19"/>
          <w:szCs w:val="19"/>
          <w:lang w:eastAsia="pt-BR"/>
          <w14:ligatures w14:val="none"/>
        </w:rPr>
        <w:t>o</w:t>
      </w:r>
      <w:proofErr w:type="spellEnd"/>
      <w:r w:rsidRPr="00270368">
        <w:rPr>
          <w:rFonts w:ascii="Book Antiqua" w:eastAsia="Times New Roman" w:hAnsi="Book Antiqua" w:cs="Arial"/>
          <w:color w:val="000000"/>
          <w:kern w:val="0"/>
          <w:sz w:val="19"/>
          <w:szCs w:val="19"/>
          <w:lang w:eastAsia="pt-BR"/>
          <w14:ligatures w14:val="none"/>
        </w:rPr>
        <w:t xml:space="preserve"> adolescente em estabelecimentos educacionais ou similares, públicos ou privados, devem ser implementadas pelo Poder Executivo municipal e do Distrito Federal, em cooperação federativa com os Estados e a União.</w:t>
      </w:r>
    </w:p>
    <w:p w14:paraId="3D9FD35A"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 xml:space="preserve">Parágrafo único. Para os efeitos desta Lei, consideram-se violência contra a criança e </w:t>
      </w:r>
      <w:proofErr w:type="spellStart"/>
      <w:r w:rsidRPr="00270368">
        <w:rPr>
          <w:rFonts w:ascii="Book Antiqua" w:eastAsia="Times New Roman" w:hAnsi="Book Antiqua" w:cs="Arial"/>
          <w:color w:val="000000"/>
          <w:kern w:val="0"/>
          <w:sz w:val="19"/>
          <w:szCs w:val="19"/>
          <w:lang w:eastAsia="pt-BR"/>
          <w14:ligatures w14:val="none"/>
        </w:rPr>
        <w:t>o</w:t>
      </w:r>
      <w:proofErr w:type="spellEnd"/>
      <w:r w:rsidRPr="00270368">
        <w:rPr>
          <w:rFonts w:ascii="Book Antiqua" w:eastAsia="Times New Roman" w:hAnsi="Book Antiqua" w:cs="Arial"/>
          <w:color w:val="000000"/>
          <w:kern w:val="0"/>
          <w:sz w:val="19"/>
          <w:szCs w:val="19"/>
          <w:lang w:eastAsia="pt-BR"/>
          <w14:ligatures w14:val="none"/>
        </w:rPr>
        <w:t xml:space="preserve"> adolescente as formas de violência previstas nas </w:t>
      </w:r>
      <w:hyperlink r:id="rId7" w:history="1">
        <w:r w:rsidRPr="00270368">
          <w:rPr>
            <w:rFonts w:ascii="Book Antiqua" w:eastAsia="Times New Roman" w:hAnsi="Book Antiqua" w:cs="Arial"/>
            <w:color w:val="0000FF"/>
            <w:kern w:val="0"/>
            <w:sz w:val="19"/>
            <w:szCs w:val="19"/>
            <w:u w:val="single"/>
            <w:lang w:eastAsia="pt-BR"/>
            <w14:ligatures w14:val="none"/>
          </w:rPr>
          <w:t xml:space="preserve">Leis </w:t>
        </w:r>
        <w:proofErr w:type="spellStart"/>
        <w:r w:rsidRPr="00270368">
          <w:rPr>
            <w:rFonts w:ascii="Book Antiqua" w:eastAsia="Times New Roman" w:hAnsi="Book Antiqua" w:cs="Arial"/>
            <w:color w:val="0000FF"/>
            <w:kern w:val="0"/>
            <w:sz w:val="19"/>
            <w:szCs w:val="19"/>
            <w:u w:val="single"/>
            <w:lang w:eastAsia="pt-BR"/>
            <w14:ligatures w14:val="none"/>
          </w:rPr>
          <w:t>nºs</w:t>
        </w:r>
        <w:proofErr w:type="spellEnd"/>
        <w:r w:rsidRPr="00270368">
          <w:rPr>
            <w:rFonts w:ascii="Book Antiqua" w:eastAsia="Times New Roman" w:hAnsi="Book Antiqua" w:cs="Arial"/>
            <w:color w:val="0000FF"/>
            <w:kern w:val="0"/>
            <w:sz w:val="19"/>
            <w:szCs w:val="19"/>
            <w:u w:val="single"/>
            <w:lang w:eastAsia="pt-BR"/>
            <w14:ligatures w14:val="none"/>
          </w:rPr>
          <w:t xml:space="preserve"> 13.185, de 6 de novembro de 2015</w:t>
        </w:r>
      </w:hyperlink>
      <w:r w:rsidRPr="00270368">
        <w:rPr>
          <w:rFonts w:ascii="Book Antiqua" w:eastAsia="Times New Roman" w:hAnsi="Book Antiqua" w:cs="Arial"/>
          <w:color w:val="000000"/>
          <w:kern w:val="0"/>
          <w:sz w:val="19"/>
          <w:szCs w:val="19"/>
          <w:lang w:eastAsia="pt-BR"/>
          <w14:ligatures w14:val="none"/>
        </w:rPr>
        <w:t>, </w:t>
      </w:r>
      <w:hyperlink r:id="rId8" w:history="1">
        <w:r w:rsidRPr="00270368">
          <w:rPr>
            <w:rFonts w:ascii="Book Antiqua" w:eastAsia="Times New Roman" w:hAnsi="Book Antiqua" w:cs="Arial"/>
            <w:color w:val="0000FF"/>
            <w:kern w:val="0"/>
            <w:sz w:val="19"/>
            <w:szCs w:val="19"/>
            <w:u w:val="single"/>
            <w:lang w:eastAsia="pt-BR"/>
            <w14:ligatures w14:val="none"/>
          </w:rPr>
          <w:t>13.431, de 4 de abril de 2017</w:t>
        </w:r>
      </w:hyperlink>
      <w:r w:rsidRPr="00270368">
        <w:rPr>
          <w:rFonts w:ascii="Book Antiqua" w:eastAsia="Times New Roman" w:hAnsi="Book Antiqua" w:cs="Arial"/>
          <w:color w:val="000000"/>
          <w:kern w:val="0"/>
          <w:sz w:val="19"/>
          <w:szCs w:val="19"/>
          <w:lang w:eastAsia="pt-BR"/>
          <w14:ligatures w14:val="none"/>
        </w:rPr>
        <w:t>, e </w:t>
      </w:r>
      <w:hyperlink r:id="rId9" w:history="1">
        <w:r w:rsidRPr="00270368">
          <w:rPr>
            <w:rFonts w:ascii="Book Antiqua" w:eastAsia="Times New Roman" w:hAnsi="Book Antiqua" w:cs="Arial"/>
            <w:color w:val="0000FF"/>
            <w:kern w:val="0"/>
            <w:sz w:val="19"/>
            <w:szCs w:val="19"/>
            <w:u w:val="single"/>
            <w:lang w:eastAsia="pt-BR"/>
            <w14:ligatures w14:val="none"/>
          </w:rPr>
          <w:t>14.344, de 24 de maio de 2022</w:t>
        </w:r>
      </w:hyperlink>
      <w:r w:rsidRPr="00270368">
        <w:rPr>
          <w:rFonts w:ascii="Book Antiqua" w:eastAsia="Times New Roman" w:hAnsi="Book Antiqua" w:cs="Arial"/>
          <w:color w:val="000000"/>
          <w:kern w:val="0"/>
          <w:sz w:val="19"/>
          <w:szCs w:val="19"/>
          <w:lang w:eastAsia="pt-BR"/>
          <w14:ligatures w14:val="none"/>
        </w:rPr>
        <w:t>.</w:t>
      </w:r>
    </w:p>
    <w:p w14:paraId="377BEAA7"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 w:name="art3"/>
      <w:bookmarkEnd w:id="2"/>
      <w:r w:rsidRPr="00270368">
        <w:rPr>
          <w:rFonts w:ascii="Book Antiqua" w:eastAsia="Times New Roman" w:hAnsi="Book Antiqua" w:cs="Arial"/>
          <w:color w:val="000000"/>
          <w:kern w:val="0"/>
          <w:sz w:val="19"/>
          <w:szCs w:val="19"/>
          <w:lang w:eastAsia="pt-BR"/>
          <w14:ligatures w14:val="none"/>
        </w:rPr>
        <w:t>Art. 3º É de responsabilidade do poder público local desenvolver, em conjunto com os órgãos de segurança pública e de saúde e com a participação da comunidade escolar, protocolos para estabelecer medidas de proteção à criança e ao adolescente contra qualquer forma de violência no âmbito escolar prevista no parágrafo único do art. 2º desta Lei, com ações específicas para cada uma delas.</w:t>
      </w:r>
    </w:p>
    <w:p w14:paraId="27E5E309"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 xml:space="preserve">Parágrafo único. Os protocolos de medidas de proteção à violência contra a criança e </w:t>
      </w:r>
      <w:proofErr w:type="spellStart"/>
      <w:r w:rsidRPr="00270368">
        <w:rPr>
          <w:rFonts w:ascii="Book Antiqua" w:eastAsia="Times New Roman" w:hAnsi="Book Antiqua" w:cs="Arial"/>
          <w:color w:val="000000"/>
          <w:kern w:val="0"/>
          <w:sz w:val="19"/>
          <w:szCs w:val="19"/>
          <w:lang w:eastAsia="pt-BR"/>
          <w14:ligatures w14:val="none"/>
        </w:rPr>
        <w:t>o</w:t>
      </w:r>
      <w:proofErr w:type="spellEnd"/>
      <w:r w:rsidRPr="00270368">
        <w:rPr>
          <w:rFonts w:ascii="Book Antiqua" w:eastAsia="Times New Roman" w:hAnsi="Book Antiqua" w:cs="Arial"/>
          <w:color w:val="000000"/>
          <w:kern w:val="0"/>
          <w:sz w:val="19"/>
          <w:szCs w:val="19"/>
          <w:lang w:eastAsia="pt-BR"/>
          <w14:ligatures w14:val="none"/>
        </w:rPr>
        <w:t xml:space="preserve"> adolescente nos estabelecimentos educacionais ou similares, públicos ou privados, deverão prever a capacitação continuada do corpo docente, integrada à informação da comunidade escolar e da vizinhança em torno do estabelecimento escolar.</w:t>
      </w:r>
    </w:p>
    <w:p w14:paraId="394385FE"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 w:name="art4"/>
      <w:bookmarkEnd w:id="3"/>
      <w:r w:rsidRPr="00270368">
        <w:rPr>
          <w:rFonts w:ascii="Book Antiqua" w:eastAsia="Times New Roman" w:hAnsi="Book Antiqua" w:cs="Arial"/>
          <w:color w:val="000000"/>
          <w:kern w:val="0"/>
          <w:sz w:val="19"/>
          <w:szCs w:val="19"/>
          <w:lang w:eastAsia="pt-BR"/>
          <w14:ligatures w14:val="none"/>
        </w:rPr>
        <w:t>Art. 4º A Política Nacional de Prevenção e Combate ao Abuso e Exploração Sexual da Criança e do Adolescente será elaborada no âmbito de conferência nacional a ser organizada e executada pelo órgão federal competente e deverá observar os seguintes objetivos:</w:t>
      </w:r>
    </w:p>
    <w:p w14:paraId="6E78442D"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 xml:space="preserve">I - </w:t>
      </w:r>
      <w:proofErr w:type="gramStart"/>
      <w:r w:rsidRPr="00270368">
        <w:rPr>
          <w:rFonts w:ascii="Book Antiqua" w:eastAsia="Times New Roman" w:hAnsi="Book Antiqua" w:cs="Arial"/>
          <w:color w:val="000000"/>
          <w:kern w:val="0"/>
          <w:sz w:val="19"/>
          <w:szCs w:val="19"/>
          <w:lang w:eastAsia="pt-BR"/>
          <w14:ligatures w14:val="none"/>
        </w:rPr>
        <w:t>aprimorar</w:t>
      </w:r>
      <w:proofErr w:type="gramEnd"/>
      <w:r w:rsidRPr="00270368">
        <w:rPr>
          <w:rFonts w:ascii="Book Antiqua" w:eastAsia="Times New Roman" w:hAnsi="Book Antiqua" w:cs="Arial"/>
          <w:color w:val="000000"/>
          <w:kern w:val="0"/>
          <w:sz w:val="19"/>
          <w:szCs w:val="19"/>
          <w:lang w:eastAsia="pt-BR"/>
          <w14:ligatures w14:val="none"/>
        </w:rPr>
        <w:t xml:space="preserve"> a gestão das ações de prevenção e de combate ao abuso e à exploração sexual da criança e do adolescente;</w:t>
      </w:r>
    </w:p>
    <w:p w14:paraId="16DC6990"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 xml:space="preserve">II - </w:t>
      </w:r>
      <w:proofErr w:type="gramStart"/>
      <w:r w:rsidRPr="00270368">
        <w:rPr>
          <w:rFonts w:ascii="Book Antiqua" w:eastAsia="Times New Roman" w:hAnsi="Book Antiqua" w:cs="Arial"/>
          <w:color w:val="000000"/>
          <w:kern w:val="0"/>
          <w:sz w:val="19"/>
          <w:szCs w:val="19"/>
          <w:lang w:eastAsia="pt-BR"/>
          <w14:ligatures w14:val="none"/>
        </w:rPr>
        <w:t>contribuir</w:t>
      </w:r>
      <w:proofErr w:type="gramEnd"/>
      <w:r w:rsidRPr="00270368">
        <w:rPr>
          <w:rFonts w:ascii="Book Antiqua" w:eastAsia="Times New Roman" w:hAnsi="Book Antiqua" w:cs="Arial"/>
          <w:color w:val="000000"/>
          <w:kern w:val="0"/>
          <w:sz w:val="19"/>
          <w:szCs w:val="19"/>
          <w:lang w:eastAsia="pt-BR"/>
          <w14:ligatures w14:val="none"/>
        </w:rPr>
        <w:t xml:space="preserve"> para fortalecer as redes de proteção e de combate ao abuso e à exploração sexual da criança e do adolescente;</w:t>
      </w:r>
    </w:p>
    <w:p w14:paraId="20CA6C7E"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III - promover a produção de conhecimento, a pesquisa e a avaliação dos resultados das políticas de prevenção e de combate ao abuso e à exploração sexual da criança e do adolescente;</w:t>
      </w:r>
    </w:p>
    <w:p w14:paraId="10B0D393"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 xml:space="preserve">IV - </w:t>
      </w:r>
      <w:proofErr w:type="gramStart"/>
      <w:r w:rsidRPr="00270368">
        <w:rPr>
          <w:rFonts w:ascii="Book Antiqua" w:eastAsia="Times New Roman" w:hAnsi="Book Antiqua" w:cs="Arial"/>
          <w:color w:val="000000"/>
          <w:kern w:val="0"/>
          <w:sz w:val="19"/>
          <w:szCs w:val="19"/>
          <w:lang w:eastAsia="pt-BR"/>
          <w14:ligatures w14:val="none"/>
        </w:rPr>
        <w:t>garantir</w:t>
      </w:r>
      <w:proofErr w:type="gramEnd"/>
      <w:r w:rsidRPr="00270368">
        <w:rPr>
          <w:rFonts w:ascii="Book Antiqua" w:eastAsia="Times New Roman" w:hAnsi="Book Antiqua" w:cs="Arial"/>
          <w:color w:val="000000"/>
          <w:kern w:val="0"/>
          <w:sz w:val="19"/>
          <w:szCs w:val="19"/>
          <w:lang w:eastAsia="pt-BR"/>
          <w14:ligatures w14:val="none"/>
        </w:rPr>
        <w:t xml:space="preserve"> o atendimento especializado, e em rede, da criança e do adolescente em situação de exploração sexual, bem como de suas famílias;</w:t>
      </w:r>
    </w:p>
    <w:p w14:paraId="6AB171E9"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 xml:space="preserve">V - </w:t>
      </w:r>
      <w:proofErr w:type="gramStart"/>
      <w:r w:rsidRPr="00270368">
        <w:rPr>
          <w:rFonts w:ascii="Book Antiqua" w:eastAsia="Times New Roman" w:hAnsi="Book Antiqua" w:cs="Arial"/>
          <w:color w:val="000000"/>
          <w:kern w:val="0"/>
          <w:sz w:val="19"/>
          <w:szCs w:val="19"/>
          <w:lang w:eastAsia="pt-BR"/>
          <w14:ligatures w14:val="none"/>
        </w:rPr>
        <w:t>estabelecer</w:t>
      </w:r>
      <w:proofErr w:type="gramEnd"/>
      <w:r w:rsidRPr="00270368">
        <w:rPr>
          <w:rFonts w:ascii="Book Antiqua" w:eastAsia="Times New Roman" w:hAnsi="Book Antiqua" w:cs="Arial"/>
          <w:color w:val="000000"/>
          <w:kern w:val="0"/>
          <w:sz w:val="19"/>
          <w:szCs w:val="19"/>
          <w:lang w:eastAsia="pt-BR"/>
          <w14:ligatures w14:val="none"/>
        </w:rPr>
        <w:t xml:space="preserve"> espaços democráticos para participação e controle social, priorizando os conselhos de direitos da criança e do adolescente.</w:t>
      </w:r>
    </w:p>
    <w:p w14:paraId="346BEABC"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 1º As políticas públicas de prevenção e de combate ao abuso e à exploração sexual da criança e do adolescente não se restringem às vítimas e devem considerar o contexto social amplo das famílias e das comunidades.</w:t>
      </w:r>
    </w:p>
    <w:p w14:paraId="2B190823"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lastRenderedPageBreak/>
        <w:t>§ 2º A Política Nacional de Prevenção e Combate ao Abuso e Exploração Sexual da Criança e do Adolescente, considerada a sua transversalidade, deverá prever capacitação continuada de todos os agentes públicos que atuam com crianças e adolescentes em situação de violência sexual.</w:t>
      </w:r>
    </w:p>
    <w:p w14:paraId="7A59F862"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 3º A Política Nacional de Prevenção e Combate ao Abuso e Exploração Sexual da Criança e do Adolescente será detalhada em um plano nacional, reavaliada a cada 10 (dez) anos, a contar de sua elaboração, com indicação das ações estratégicas, das metas, das prioridades e dos indicadores e com definição das formas de financiamento e gestão das políticas de prevenção e de combate ao abuso e à exploração sexual da criança e do adolescente.</w:t>
      </w:r>
    </w:p>
    <w:p w14:paraId="689AC75A"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 4º Os conselhos de direitos da criança e do adolescente, organizações da sociedade civil e representantes do Ministério Público realizarão, em conjunto com o poder público, em intervalos de 3 (três) anos, avaliações periódicas da implementação dos Planos de Prevenção e Combate ao Abuso e Exploração Sexual da Criança e do Adolescente, a serem definidas em regulamento, com o objetivo de verificar o cumprimento das metas estabelecidas e de elaborar recomendações aos gestores e aos operadores das políticas públicas.</w:t>
      </w:r>
    </w:p>
    <w:p w14:paraId="14DEBC5D"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 5º Haverá ampla divulgação do conteúdo do Plano Nacional de Prevenção e Combate ao Abuso e Exploração Sexual da Criança e do Adolescente.</w:t>
      </w:r>
    </w:p>
    <w:p w14:paraId="3FECE825"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 w:name="art5"/>
      <w:bookmarkEnd w:id="4"/>
      <w:r w:rsidRPr="00270368">
        <w:rPr>
          <w:rFonts w:ascii="Book Antiqua" w:eastAsia="Times New Roman" w:hAnsi="Book Antiqua" w:cs="Arial"/>
          <w:color w:val="000000"/>
          <w:kern w:val="0"/>
          <w:sz w:val="19"/>
          <w:szCs w:val="19"/>
          <w:lang w:eastAsia="pt-BR"/>
          <w14:ligatures w14:val="none"/>
        </w:rPr>
        <w:t xml:space="preserve">Art. 5º Os </w:t>
      </w:r>
      <w:proofErr w:type="spellStart"/>
      <w:r w:rsidRPr="00270368">
        <w:rPr>
          <w:rFonts w:ascii="Book Antiqua" w:eastAsia="Times New Roman" w:hAnsi="Book Antiqua" w:cs="Arial"/>
          <w:color w:val="000000"/>
          <w:kern w:val="0"/>
          <w:sz w:val="19"/>
          <w:szCs w:val="19"/>
          <w:lang w:eastAsia="pt-BR"/>
          <w14:ligatures w14:val="none"/>
        </w:rPr>
        <w:t>arts</w:t>
      </w:r>
      <w:proofErr w:type="spellEnd"/>
      <w:r w:rsidRPr="00270368">
        <w:rPr>
          <w:rFonts w:ascii="Book Antiqua" w:eastAsia="Times New Roman" w:hAnsi="Book Antiqua" w:cs="Arial"/>
          <w:color w:val="000000"/>
          <w:kern w:val="0"/>
          <w:sz w:val="19"/>
          <w:szCs w:val="19"/>
          <w:lang w:eastAsia="pt-BR"/>
          <w14:ligatures w14:val="none"/>
        </w:rPr>
        <w:t>. 121 e 122 do </w:t>
      </w:r>
      <w:hyperlink r:id="rId10" w:history="1">
        <w:r w:rsidRPr="00270368">
          <w:rPr>
            <w:rFonts w:ascii="Book Antiqua" w:eastAsia="Times New Roman" w:hAnsi="Book Antiqua" w:cs="Arial"/>
            <w:color w:val="0000FF"/>
            <w:kern w:val="0"/>
            <w:sz w:val="19"/>
            <w:szCs w:val="19"/>
            <w:u w:val="single"/>
            <w:lang w:eastAsia="pt-BR"/>
            <w14:ligatures w14:val="none"/>
          </w:rPr>
          <w:t>Decreto-Lei nº 2.848, de 7 de dezembro de 1940</w:t>
        </w:r>
      </w:hyperlink>
      <w:r w:rsidRPr="00270368">
        <w:rPr>
          <w:rFonts w:ascii="Book Antiqua" w:eastAsia="Times New Roman" w:hAnsi="Book Antiqua" w:cs="Arial"/>
          <w:color w:val="000000"/>
          <w:kern w:val="0"/>
          <w:sz w:val="19"/>
          <w:szCs w:val="19"/>
          <w:lang w:eastAsia="pt-BR"/>
          <w14:ligatures w14:val="none"/>
        </w:rPr>
        <w:t> (Código Penal), passam a vigorar com as seguintes alterações:</w:t>
      </w:r>
    </w:p>
    <w:p w14:paraId="7E929B4B"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“Art. 121. ................................................................................</w:t>
      </w:r>
    </w:p>
    <w:p w14:paraId="595C93DD"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w:t>
      </w:r>
    </w:p>
    <w:p w14:paraId="4FA17CCC"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 2º-B. ...................................................................................</w:t>
      </w:r>
    </w:p>
    <w:p w14:paraId="013D6D17"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w:t>
      </w:r>
    </w:p>
    <w:p w14:paraId="2C8EA9B4"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hyperlink r:id="rId11" w:anchor="art121%C2%A72b-3" w:history="1">
        <w:r w:rsidRPr="00270368">
          <w:rPr>
            <w:rFonts w:ascii="Book Antiqua" w:eastAsia="Times New Roman" w:hAnsi="Book Antiqua" w:cs="Arial"/>
            <w:color w:val="0000FF"/>
            <w:kern w:val="0"/>
            <w:sz w:val="19"/>
            <w:szCs w:val="19"/>
            <w:u w:val="single"/>
            <w:lang w:eastAsia="pt-BR"/>
            <w14:ligatures w14:val="none"/>
          </w:rPr>
          <w:t>III -</w:t>
        </w:r>
      </w:hyperlink>
      <w:r w:rsidRPr="00270368">
        <w:rPr>
          <w:rFonts w:ascii="Book Antiqua" w:eastAsia="Times New Roman" w:hAnsi="Book Antiqua" w:cs="Arial"/>
          <w:color w:val="000000"/>
          <w:kern w:val="0"/>
          <w:sz w:val="19"/>
          <w:szCs w:val="19"/>
          <w:lang w:eastAsia="pt-BR"/>
          <w14:ligatures w14:val="none"/>
        </w:rPr>
        <w:t> 2/3 (dois terços) se o crime for praticado em instituição de educação básica pública ou privada.</w:t>
      </w:r>
    </w:p>
    <w:p w14:paraId="78112785"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proofErr w:type="gramStart"/>
      <w:r w:rsidRPr="00270368">
        <w:rPr>
          <w:rFonts w:ascii="Book Antiqua" w:eastAsia="Times New Roman" w:hAnsi="Book Antiqua" w:cs="Arial"/>
          <w:color w:val="000000"/>
          <w:kern w:val="0"/>
          <w:sz w:val="19"/>
          <w:szCs w:val="19"/>
          <w:lang w:eastAsia="pt-BR"/>
          <w14:ligatures w14:val="none"/>
        </w:rPr>
        <w:t>................................................................................................ ”</w:t>
      </w:r>
      <w:proofErr w:type="gramEnd"/>
      <w:r w:rsidRPr="00270368">
        <w:rPr>
          <w:rFonts w:ascii="Book Antiqua" w:eastAsia="Times New Roman" w:hAnsi="Book Antiqua" w:cs="Arial"/>
          <w:color w:val="000000"/>
          <w:kern w:val="0"/>
          <w:sz w:val="19"/>
          <w:szCs w:val="19"/>
          <w:lang w:eastAsia="pt-BR"/>
          <w14:ligatures w14:val="none"/>
        </w:rPr>
        <w:t xml:space="preserve"> (NR)</w:t>
      </w:r>
    </w:p>
    <w:p w14:paraId="45260972"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“Art. 122. ................................................................................</w:t>
      </w:r>
    </w:p>
    <w:p w14:paraId="5F4540D7"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w:t>
      </w:r>
    </w:p>
    <w:p w14:paraId="7ED55D8E"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hyperlink r:id="rId12" w:anchor="art122%C2%A75.0" w:history="1">
        <w:r w:rsidRPr="00270368">
          <w:rPr>
            <w:rFonts w:ascii="Book Antiqua" w:eastAsia="Times New Roman" w:hAnsi="Book Antiqua" w:cs="Arial"/>
            <w:color w:val="0000FF"/>
            <w:kern w:val="0"/>
            <w:sz w:val="19"/>
            <w:szCs w:val="19"/>
            <w:u w:val="single"/>
            <w:lang w:eastAsia="pt-BR"/>
            <w14:ligatures w14:val="none"/>
          </w:rPr>
          <w:t>§ 5º</w:t>
        </w:r>
      </w:hyperlink>
      <w:r w:rsidRPr="00270368">
        <w:rPr>
          <w:rFonts w:ascii="Book Antiqua" w:eastAsia="Times New Roman" w:hAnsi="Book Antiqua" w:cs="Arial"/>
          <w:color w:val="000000"/>
          <w:kern w:val="0"/>
          <w:sz w:val="19"/>
          <w:szCs w:val="19"/>
          <w:lang w:eastAsia="pt-BR"/>
          <w14:ligatures w14:val="none"/>
        </w:rPr>
        <w:t> Aplica-se a pena em dobro se o autor é líder, coordenador ou administrador de grupo, de comunidade ou de rede virtual, ou por estes é responsável.</w:t>
      </w:r>
    </w:p>
    <w:p w14:paraId="5A730E8A"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proofErr w:type="gramStart"/>
      <w:r w:rsidRPr="00270368">
        <w:rPr>
          <w:rFonts w:ascii="Book Antiqua" w:eastAsia="Times New Roman" w:hAnsi="Book Antiqua" w:cs="Arial"/>
          <w:color w:val="000000"/>
          <w:kern w:val="0"/>
          <w:sz w:val="19"/>
          <w:szCs w:val="19"/>
          <w:lang w:eastAsia="pt-BR"/>
          <w14:ligatures w14:val="none"/>
        </w:rPr>
        <w:t>................................................................................................ ”</w:t>
      </w:r>
      <w:proofErr w:type="gramEnd"/>
      <w:r w:rsidRPr="00270368">
        <w:rPr>
          <w:rFonts w:ascii="Book Antiqua" w:eastAsia="Times New Roman" w:hAnsi="Book Antiqua" w:cs="Arial"/>
          <w:color w:val="000000"/>
          <w:kern w:val="0"/>
          <w:sz w:val="19"/>
          <w:szCs w:val="19"/>
          <w:lang w:eastAsia="pt-BR"/>
          <w14:ligatures w14:val="none"/>
        </w:rPr>
        <w:t xml:space="preserve"> (NR)</w:t>
      </w:r>
    </w:p>
    <w:p w14:paraId="0B01AB03"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 w:name="art6"/>
      <w:bookmarkEnd w:id="5"/>
      <w:r w:rsidRPr="00270368">
        <w:rPr>
          <w:rFonts w:ascii="Book Antiqua" w:eastAsia="Times New Roman" w:hAnsi="Book Antiqua" w:cs="Arial"/>
          <w:color w:val="000000"/>
          <w:kern w:val="0"/>
          <w:sz w:val="19"/>
          <w:szCs w:val="19"/>
          <w:lang w:eastAsia="pt-BR"/>
          <w14:ligatures w14:val="none"/>
        </w:rPr>
        <w:t>Art. 6º O </w:t>
      </w:r>
      <w:hyperlink r:id="rId13" w:history="1">
        <w:r w:rsidRPr="00270368">
          <w:rPr>
            <w:rFonts w:ascii="Book Antiqua" w:eastAsia="Times New Roman" w:hAnsi="Book Antiqua" w:cs="Arial"/>
            <w:color w:val="0000FF"/>
            <w:kern w:val="0"/>
            <w:sz w:val="19"/>
            <w:szCs w:val="19"/>
            <w:u w:val="single"/>
            <w:lang w:eastAsia="pt-BR"/>
            <w14:ligatures w14:val="none"/>
          </w:rPr>
          <w:t>Decreto-Lei nº 2.848, de 7 de dezembro de 1940</w:t>
        </w:r>
      </w:hyperlink>
      <w:r w:rsidRPr="00270368">
        <w:rPr>
          <w:rFonts w:ascii="Book Antiqua" w:eastAsia="Times New Roman" w:hAnsi="Book Antiqua" w:cs="Arial"/>
          <w:color w:val="000000"/>
          <w:kern w:val="0"/>
          <w:sz w:val="19"/>
          <w:szCs w:val="19"/>
          <w:lang w:eastAsia="pt-BR"/>
          <w14:ligatures w14:val="none"/>
        </w:rPr>
        <w:t> (Código Penal), passa a vigorar acrescido do seguinte art. 146-A:</w:t>
      </w:r>
    </w:p>
    <w:p w14:paraId="5A0A54A0"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w:t>
      </w:r>
      <w:r w:rsidRPr="00270368">
        <w:rPr>
          <w:rFonts w:ascii="Book Antiqua" w:eastAsia="Times New Roman" w:hAnsi="Book Antiqua" w:cs="Arial"/>
          <w:b/>
          <w:bCs/>
          <w:color w:val="000000"/>
          <w:kern w:val="0"/>
          <w:sz w:val="19"/>
          <w:szCs w:val="19"/>
          <w:lang w:eastAsia="pt-BR"/>
          <w14:ligatures w14:val="none"/>
        </w:rPr>
        <w:t>Intimidação sistemática (bullying)</w:t>
      </w:r>
    </w:p>
    <w:p w14:paraId="595D635A"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hyperlink r:id="rId14" w:anchor="art146a" w:history="1">
        <w:r w:rsidRPr="00270368">
          <w:rPr>
            <w:rFonts w:ascii="Book Antiqua" w:eastAsia="Times New Roman" w:hAnsi="Book Antiqua" w:cs="Arial"/>
            <w:color w:val="0000FF"/>
            <w:kern w:val="0"/>
            <w:sz w:val="19"/>
            <w:szCs w:val="19"/>
            <w:u w:val="single"/>
            <w:lang w:eastAsia="pt-BR"/>
            <w14:ligatures w14:val="none"/>
          </w:rPr>
          <w:t>Art. 146-A</w:t>
        </w:r>
      </w:hyperlink>
      <w:r w:rsidRPr="00270368">
        <w:rPr>
          <w:rFonts w:ascii="Book Antiqua" w:eastAsia="Times New Roman" w:hAnsi="Book Antiqua" w:cs="Arial"/>
          <w:color w:val="000000"/>
          <w:kern w:val="0"/>
          <w:sz w:val="19"/>
          <w:szCs w:val="19"/>
          <w:lang w:eastAsia="pt-BR"/>
          <w14:ligatures w14:val="none"/>
        </w:rPr>
        <w:t>. Intimidar sistematicamente, individualmente ou em grupo, mediante violência física ou psicológica, uma ou mais pessoas, de modo intencional e repetitivo, sem motivação evidente, por meio de atos de intimidação, de humilhação ou de discriminação ou de ações verbais, morais, sexuais, sociais, psicológicas, físicas, materiais ou virtuais:</w:t>
      </w:r>
    </w:p>
    <w:p w14:paraId="6EB95CBE"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Pena - multa, se a conduta não constituir crime mais grave.</w:t>
      </w:r>
    </w:p>
    <w:p w14:paraId="5827D830"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b/>
          <w:bCs/>
          <w:color w:val="000000"/>
          <w:kern w:val="0"/>
          <w:sz w:val="19"/>
          <w:szCs w:val="19"/>
          <w:lang w:eastAsia="pt-BR"/>
          <w14:ligatures w14:val="none"/>
        </w:rPr>
        <w:t>Intimidação sistemática virtual (cyberbullying)</w:t>
      </w:r>
    </w:p>
    <w:p w14:paraId="0B9D8A53"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lastRenderedPageBreak/>
        <w:t>Parágrafo único. Se a conduta é realizada por meio da rede de computadores, de rede social, de aplicativos, de jogos </w:t>
      </w:r>
      <w:r w:rsidRPr="00270368">
        <w:rPr>
          <w:rFonts w:ascii="Book Antiqua" w:eastAsia="Times New Roman" w:hAnsi="Book Antiqua" w:cs="Arial"/>
          <w:b/>
          <w:bCs/>
          <w:color w:val="000000"/>
          <w:kern w:val="0"/>
          <w:sz w:val="19"/>
          <w:szCs w:val="19"/>
          <w:lang w:eastAsia="pt-BR"/>
          <w14:ligatures w14:val="none"/>
        </w:rPr>
        <w:t>on-line</w:t>
      </w:r>
      <w:r w:rsidRPr="00270368">
        <w:rPr>
          <w:rFonts w:ascii="Book Antiqua" w:eastAsia="Times New Roman" w:hAnsi="Book Antiqua" w:cs="Arial"/>
          <w:color w:val="000000"/>
          <w:kern w:val="0"/>
          <w:sz w:val="19"/>
          <w:szCs w:val="19"/>
          <w:lang w:eastAsia="pt-BR"/>
          <w14:ligatures w14:val="none"/>
        </w:rPr>
        <w:t> ou por qualquer outro meio ou ambiente digital, ou transmitida em tempo real:</w:t>
      </w:r>
    </w:p>
    <w:p w14:paraId="35D0404F"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Pena - reclusão, de 2 (dois) anos a 4 (quatro) anos, e multa, se a conduta não constituir crime mais grave.”</w:t>
      </w:r>
    </w:p>
    <w:p w14:paraId="113FEC58"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 w:name="art7"/>
      <w:bookmarkEnd w:id="6"/>
      <w:r w:rsidRPr="00270368">
        <w:rPr>
          <w:rFonts w:ascii="Book Antiqua" w:eastAsia="Times New Roman" w:hAnsi="Book Antiqua" w:cs="Arial"/>
          <w:color w:val="000000"/>
          <w:kern w:val="0"/>
          <w:sz w:val="19"/>
          <w:szCs w:val="19"/>
          <w:lang w:eastAsia="pt-BR"/>
          <w14:ligatures w14:val="none"/>
        </w:rPr>
        <w:t>Art. 7º O art. 1º da </w:t>
      </w:r>
      <w:hyperlink r:id="rId15" w:history="1">
        <w:r w:rsidRPr="00270368">
          <w:rPr>
            <w:rFonts w:ascii="Book Antiqua" w:eastAsia="Times New Roman" w:hAnsi="Book Antiqua" w:cs="Arial"/>
            <w:color w:val="0000FF"/>
            <w:kern w:val="0"/>
            <w:sz w:val="19"/>
            <w:szCs w:val="19"/>
            <w:u w:val="single"/>
            <w:lang w:eastAsia="pt-BR"/>
            <w14:ligatures w14:val="none"/>
          </w:rPr>
          <w:t>Lei nº 8.072, de 25 de julho de 1990</w:t>
        </w:r>
      </w:hyperlink>
      <w:r w:rsidRPr="00270368">
        <w:rPr>
          <w:rFonts w:ascii="Book Antiqua" w:eastAsia="Times New Roman" w:hAnsi="Book Antiqua" w:cs="Arial"/>
          <w:color w:val="000000"/>
          <w:kern w:val="0"/>
          <w:sz w:val="19"/>
          <w:szCs w:val="19"/>
          <w:lang w:eastAsia="pt-BR"/>
          <w14:ligatures w14:val="none"/>
        </w:rPr>
        <w:t> (Lei dos Crimes Hediondos), passa a vigorar com a seguinte redação:</w:t>
      </w:r>
    </w:p>
    <w:p w14:paraId="5C5AB70C"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“Art. 1º ...................................................................................</w:t>
      </w:r>
    </w:p>
    <w:p w14:paraId="1F2D215A"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w:t>
      </w:r>
    </w:p>
    <w:p w14:paraId="216532F1"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hyperlink r:id="rId16" w:anchor="art1x" w:history="1">
        <w:r w:rsidRPr="00270368">
          <w:rPr>
            <w:rFonts w:ascii="Book Antiqua" w:eastAsia="Times New Roman" w:hAnsi="Book Antiqua" w:cs="Arial"/>
            <w:color w:val="0000FF"/>
            <w:kern w:val="0"/>
            <w:sz w:val="19"/>
            <w:szCs w:val="19"/>
            <w:u w:val="single"/>
            <w:lang w:eastAsia="pt-BR"/>
            <w14:ligatures w14:val="none"/>
          </w:rPr>
          <w:t>X -</w:t>
        </w:r>
      </w:hyperlink>
      <w:r w:rsidRPr="00270368">
        <w:rPr>
          <w:rFonts w:ascii="Book Antiqua" w:eastAsia="Times New Roman" w:hAnsi="Book Antiqua" w:cs="Arial"/>
          <w:color w:val="000000"/>
          <w:kern w:val="0"/>
          <w:sz w:val="19"/>
          <w:szCs w:val="19"/>
          <w:lang w:eastAsia="pt-BR"/>
          <w14:ligatures w14:val="none"/>
        </w:rPr>
        <w:t xml:space="preserve"> induzimento, instigação ou auxílio a suicídio ou a </w:t>
      </w:r>
      <w:proofErr w:type="gramStart"/>
      <w:r w:rsidRPr="00270368">
        <w:rPr>
          <w:rFonts w:ascii="Book Antiqua" w:eastAsia="Times New Roman" w:hAnsi="Book Antiqua" w:cs="Arial"/>
          <w:color w:val="000000"/>
          <w:kern w:val="0"/>
          <w:sz w:val="19"/>
          <w:szCs w:val="19"/>
          <w:lang w:eastAsia="pt-BR"/>
          <w14:ligatures w14:val="none"/>
        </w:rPr>
        <w:t>automutilação realizados</w:t>
      </w:r>
      <w:proofErr w:type="gramEnd"/>
      <w:r w:rsidRPr="00270368">
        <w:rPr>
          <w:rFonts w:ascii="Book Antiqua" w:eastAsia="Times New Roman" w:hAnsi="Book Antiqua" w:cs="Arial"/>
          <w:color w:val="000000"/>
          <w:kern w:val="0"/>
          <w:sz w:val="19"/>
          <w:szCs w:val="19"/>
          <w:lang w:eastAsia="pt-BR"/>
          <w14:ligatures w14:val="none"/>
        </w:rPr>
        <w:t xml:space="preserve"> por meio da rede de computadores, de rede social ou transmitidos em tempo real (art. 122, </w:t>
      </w:r>
      <w:r w:rsidRPr="00270368">
        <w:rPr>
          <w:rFonts w:ascii="Book Antiqua" w:eastAsia="Times New Roman" w:hAnsi="Book Antiqua" w:cs="Arial"/>
          <w:b/>
          <w:bCs/>
          <w:color w:val="000000"/>
          <w:kern w:val="0"/>
          <w:sz w:val="19"/>
          <w:szCs w:val="19"/>
          <w:lang w:eastAsia="pt-BR"/>
          <w14:ligatures w14:val="none"/>
        </w:rPr>
        <w:t>caput</w:t>
      </w:r>
      <w:r w:rsidRPr="00270368">
        <w:rPr>
          <w:rFonts w:ascii="Book Antiqua" w:eastAsia="Times New Roman" w:hAnsi="Book Antiqua" w:cs="Arial"/>
          <w:color w:val="000000"/>
          <w:kern w:val="0"/>
          <w:sz w:val="19"/>
          <w:szCs w:val="19"/>
          <w:lang w:eastAsia="pt-BR"/>
          <w14:ligatures w14:val="none"/>
        </w:rPr>
        <w:t> e § 4º);</w:t>
      </w:r>
    </w:p>
    <w:p w14:paraId="426018B3"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XI - sequestro e cárcere privado cometido contra menor de 18 (dezoito) anos (art. 148, § 1º, inciso IV);</w:t>
      </w:r>
    </w:p>
    <w:p w14:paraId="7BA05A00"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XII - tráfico de pessoas cometido contra criança ou adolescente (art. 149-A, </w:t>
      </w:r>
      <w:r w:rsidRPr="00270368">
        <w:rPr>
          <w:rFonts w:ascii="Book Antiqua" w:eastAsia="Times New Roman" w:hAnsi="Book Antiqua" w:cs="Arial"/>
          <w:b/>
          <w:bCs/>
          <w:color w:val="000000"/>
          <w:kern w:val="0"/>
          <w:sz w:val="19"/>
          <w:szCs w:val="19"/>
          <w:lang w:eastAsia="pt-BR"/>
          <w14:ligatures w14:val="none"/>
        </w:rPr>
        <w:t>caput</w:t>
      </w:r>
      <w:r w:rsidRPr="00270368">
        <w:rPr>
          <w:rFonts w:ascii="Book Antiqua" w:eastAsia="Times New Roman" w:hAnsi="Book Antiqua" w:cs="Arial"/>
          <w:color w:val="000000"/>
          <w:kern w:val="0"/>
          <w:sz w:val="19"/>
          <w:szCs w:val="19"/>
          <w:lang w:eastAsia="pt-BR"/>
          <w14:ligatures w14:val="none"/>
        </w:rPr>
        <w:t>, incisos I a V, e § 1º, inciso II).</w:t>
      </w:r>
    </w:p>
    <w:p w14:paraId="51A99D12"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Parágrafo único. .....................................................................</w:t>
      </w:r>
    </w:p>
    <w:p w14:paraId="72FBAB1B"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w:t>
      </w:r>
    </w:p>
    <w:p w14:paraId="3BE01668"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hyperlink r:id="rId17" w:anchor="art1p-7" w:history="1">
        <w:r w:rsidRPr="00270368">
          <w:rPr>
            <w:rFonts w:ascii="Book Antiqua" w:eastAsia="Times New Roman" w:hAnsi="Book Antiqua" w:cs="Arial"/>
            <w:color w:val="0000FF"/>
            <w:kern w:val="0"/>
            <w:sz w:val="19"/>
            <w:szCs w:val="19"/>
            <w:u w:val="single"/>
            <w:lang w:eastAsia="pt-BR"/>
            <w14:ligatures w14:val="none"/>
          </w:rPr>
          <w:t>VII -</w:t>
        </w:r>
      </w:hyperlink>
      <w:r w:rsidRPr="00270368">
        <w:rPr>
          <w:rFonts w:ascii="Book Antiqua" w:eastAsia="Times New Roman" w:hAnsi="Book Antiqua" w:cs="Arial"/>
          <w:color w:val="000000"/>
          <w:kern w:val="0"/>
          <w:sz w:val="19"/>
          <w:szCs w:val="19"/>
          <w:lang w:eastAsia="pt-BR"/>
          <w14:ligatures w14:val="none"/>
        </w:rPr>
        <w:t> os crimes previstos no </w:t>
      </w:r>
      <w:hyperlink r:id="rId18" w:anchor="art240%C2%A71" w:history="1">
        <w:r w:rsidRPr="00270368">
          <w:rPr>
            <w:rFonts w:ascii="Book Antiqua" w:eastAsia="Times New Roman" w:hAnsi="Book Antiqua" w:cs="Arial"/>
            <w:color w:val="0000FF"/>
            <w:kern w:val="0"/>
            <w:sz w:val="19"/>
            <w:szCs w:val="19"/>
            <w:u w:val="single"/>
            <w:lang w:eastAsia="pt-BR"/>
            <w14:ligatures w14:val="none"/>
          </w:rPr>
          <w:t>§ 1º do art. 240</w:t>
        </w:r>
      </w:hyperlink>
      <w:r w:rsidRPr="00270368">
        <w:rPr>
          <w:rFonts w:ascii="Book Antiqua" w:eastAsia="Times New Roman" w:hAnsi="Book Antiqua" w:cs="Arial"/>
          <w:color w:val="000000"/>
          <w:kern w:val="0"/>
          <w:sz w:val="19"/>
          <w:szCs w:val="19"/>
          <w:lang w:eastAsia="pt-BR"/>
          <w14:ligatures w14:val="none"/>
        </w:rPr>
        <w:t> e no </w:t>
      </w:r>
      <w:hyperlink r:id="rId19" w:anchor="art241b" w:history="1">
        <w:r w:rsidRPr="00270368">
          <w:rPr>
            <w:rFonts w:ascii="Book Antiqua" w:eastAsia="Times New Roman" w:hAnsi="Book Antiqua" w:cs="Arial"/>
            <w:color w:val="0000FF"/>
            <w:kern w:val="0"/>
            <w:sz w:val="19"/>
            <w:szCs w:val="19"/>
            <w:u w:val="single"/>
            <w:lang w:eastAsia="pt-BR"/>
            <w14:ligatures w14:val="none"/>
          </w:rPr>
          <w:t>art. 241-B da Lei nº 8.069, de 13 de julho de 1990</w:t>
        </w:r>
      </w:hyperlink>
      <w:r w:rsidRPr="00270368">
        <w:rPr>
          <w:rFonts w:ascii="Book Antiqua" w:eastAsia="Times New Roman" w:hAnsi="Book Antiqua" w:cs="Arial"/>
          <w:color w:val="000000"/>
          <w:kern w:val="0"/>
          <w:sz w:val="19"/>
          <w:szCs w:val="19"/>
          <w:lang w:eastAsia="pt-BR"/>
          <w14:ligatures w14:val="none"/>
        </w:rPr>
        <w:t> (Estatuto da Criança e do Adolescente).” (NR)</w:t>
      </w:r>
    </w:p>
    <w:p w14:paraId="1EC86754"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 w:name="art8"/>
      <w:bookmarkEnd w:id="7"/>
      <w:r w:rsidRPr="00270368">
        <w:rPr>
          <w:rFonts w:ascii="Book Antiqua" w:eastAsia="Times New Roman" w:hAnsi="Book Antiqua" w:cs="Arial"/>
          <w:color w:val="000000"/>
          <w:kern w:val="0"/>
          <w:sz w:val="19"/>
          <w:szCs w:val="19"/>
          <w:lang w:eastAsia="pt-BR"/>
          <w14:ligatures w14:val="none"/>
        </w:rPr>
        <w:t xml:space="preserve">Art. 8º Os </w:t>
      </w:r>
      <w:proofErr w:type="spellStart"/>
      <w:r w:rsidRPr="00270368">
        <w:rPr>
          <w:rFonts w:ascii="Book Antiqua" w:eastAsia="Times New Roman" w:hAnsi="Book Antiqua" w:cs="Arial"/>
          <w:color w:val="000000"/>
          <w:kern w:val="0"/>
          <w:sz w:val="19"/>
          <w:szCs w:val="19"/>
          <w:lang w:eastAsia="pt-BR"/>
          <w14:ligatures w14:val="none"/>
        </w:rPr>
        <w:t>arts</w:t>
      </w:r>
      <w:proofErr w:type="spellEnd"/>
      <w:r w:rsidRPr="00270368">
        <w:rPr>
          <w:rFonts w:ascii="Book Antiqua" w:eastAsia="Times New Roman" w:hAnsi="Book Antiqua" w:cs="Arial"/>
          <w:color w:val="000000"/>
          <w:kern w:val="0"/>
          <w:sz w:val="19"/>
          <w:szCs w:val="19"/>
          <w:lang w:eastAsia="pt-BR"/>
          <w14:ligatures w14:val="none"/>
        </w:rPr>
        <w:t>. 240 e 247 da </w:t>
      </w:r>
      <w:hyperlink r:id="rId20" w:history="1">
        <w:r w:rsidRPr="00270368">
          <w:rPr>
            <w:rFonts w:ascii="Book Antiqua" w:eastAsia="Times New Roman" w:hAnsi="Book Antiqua" w:cs="Arial"/>
            <w:color w:val="0000FF"/>
            <w:kern w:val="0"/>
            <w:sz w:val="19"/>
            <w:szCs w:val="19"/>
            <w:u w:val="single"/>
            <w:lang w:eastAsia="pt-BR"/>
            <w14:ligatures w14:val="none"/>
          </w:rPr>
          <w:t>Lei nº 8.069, de 13 de julho de 1990</w:t>
        </w:r>
      </w:hyperlink>
      <w:r w:rsidRPr="00270368">
        <w:rPr>
          <w:rFonts w:ascii="Book Antiqua" w:eastAsia="Times New Roman" w:hAnsi="Book Antiqua" w:cs="Arial"/>
          <w:color w:val="000000"/>
          <w:kern w:val="0"/>
          <w:sz w:val="19"/>
          <w:szCs w:val="19"/>
          <w:lang w:eastAsia="pt-BR"/>
          <w14:ligatures w14:val="none"/>
        </w:rPr>
        <w:t> (Estatuto da Criança e do Adolescente), passam a vigorar com as seguintes alterações:</w:t>
      </w:r>
    </w:p>
    <w:p w14:paraId="0930C94D"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“Art. 240 .................................................................................</w:t>
      </w:r>
    </w:p>
    <w:p w14:paraId="2FA742E6"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hyperlink r:id="rId21" w:anchor="art240%C2%A71.0" w:history="1">
        <w:r w:rsidRPr="00270368">
          <w:rPr>
            <w:rFonts w:ascii="Book Antiqua" w:eastAsia="Times New Roman" w:hAnsi="Book Antiqua" w:cs="Arial"/>
            <w:color w:val="0000FF"/>
            <w:kern w:val="0"/>
            <w:sz w:val="19"/>
            <w:szCs w:val="19"/>
            <w:u w:val="single"/>
            <w:lang w:eastAsia="pt-BR"/>
            <w14:ligatures w14:val="none"/>
          </w:rPr>
          <w:t>§ 1º</w:t>
        </w:r>
      </w:hyperlink>
      <w:r w:rsidRPr="00270368">
        <w:rPr>
          <w:rFonts w:ascii="Book Antiqua" w:eastAsia="Times New Roman" w:hAnsi="Book Antiqua" w:cs="Arial"/>
          <w:color w:val="000000"/>
          <w:kern w:val="0"/>
          <w:sz w:val="19"/>
          <w:szCs w:val="19"/>
          <w:lang w:eastAsia="pt-BR"/>
          <w14:ligatures w14:val="none"/>
        </w:rPr>
        <w:t> Incorre nas mesmas penas quem:</w:t>
      </w:r>
    </w:p>
    <w:p w14:paraId="3EBE46AC"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I - agencia, facilita, recruta, coage ou de qualquer modo intermedeia a participação de criança ou adolescente nas cenas referidas no </w:t>
      </w:r>
      <w:r w:rsidRPr="00270368">
        <w:rPr>
          <w:rFonts w:ascii="Book Antiqua" w:eastAsia="Times New Roman" w:hAnsi="Book Antiqua" w:cs="Arial"/>
          <w:b/>
          <w:bCs/>
          <w:color w:val="000000"/>
          <w:kern w:val="0"/>
          <w:sz w:val="19"/>
          <w:szCs w:val="19"/>
          <w:lang w:eastAsia="pt-BR"/>
          <w14:ligatures w14:val="none"/>
        </w:rPr>
        <w:t>caput</w:t>
      </w:r>
      <w:r w:rsidRPr="00270368">
        <w:rPr>
          <w:rFonts w:ascii="Book Antiqua" w:eastAsia="Times New Roman" w:hAnsi="Book Antiqua" w:cs="Arial"/>
          <w:color w:val="000000"/>
          <w:kern w:val="0"/>
          <w:sz w:val="19"/>
          <w:szCs w:val="19"/>
          <w:lang w:eastAsia="pt-BR"/>
          <w14:ligatures w14:val="none"/>
        </w:rPr>
        <w:t> deste artigo, ou ainda quem com esses contracena;</w:t>
      </w:r>
    </w:p>
    <w:p w14:paraId="24AA1B83"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 xml:space="preserve">II - </w:t>
      </w:r>
      <w:proofErr w:type="gramStart"/>
      <w:r w:rsidRPr="00270368">
        <w:rPr>
          <w:rFonts w:ascii="Book Antiqua" w:eastAsia="Times New Roman" w:hAnsi="Book Antiqua" w:cs="Arial"/>
          <w:color w:val="000000"/>
          <w:kern w:val="0"/>
          <w:sz w:val="19"/>
          <w:szCs w:val="19"/>
          <w:lang w:eastAsia="pt-BR"/>
          <w14:ligatures w14:val="none"/>
        </w:rPr>
        <w:t>exibe</w:t>
      </w:r>
      <w:proofErr w:type="gramEnd"/>
      <w:r w:rsidRPr="00270368">
        <w:rPr>
          <w:rFonts w:ascii="Book Antiqua" w:eastAsia="Times New Roman" w:hAnsi="Book Antiqua" w:cs="Arial"/>
          <w:color w:val="000000"/>
          <w:kern w:val="0"/>
          <w:sz w:val="19"/>
          <w:szCs w:val="19"/>
          <w:lang w:eastAsia="pt-BR"/>
          <w14:ligatures w14:val="none"/>
        </w:rPr>
        <w:t>, transmite, auxilia ou facilita a exibição ou transmissão, em tempo real, pela internet, por aplicativos, por meio de dispositivo informático ou qualquer meio ou ambiente digital, de cena de sexo explícito ou pornográfica com a participação de criança ou adolescente.</w:t>
      </w:r>
    </w:p>
    <w:p w14:paraId="2CEE4110"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 ” (NR)</w:t>
      </w:r>
    </w:p>
    <w:p w14:paraId="4B42DFCC"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“Art. 247 .................................................................................</w:t>
      </w:r>
    </w:p>
    <w:p w14:paraId="5F907EE8"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hyperlink r:id="rId22" w:anchor="art247%C2%A71.0" w:history="1">
        <w:r w:rsidRPr="00270368">
          <w:rPr>
            <w:rFonts w:ascii="Book Antiqua" w:eastAsia="Times New Roman" w:hAnsi="Book Antiqua" w:cs="Arial"/>
            <w:color w:val="0000FF"/>
            <w:kern w:val="0"/>
            <w:sz w:val="19"/>
            <w:szCs w:val="19"/>
            <w:u w:val="single"/>
            <w:lang w:eastAsia="pt-BR"/>
            <w14:ligatures w14:val="none"/>
          </w:rPr>
          <w:t>§ 1º</w:t>
        </w:r>
      </w:hyperlink>
      <w:r w:rsidRPr="00270368">
        <w:rPr>
          <w:rFonts w:ascii="Book Antiqua" w:eastAsia="Times New Roman" w:hAnsi="Book Antiqua" w:cs="Arial"/>
          <w:color w:val="000000"/>
          <w:kern w:val="0"/>
          <w:sz w:val="19"/>
          <w:szCs w:val="19"/>
          <w:lang w:eastAsia="pt-BR"/>
          <w14:ligatures w14:val="none"/>
        </w:rPr>
        <w:t> Incorre na mesma pena quem exibe ou transmite imagem, vídeo ou corrente de vídeo de criança ou adolescente envolvido em ato infracional ou em outro ato ilícito que lhe seja atribuído, de forma a permitir sua identificação.</w:t>
      </w:r>
    </w:p>
    <w:p w14:paraId="45617667"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 ” (NR)</w:t>
      </w:r>
    </w:p>
    <w:p w14:paraId="47082B61"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 w:name="art9"/>
      <w:bookmarkEnd w:id="8"/>
      <w:r w:rsidRPr="00270368">
        <w:rPr>
          <w:rFonts w:ascii="Book Antiqua" w:eastAsia="Times New Roman" w:hAnsi="Book Antiqua" w:cs="Arial"/>
          <w:color w:val="000000"/>
          <w:kern w:val="0"/>
          <w:sz w:val="19"/>
          <w:szCs w:val="19"/>
          <w:lang w:eastAsia="pt-BR"/>
          <w14:ligatures w14:val="none"/>
        </w:rPr>
        <w:t>Art. 9º A </w:t>
      </w:r>
      <w:hyperlink r:id="rId23" w:history="1">
        <w:r w:rsidRPr="00270368">
          <w:rPr>
            <w:rFonts w:ascii="Book Antiqua" w:eastAsia="Times New Roman" w:hAnsi="Book Antiqua" w:cs="Arial"/>
            <w:color w:val="0000FF"/>
            <w:kern w:val="0"/>
            <w:sz w:val="19"/>
            <w:szCs w:val="19"/>
            <w:u w:val="single"/>
            <w:lang w:eastAsia="pt-BR"/>
            <w14:ligatures w14:val="none"/>
          </w:rPr>
          <w:t>Lei nº 8.069, de 13 de julho de 1990</w:t>
        </w:r>
      </w:hyperlink>
      <w:r w:rsidRPr="00270368">
        <w:rPr>
          <w:rFonts w:ascii="Book Antiqua" w:eastAsia="Times New Roman" w:hAnsi="Book Antiqua" w:cs="Arial"/>
          <w:color w:val="000000"/>
          <w:kern w:val="0"/>
          <w:sz w:val="19"/>
          <w:szCs w:val="19"/>
          <w:lang w:eastAsia="pt-BR"/>
          <w14:ligatures w14:val="none"/>
        </w:rPr>
        <w:t xml:space="preserve"> (Estatuto da Criança e do Adolescente), passa a vigorar acrescida dos seguintes </w:t>
      </w:r>
      <w:proofErr w:type="spellStart"/>
      <w:r w:rsidRPr="00270368">
        <w:rPr>
          <w:rFonts w:ascii="Book Antiqua" w:eastAsia="Times New Roman" w:hAnsi="Book Antiqua" w:cs="Arial"/>
          <w:color w:val="000000"/>
          <w:kern w:val="0"/>
          <w:sz w:val="19"/>
          <w:szCs w:val="19"/>
          <w:lang w:eastAsia="pt-BR"/>
          <w14:ligatures w14:val="none"/>
        </w:rPr>
        <w:t>arts</w:t>
      </w:r>
      <w:proofErr w:type="spellEnd"/>
      <w:r w:rsidRPr="00270368">
        <w:rPr>
          <w:rFonts w:ascii="Book Antiqua" w:eastAsia="Times New Roman" w:hAnsi="Book Antiqua" w:cs="Arial"/>
          <w:color w:val="000000"/>
          <w:kern w:val="0"/>
          <w:sz w:val="19"/>
          <w:szCs w:val="19"/>
          <w:lang w:eastAsia="pt-BR"/>
          <w14:ligatures w14:val="none"/>
        </w:rPr>
        <w:t>. 59-A e 244-C:</w:t>
      </w:r>
    </w:p>
    <w:p w14:paraId="1F74F98A"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hyperlink r:id="rId24" w:anchor="art59a" w:history="1">
        <w:r w:rsidRPr="00270368">
          <w:rPr>
            <w:rFonts w:ascii="Book Antiqua" w:eastAsia="Times New Roman" w:hAnsi="Book Antiqua" w:cs="Arial"/>
            <w:color w:val="0000FF"/>
            <w:kern w:val="0"/>
            <w:sz w:val="19"/>
            <w:szCs w:val="19"/>
            <w:u w:val="single"/>
            <w:lang w:eastAsia="pt-BR"/>
            <w14:ligatures w14:val="none"/>
          </w:rPr>
          <w:t>“Art. 59-A</w:t>
        </w:r>
      </w:hyperlink>
      <w:r w:rsidRPr="00270368">
        <w:rPr>
          <w:rFonts w:ascii="Book Antiqua" w:eastAsia="Times New Roman" w:hAnsi="Book Antiqua" w:cs="Arial"/>
          <w:color w:val="000000"/>
          <w:kern w:val="0"/>
          <w:sz w:val="19"/>
          <w:szCs w:val="19"/>
          <w:lang w:eastAsia="pt-BR"/>
          <w14:ligatures w14:val="none"/>
        </w:rPr>
        <w:t>. As instituições sociais públicas ou privadas que desenvolvam atividades com crianças e adolescentes e que recebam recursos públicos deverão exigir e manter certidões de antecedentes criminais de todos os seus colaboradores, as quais deverão ser atualizadas a cada 6 (seis) meses.</w:t>
      </w:r>
    </w:p>
    <w:p w14:paraId="6595D9AE"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Parágrafo único. Os estabelecimentos educacionais e similares, públicos ou privados, que desenvolvem atividades com crianças e adolescentes, independentemente de recebimento de recursos públicos, deverão manter fichas cadastrais e certidões de antecedentes criminais atualizadas de todos os seus colaboradores.”</w:t>
      </w:r>
    </w:p>
    <w:p w14:paraId="40CCCB0B"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w:t>
      </w:r>
      <w:hyperlink r:id="rId25" w:anchor="art244c" w:history="1">
        <w:r w:rsidRPr="00270368">
          <w:rPr>
            <w:rFonts w:ascii="Book Antiqua" w:eastAsia="Times New Roman" w:hAnsi="Book Antiqua" w:cs="Arial"/>
            <w:color w:val="0000FF"/>
            <w:kern w:val="0"/>
            <w:sz w:val="19"/>
            <w:szCs w:val="19"/>
            <w:u w:val="single"/>
            <w:lang w:eastAsia="pt-BR"/>
            <w14:ligatures w14:val="none"/>
          </w:rPr>
          <w:t>Art. 244-C</w:t>
        </w:r>
      </w:hyperlink>
      <w:r w:rsidRPr="00270368">
        <w:rPr>
          <w:rFonts w:ascii="Book Antiqua" w:eastAsia="Times New Roman" w:hAnsi="Book Antiqua" w:cs="Arial"/>
          <w:color w:val="000000"/>
          <w:kern w:val="0"/>
          <w:sz w:val="19"/>
          <w:szCs w:val="19"/>
          <w:lang w:eastAsia="pt-BR"/>
          <w14:ligatures w14:val="none"/>
        </w:rPr>
        <w:t>. Deixar o pai, a mãe ou o responsável legal, de forma dolosa, de comunicar à autoridade pública o desaparecimento de criança ou adolescente:</w:t>
      </w:r>
    </w:p>
    <w:p w14:paraId="0B962EE1" w14:textId="77777777" w:rsidR="00270368" w:rsidRPr="00270368" w:rsidRDefault="00270368" w:rsidP="0027036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Pena - reclusão, de 2 (dois) a 4 (quatro) anos, e multa.”</w:t>
      </w:r>
    </w:p>
    <w:p w14:paraId="1B9124F7" w14:textId="77777777" w:rsidR="00270368" w:rsidRPr="00270368" w:rsidRDefault="00270368" w:rsidP="00270368">
      <w:pPr>
        <w:spacing w:before="100" w:beforeAutospacing="1" w:after="100" w:afterAutospacing="1" w:line="240" w:lineRule="auto"/>
        <w:ind w:firstLine="567"/>
        <w:rPr>
          <w:rFonts w:ascii="Book Antiqua" w:eastAsia="Times New Roman" w:hAnsi="Book Antiqua" w:cs="Times New Roman"/>
          <w:color w:val="000000"/>
          <w:kern w:val="0"/>
          <w:sz w:val="19"/>
          <w:szCs w:val="19"/>
          <w:lang w:eastAsia="pt-BR"/>
          <w14:ligatures w14:val="none"/>
        </w:rPr>
      </w:pPr>
      <w:bookmarkStart w:id="9" w:name="art10"/>
      <w:bookmarkEnd w:id="9"/>
      <w:r w:rsidRPr="00270368">
        <w:rPr>
          <w:rFonts w:ascii="Book Antiqua" w:eastAsia="Times New Roman" w:hAnsi="Book Antiqua" w:cs="Arial"/>
          <w:color w:val="000000"/>
          <w:kern w:val="0"/>
          <w:sz w:val="19"/>
          <w:szCs w:val="19"/>
          <w:lang w:eastAsia="pt-BR"/>
          <w14:ligatures w14:val="none"/>
        </w:rPr>
        <w:t>Art. 10. Esta Lei entra em vigor na data de sua publicação. </w:t>
      </w:r>
    </w:p>
    <w:p w14:paraId="2A43C630" w14:textId="77777777" w:rsidR="00270368" w:rsidRPr="00270368" w:rsidRDefault="00270368" w:rsidP="00270368">
      <w:pPr>
        <w:spacing w:before="100" w:beforeAutospacing="1" w:after="100" w:afterAutospacing="1" w:line="240" w:lineRule="auto"/>
        <w:ind w:firstLine="567"/>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Brasília, 12 de janeiro de 2024; 203</w:t>
      </w:r>
      <w:r w:rsidRPr="00270368">
        <w:rPr>
          <w:rFonts w:ascii="Book Antiqua" w:eastAsia="Times New Roman" w:hAnsi="Book Antiqua" w:cs="Arial"/>
          <w:color w:val="000000"/>
          <w:kern w:val="0"/>
          <w:sz w:val="19"/>
          <w:szCs w:val="19"/>
          <w:u w:val="single"/>
          <w:vertAlign w:val="superscript"/>
          <w:lang w:eastAsia="pt-BR"/>
          <w14:ligatures w14:val="none"/>
        </w:rPr>
        <w:t>o</w:t>
      </w:r>
      <w:r w:rsidRPr="00270368">
        <w:rPr>
          <w:rFonts w:ascii="Book Antiqua" w:eastAsia="Times New Roman" w:hAnsi="Book Antiqua" w:cs="Arial"/>
          <w:color w:val="000000"/>
          <w:kern w:val="0"/>
          <w:sz w:val="19"/>
          <w:szCs w:val="19"/>
          <w:lang w:eastAsia="pt-BR"/>
          <w14:ligatures w14:val="none"/>
        </w:rPr>
        <w:t> da Independência e 136</w:t>
      </w:r>
      <w:r w:rsidRPr="00270368">
        <w:rPr>
          <w:rFonts w:ascii="Book Antiqua" w:eastAsia="Times New Roman" w:hAnsi="Book Antiqua" w:cs="Arial"/>
          <w:color w:val="000000"/>
          <w:kern w:val="0"/>
          <w:sz w:val="19"/>
          <w:szCs w:val="19"/>
          <w:u w:val="single"/>
          <w:vertAlign w:val="superscript"/>
          <w:lang w:eastAsia="pt-BR"/>
          <w14:ligatures w14:val="none"/>
        </w:rPr>
        <w:t>o</w:t>
      </w:r>
      <w:r w:rsidRPr="00270368">
        <w:rPr>
          <w:rFonts w:ascii="Book Antiqua" w:eastAsia="Times New Roman" w:hAnsi="Book Antiqua" w:cs="Arial"/>
          <w:color w:val="000000"/>
          <w:kern w:val="0"/>
          <w:sz w:val="19"/>
          <w:szCs w:val="19"/>
          <w:lang w:eastAsia="pt-BR"/>
          <w14:ligatures w14:val="none"/>
        </w:rPr>
        <w:t> da República.</w:t>
      </w:r>
    </w:p>
    <w:p w14:paraId="0516EA98" w14:textId="77777777" w:rsidR="00270368" w:rsidRPr="00270368" w:rsidRDefault="00270368" w:rsidP="00270368">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000000"/>
          <w:kern w:val="0"/>
          <w:sz w:val="19"/>
          <w:szCs w:val="19"/>
          <w:lang w:eastAsia="pt-BR"/>
          <w14:ligatures w14:val="none"/>
        </w:rPr>
        <w:t>LUIZ INÁCIO LULA DA SILVA</w:t>
      </w:r>
      <w:r w:rsidRPr="00270368">
        <w:rPr>
          <w:rFonts w:ascii="Book Antiqua" w:eastAsia="Times New Roman" w:hAnsi="Book Antiqua" w:cs="Arial"/>
          <w:color w:val="000000"/>
          <w:kern w:val="0"/>
          <w:sz w:val="19"/>
          <w:szCs w:val="19"/>
          <w:lang w:eastAsia="pt-BR"/>
          <w14:ligatures w14:val="none"/>
        </w:rPr>
        <w:br/>
      </w:r>
      <w:r w:rsidRPr="00270368">
        <w:rPr>
          <w:rFonts w:ascii="Book Antiqua" w:eastAsia="Times New Roman" w:hAnsi="Book Antiqua" w:cs="Arial"/>
          <w:i/>
          <w:iCs/>
          <w:color w:val="000000"/>
          <w:kern w:val="0"/>
          <w:sz w:val="19"/>
          <w:szCs w:val="19"/>
          <w:lang w:eastAsia="pt-BR"/>
          <w14:ligatures w14:val="none"/>
        </w:rPr>
        <w:t>Camilo Sobreira de Santana</w:t>
      </w:r>
      <w:r w:rsidRPr="00270368">
        <w:rPr>
          <w:rFonts w:ascii="Book Antiqua" w:eastAsia="Times New Roman" w:hAnsi="Book Antiqua" w:cs="Arial"/>
          <w:i/>
          <w:iCs/>
          <w:color w:val="000000"/>
          <w:kern w:val="0"/>
          <w:sz w:val="19"/>
          <w:szCs w:val="19"/>
          <w:lang w:eastAsia="pt-BR"/>
          <w14:ligatures w14:val="none"/>
        </w:rPr>
        <w:br/>
        <w:t>Flávio Dino de Castro e Costa</w:t>
      </w:r>
      <w:r w:rsidRPr="00270368">
        <w:rPr>
          <w:rFonts w:ascii="Book Antiqua" w:eastAsia="Times New Roman" w:hAnsi="Book Antiqua" w:cs="Arial"/>
          <w:i/>
          <w:iCs/>
          <w:color w:val="000000"/>
          <w:kern w:val="0"/>
          <w:sz w:val="19"/>
          <w:szCs w:val="19"/>
          <w:lang w:eastAsia="pt-BR"/>
          <w14:ligatures w14:val="none"/>
        </w:rPr>
        <w:br/>
        <w:t>Nísia Verônica Trindade Lima</w:t>
      </w:r>
    </w:p>
    <w:p w14:paraId="5B3283D0" w14:textId="77777777" w:rsidR="00270368" w:rsidRPr="00270368" w:rsidRDefault="00270368" w:rsidP="00270368">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FF0000"/>
          <w:kern w:val="0"/>
          <w:sz w:val="19"/>
          <w:szCs w:val="19"/>
          <w:lang w:eastAsia="pt-BR"/>
          <w14:ligatures w14:val="none"/>
        </w:rPr>
        <w:t>Este texto não substitui o publicado no DOU de 15.1.2024.</w:t>
      </w:r>
    </w:p>
    <w:p w14:paraId="3BF79E0D" w14:textId="77777777" w:rsidR="00270368" w:rsidRPr="00270368" w:rsidRDefault="00270368" w:rsidP="00270368">
      <w:pPr>
        <w:spacing w:before="100" w:beforeAutospacing="1" w:after="100" w:afterAutospacing="1" w:line="240" w:lineRule="auto"/>
        <w:ind w:right="284"/>
        <w:jc w:val="center"/>
        <w:rPr>
          <w:rFonts w:ascii="Book Antiqua" w:eastAsia="Times New Roman" w:hAnsi="Book Antiqua" w:cs="Times New Roman"/>
          <w:color w:val="000000"/>
          <w:kern w:val="0"/>
          <w:sz w:val="19"/>
          <w:szCs w:val="19"/>
          <w:lang w:eastAsia="pt-BR"/>
          <w14:ligatures w14:val="none"/>
        </w:rPr>
      </w:pPr>
      <w:r w:rsidRPr="00270368">
        <w:rPr>
          <w:rFonts w:ascii="Book Antiqua" w:eastAsia="Times New Roman" w:hAnsi="Book Antiqua" w:cs="Arial"/>
          <w:color w:val="FF0000"/>
          <w:kern w:val="0"/>
          <w:sz w:val="19"/>
          <w:szCs w:val="19"/>
          <w:lang w:eastAsia="pt-BR"/>
          <w14:ligatures w14:val="none"/>
        </w:rPr>
        <w:t>*</w:t>
      </w:r>
    </w:p>
    <w:p w14:paraId="440DAC73" w14:textId="77777777" w:rsidR="00BB7FE6" w:rsidRPr="00270368" w:rsidRDefault="00BB7FE6" w:rsidP="00270368">
      <w:pPr>
        <w:spacing w:before="100" w:beforeAutospacing="1" w:after="100" w:afterAutospacing="1" w:line="240" w:lineRule="auto"/>
        <w:rPr>
          <w:rFonts w:ascii="Book Antiqua" w:hAnsi="Book Antiqua"/>
          <w:sz w:val="19"/>
          <w:szCs w:val="19"/>
        </w:rPr>
      </w:pPr>
    </w:p>
    <w:sectPr w:rsidR="00BB7FE6" w:rsidRPr="00270368" w:rsidSect="00993FBF">
      <w:pgSz w:w="11906" w:h="16838"/>
      <w:pgMar w:top="1134"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5F9"/>
    <w:rsid w:val="00270368"/>
    <w:rsid w:val="00993FBF"/>
    <w:rsid w:val="009C45F9"/>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78E333-8FBE-46A5-86B2-DE84CE5B4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111972">
      <w:bodyDiv w:val="1"/>
      <w:marLeft w:val="0"/>
      <w:marRight w:val="0"/>
      <w:marTop w:val="0"/>
      <w:marBottom w:val="0"/>
      <w:divBdr>
        <w:top w:val="none" w:sz="0" w:space="0" w:color="auto"/>
        <w:left w:val="none" w:sz="0" w:space="0" w:color="auto"/>
        <w:bottom w:val="none" w:sz="0" w:space="0" w:color="auto"/>
        <w:right w:val="none" w:sz="0" w:space="0" w:color="auto"/>
      </w:divBdr>
      <w:divsChild>
        <w:div w:id="19272295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3903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97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9710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2738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7241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3380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327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92887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167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_Ato2015-2018/2017/Lei/L13431.htm" TargetMode="External"/><Relationship Id="rId13" Type="http://schemas.openxmlformats.org/officeDocument/2006/relationships/hyperlink" Target="https://www.planalto.gov.br/ccivil_03/Decreto-Lei/Del2848.htm" TargetMode="External"/><Relationship Id="rId18" Type="http://schemas.openxmlformats.org/officeDocument/2006/relationships/hyperlink" Target="https://www.planalto.gov.br/ccivil_03/LEIS/L8069.htm"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www.planalto.gov.br/ccivil_03/LEIS/L8069.htm" TargetMode="External"/><Relationship Id="rId7" Type="http://schemas.openxmlformats.org/officeDocument/2006/relationships/hyperlink" Target="https://www.planalto.gov.br/ccivil_03/_Ato2015-2018/2015/Lei/L13185.htm" TargetMode="External"/><Relationship Id="rId12" Type="http://schemas.openxmlformats.org/officeDocument/2006/relationships/hyperlink" Target="https://www.planalto.gov.br/ccivil_03/Decreto-Lei/Del2848.htm" TargetMode="External"/><Relationship Id="rId17" Type="http://schemas.openxmlformats.org/officeDocument/2006/relationships/hyperlink" Target="https://www.planalto.gov.br/ccivil_03/LEIS/L8072.htm" TargetMode="External"/><Relationship Id="rId25" Type="http://schemas.openxmlformats.org/officeDocument/2006/relationships/hyperlink" Target="https://www.planalto.gov.br/ccivil_03/LEIS/L8069.htm" TargetMode="External"/><Relationship Id="rId2" Type="http://schemas.openxmlformats.org/officeDocument/2006/relationships/settings" Target="settings.xml"/><Relationship Id="rId16" Type="http://schemas.openxmlformats.org/officeDocument/2006/relationships/hyperlink" Target="https://www.planalto.gov.br/ccivil_03/LEIS/L8072.htm" TargetMode="External"/><Relationship Id="rId20" Type="http://schemas.openxmlformats.org/officeDocument/2006/relationships/hyperlink" Target="https://www.planalto.gov.br/ccivil_03/LEIS/L8069.htm" TargetMode="External"/><Relationship Id="rId1" Type="http://schemas.openxmlformats.org/officeDocument/2006/relationships/styles" Target="styles.xml"/><Relationship Id="rId6" Type="http://schemas.openxmlformats.org/officeDocument/2006/relationships/hyperlink" Target="https://www.planalto.gov.br/ccivil_03/LEIS/L8069.htm" TargetMode="External"/><Relationship Id="rId11" Type="http://schemas.openxmlformats.org/officeDocument/2006/relationships/hyperlink" Target="https://www.planalto.gov.br/ccivil_03/Decreto-Lei/Del2848.htm" TargetMode="External"/><Relationship Id="rId24" Type="http://schemas.openxmlformats.org/officeDocument/2006/relationships/hyperlink" Target="https://www.planalto.gov.br/ccivil_03/LEIS/L8069.htm" TargetMode="External"/><Relationship Id="rId5" Type="http://schemas.openxmlformats.org/officeDocument/2006/relationships/hyperlink" Target="https://www.planalto.gov.br/ccivil_03/LEIS/L8072.htm" TargetMode="External"/><Relationship Id="rId15" Type="http://schemas.openxmlformats.org/officeDocument/2006/relationships/hyperlink" Target="https://www.planalto.gov.br/ccivil_03/LEIS/L8072.htm" TargetMode="External"/><Relationship Id="rId23" Type="http://schemas.openxmlformats.org/officeDocument/2006/relationships/hyperlink" Target="https://www.planalto.gov.br/ccivil_03/LEIS/L8069.htm" TargetMode="External"/><Relationship Id="rId10" Type="http://schemas.openxmlformats.org/officeDocument/2006/relationships/hyperlink" Target="https://www.planalto.gov.br/ccivil_03/Decreto-Lei/Del2848.htm" TargetMode="External"/><Relationship Id="rId19" Type="http://schemas.openxmlformats.org/officeDocument/2006/relationships/hyperlink" Target="https://www.planalto.gov.br/ccivil_03/LEIS/L8069.htm" TargetMode="External"/><Relationship Id="rId4" Type="http://schemas.openxmlformats.org/officeDocument/2006/relationships/hyperlink" Target="https://www.planalto.gov.br/ccivil_03/Decreto-Lei/Del2848.htm" TargetMode="External"/><Relationship Id="rId9" Type="http://schemas.openxmlformats.org/officeDocument/2006/relationships/hyperlink" Target="https://www.planalto.gov.br/ccivil_03/_Ato2019-2022/2022/Lei/L14344.htm" TargetMode="External"/><Relationship Id="rId14" Type="http://schemas.openxmlformats.org/officeDocument/2006/relationships/hyperlink" Target="https://www.planalto.gov.br/ccivil_03/Decreto-Lei/Del2848.htm" TargetMode="External"/><Relationship Id="rId22" Type="http://schemas.openxmlformats.org/officeDocument/2006/relationships/hyperlink" Target="https://www.planalto.gov.br/ccivil_03/LEIS/L8069.htm" TargetMode="External"/><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1956</Words>
  <Characters>10565</Characters>
  <Application>Microsoft Office Word</Application>
  <DocSecurity>0</DocSecurity>
  <Lines>88</Lines>
  <Paragraphs>24</Paragraphs>
  <ScaleCrop>false</ScaleCrop>
  <Company/>
  <LinksUpToDate>false</LinksUpToDate>
  <CharactersWithSpaces>12497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2024-01-15T18:38:00Z</dcterms:created>
  <dcterms:modified xsi:type="dcterms:W3CDTF">2024-01-15T18:39:00Z</dcterms:modified>
</cp:coreProperties>
</file>