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C74D2" w14:textId="1BC7CECF" w:rsidR="00165D6E" w:rsidRPr="00165D6E" w:rsidRDefault="00165D6E" w:rsidP="00165D6E">
      <w:pPr>
        <w:spacing w:before="100" w:beforeAutospacing="1" w:after="100" w:afterAutospacing="1" w:line="240" w:lineRule="auto"/>
        <w:jc w:val="center"/>
        <w:rPr>
          <w:rFonts w:ascii="Book Antiqua" w:hAnsi="Book Antiqua"/>
          <w:b/>
          <w:bCs/>
          <w:color w:val="FF0000"/>
          <w:sz w:val="19"/>
          <w:szCs w:val="19"/>
        </w:rPr>
      </w:pPr>
      <w:r w:rsidRPr="00165D6E">
        <w:rPr>
          <w:rFonts w:ascii="Book Antiqua" w:hAnsi="Book Antiqua"/>
          <w:b/>
          <w:bCs/>
          <w:color w:val="FF0000"/>
          <w:sz w:val="19"/>
          <w:szCs w:val="19"/>
        </w:rPr>
        <w:t xml:space="preserve">(Atualização em </w:t>
      </w:r>
      <w:r w:rsidR="00C2663D">
        <w:rPr>
          <w:rFonts w:ascii="Book Antiqua" w:hAnsi="Book Antiqua"/>
          <w:b/>
          <w:bCs/>
          <w:color w:val="FF0000"/>
          <w:sz w:val="19"/>
          <w:szCs w:val="19"/>
        </w:rPr>
        <w:t>15/0</w:t>
      </w:r>
      <w:r w:rsidR="003F0CD4">
        <w:rPr>
          <w:rFonts w:ascii="Book Antiqua" w:hAnsi="Book Antiqua"/>
          <w:b/>
          <w:bCs/>
          <w:color w:val="FF0000"/>
          <w:sz w:val="19"/>
          <w:szCs w:val="19"/>
        </w:rPr>
        <w:t>6</w:t>
      </w:r>
      <w:r w:rsidR="00C2663D">
        <w:rPr>
          <w:rFonts w:ascii="Book Antiqua" w:hAnsi="Book Antiqua"/>
          <w:b/>
          <w:bCs/>
          <w:color w:val="FF0000"/>
          <w:sz w:val="19"/>
          <w:szCs w:val="19"/>
        </w:rPr>
        <w:t>/202</w:t>
      </w:r>
      <w:r w:rsidR="003F0CD4">
        <w:rPr>
          <w:rFonts w:ascii="Book Antiqua" w:hAnsi="Book Antiqua"/>
          <w:b/>
          <w:bCs/>
          <w:color w:val="FF0000"/>
          <w:sz w:val="19"/>
          <w:szCs w:val="19"/>
        </w:rPr>
        <w:t>5</w:t>
      </w:r>
      <w:r w:rsidRPr="00165D6E">
        <w:rPr>
          <w:rFonts w:ascii="Book Antiqua" w:hAnsi="Book Antiqua"/>
          <w:b/>
          <w:bCs/>
          <w:color w:val="FF0000"/>
          <w:sz w:val="19"/>
          <w:szCs w:val="19"/>
        </w:rPr>
        <w:t>: questões de concurso</w:t>
      </w:r>
      <w:r w:rsidR="003F0CD4">
        <w:rPr>
          <w:rFonts w:ascii="Book Antiqua" w:hAnsi="Book Antiqua"/>
          <w:b/>
          <w:bCs/>
          <w:color w:val="FF0000"/>
          <w:sz w:val="19"/>
          <w:szCs w:val="19"/>
        </w:rPr>
        <w:t xml:space="preserve">; Revogada pela </w:t>
      </w:r>
      <w:r w:rsidR="003F0CD4" w:rsidRPr="003F0CD4">
        <w:rPr>
          <w:rFonts w:ascii="Book Antiqua" w:hAnsi="Book Antiqua"/>
          <w:b/>
          <w:bCs/>
          <w:color w:val="FF0000"/>
          <w:sz w:val="19"/>
          <w:szCs w:val="19"/>
        </w:rPr>
        <w:t>Lei nº 15.142, de 3.6.2025</w:t>
      </w:r>
      <w:r w:rsidRPr="00165D6E">
        <w:rPr>
          <w:rFonts w:ascii="Book Antiqua" w:hAnsi="Book Antiqua"/>
          <w:b/>
          <w:bCs/>
          <w:color w:val="FF0000"/>
          <w:sz w:val="19"/>
          <w:szCs w:val="19"/>
        </w:rPr>
        <w:t>)</w:t>
      </w:r>
    </w:p>
    <w:p w14:paraId="01F6F8DB" w14:textId="04E14CD0" w:rsidR="00BC7C72" w:rsidRPr="00BC7C72" w:rsidRDefault="00BC7C72" w:rsidP="00BC7C72">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4" w:history="1">
        <w:r w:rsidRPr="00BC7C72">
          <w:rPr>
            <w:rFonts w:ascii="Book Antiqua" w:eastAsia="Times New Roman" w:hAnsi="Book Antiqua" w:cs="Arial"/>
            <w:b/>
            <w:bCs/>
            <w:color w:val="000080"/>
            <w:sz w:val="19"/>
            <w:szCs w:val="19"/>
            <w:u w:val="single"/>
            <w:lang w:eastAsia="pt-BR"/>
          </w:rPr>
          <w:t>LEI Nº 12.990, DE 9 DE JUNHO DE 2014.</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BC7C72" w:rsidRPr="00BC7C72" w14:paraId="41D0FDCB" w14:textId="77777777" w:rsidTr="00BC7C72">
        <w:trPr>
          <w:tblCellSpacing w:w="0" w:type="dxa"/>
        </w:trPr>
        <w:tc>
          <w:tcPr>
            <w:tcW w:w="1584" w:type="pct"/>
            <w:vAlign w:val="center"/>
            <w:hideMark/>
          </w:tcPr>
          <w:p w14:paraId="7AB58ECB" w14:textId="0B6AA89A" w:rsidR="00BC7C72" w:rsidRPr="00BC7C72" w:rsidRDefault="00BC7C72" w:rsidP="00BC7C72">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416" w:type="pct"/>
            <w:vAlign w:val="center"/>
            <w:hideMark/>
          </w:tcPr>
          <w:p w14:paraId="22340C85" w14:textId="77777777" w:rsidR="00BC7C72" w:rsidRPr="00BC7C72" w:rsidRDefault="00BC7C72" w:rsidP="00BC7C72">
            <w:pPr>
              <w:spacing w:before="100" w:beforeAutospacing="1" w:after="100" w:afterAutospacing="1" w:line="240" w:lineRule="auto"/>
              <w:jc w:val="both"/>
              <w:rPr>
                <w:rFonts w:ascii="Book Antiqua" w:eastAsia="Times New Roman" w:hAnsi="Book Antiqua" w:cs="Times New Roman"/>
                <w:sz w:val="18"/>
                <w:szCs w:val="18"/>
                <w:lang w:eastAsia="pt-BR"/>
              </w:rPr>
            </w:pPr>
            <w:r w:rsidRPr="00BC7C72">
              <w:rPr>
                <w:rFonts w:ascii="Book Antiqua" w:eastAsia="Times New Roman" w:hAnsi="Book Antiqua" w:cs="Arial"/>
                <w:color w:val="800000"/>
                <w:sz w:val="18"/>
                <w:szCs w:val="18"/>
                <w:lang w:eastAsia="pt-BR"/>
              </w:rPr>
              <w:t>Reserva aos negros 20% (vinte por cento) das vagas oferecidas nos concursos públicos para provimento de cargos efetivos e empregos públicos no âmbito da administração pública federal, das autarquias, das fundações públicas, das empresas públicas e das sociedades de economia mista controladas pela União.</w:t>
            </w:r>
          </w:p>
        </w:tc>
      </w:tr>
    </w:tbl>
    <w:p w14:paraId="09A5266C"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C7C72">
        <w:rPr>
          <w:rFonts w:ascii="Book Antiqua" w:eastAsia="Times New Roman" w:hAnsi="Book Antiqua" w:cs="Arial"/>
          <w:b/>
          <w:bCs/>
          <w:color w:val="000000"/>
          <w:sz w:val="19"/>
          <w:szCs w:val="19"/>
          <w:lang w:eastAsia="pt-BR"/>
        </w:rPr>
        <w:t>A PRESIDENTA DA REPÚBLICA </w:t>
      </w:r>
      <w:r w:rsidRPr="00BC7C72">
        <w:rPr>
          <w:rFonts w:ascii="Book Antiqua" w:eastAsia="Times New Roman" w:hAnsi="Book Antiqua" w:cs="Arial"/>
          <w:color w:val="000000"/>
          <w:sz w:val="19"/>
          <w:szCs w:val="19"/>
          <w:lang w:eastAsia="pt-BR"/>
        </w:rPr>
        <w:t>Faço saber que o Congresso Nacional decreta e eu sanciono a seguinte Lei:</w:t>
      </w:r>
    </w:p>
    <w:p w14:paraId="1FBFB043" w14:textId="67BE7887" w:rsidR="00BC7C72" w:rsidRDefault="00BC7C72" w:rsidP="00367265">
      <w:pPr>
        <w:spacing w:before="100" w:beforeAutospacing="1" w:after="100" w:afterAutospacing="1" w:line="240" w:lineRule="auto"/>
        <w:ind w:firstLine="573"/>
        <w:jc w:val="both"/>
        <w:rPr>
          <w:rFonts w:ascii="Book Antiqua" w:eastAsia="Times New Roman" w:hAnsi="Book Antiqua" w:cs="Arial"/>
          <w:color w:val="000000"/>
          <w:sz w:val="19"/>
          <w:szCs w:val="19"/>
          <w:lang w:eastAsia="pt-BR"/>
        </w:rPr>
      </w:pPr>
      <w:bookmarkStart w:id="0" w:name="art1"/>
      <w:bookmarkEnd w:id="0"/>
      <w:r w:rsidRPr="00BC7C72">
        <w:rPr>
          <w:rFonts w:ascii="Book Antiqua" w:eastAsia="Times New Roman" w:hAnsi="Book Antiqua" w:cs="Arial"/>
          <w:color w:val="000000"/>
          <w:sz w:val="19"/>
          <w:szCs w:val="19"/>
          <w:lang w:eastAsia="pt-BR"/>
        </w:rPr>
        <w:t>Art. 1º </w:t>
      </w:r>
      <w:r w:rsidRPr="00BC7C72">
        <w:rPr>
          <w:rFonts w:ascii="Book Antiqua" w:eastAsia="Times New Roman" w:hAnsi="Book Antiqua" w:cs="Arial"/>
          <w:color w:val="000000"/>
          <w:sz w:val="19"/>
          <w:szCs w:val="19"/>
          <w:lang w:val="pt-PT" w:eastAsia="pt-BR"/>
        </w:rPr>
        <w:t>Ficam reservadas aos negros </w:t>
      </w:r>
      <w:r w:rsidRPr="00BC7C72">
        <w:rPr>
          <w:rFonts w:ascii="Book Antiqua" w:eastAsia="Times New Roman" w:hAnsi="Book Antiqua" w:cs="Arial"/>
          <w:color w:val="000000"/>
          <w:sz w:val="19"/>
          <w:szCs w:val="19"/>
          <w:lang w:eastAsia="pt-BR"/>
        </w:rPr>
        <w:t>20% (vinte por cento) </w:t>
      </w:r>
      <w:r w:rsidRPr="00BC7C72">
        <w:rPr>
          <w:rFonts w:ascii="Book Antiqua" w:eastAsia="Times New Roman" w:hAnsi="Book Antiqua" w:cs="Arial"/>
          <w:color w:val="000000"/>
          <w:sz w:val="19"/>
          <w:szCs w:val="19"/>
          <w:lang w:val="pt-PT" w:eastAsia="pt-BR"/>
        </w:rPr>
        <w:t>das vagas oferecidas nos concursos públicos para provimento de cargos efetivos e empregos públicos no âmbito </w:t>
      </w:r>
      <w:r w:rsidRPr="00BC7C72">
        <w:rPr>
          <w:rFonts w:ascii="Book Antiqua" w:eastAsia="Times New Roman" w:hAnsi="Book Antiqua" w:cs="Arial"/>
          <w:color w:val="000000"/>
          <w:sz w:val="19"/>
          <w:szCs w:val="19"/>
          <w:lang w:eastAsia="pt-BR"/>
        </w:rPr>
        <w:t>d </w:t>
      </w:r>
      <w:r w:rsidRPr="00BC7C72">
        <w:rPr>
          <w:rFonts w:ascii="Book Antiqua" w:eastAsia="Times New Roman" w:hAnsi="Book Antiqua" w:cs="Arial"/>
          <w:color w:val="000000"/>
          <w:sz w:val="19"/>
          <w:szCs w:val="19"/>
          <w:lang w:val="pt-PT" w:eastAsia="pt-BR"/>
        </w:rPr>
        <w:t>a administração pública federal, das autarquias, das fundações públicas, das empresas públicas e das sociedades de economia mista controladas pela União</w:t>
      </w:r>
      <w:r w:rsidRPr="00BC7C72">
        <w:rPr>
          <w:rFonts w:ascii="Book Antiqua" w:eastAsia="Times New Roman" w:hAnsi="Book Antiqua" w:cs="Arial"/>
          <w:color w:val="000000"/>
          <w:sz w:val="19"/>
          <w:szCs w:val="19"/>
          <w:lang w:eastAsia="pt-BR"/>
        </w:rPr>
        <w:t>, na forma desta Lei.</w:t>
      </w:r>
    </w:p>
    <w:tbl>
      <w:tblPr>
        <w:tblStyle w:val="Tabelacomgrade"/>
        <w:tblW w:w="0" w:type="auto"/>
        <w:tblLook w:val="04A0" w:firstRow="1" w:lastRow="0" w:firstColumn="1" w:lastColumn="0" w:noHBand="0" w:noVBand="1"/>
      </w:tblPr>
      <w:tblGrid>
        <w:gridCol w:w="8494"/>
      </w:tblGrid>
      <w:tr w:rsidR="00BC7C72" w14:paraId="3EDD0E96" w14:textId="77777777" w:rsidTr="00BC7C72">
        <w:tc>
          <w:tcPr>
            <w:tcW w:w="8494" w:type="dxa"/>
            <w:shd w:val="clear" w:color="auto" w:fill="CCFFFF"/>
          </w:tcPr>
          <w:p w14:paraId="23FAB6C2" w14:textId="1B8FF65B" w:rsidR="00BC7C72" w:rsidRDefault="00BC7C72" w:rsidP="00367265">
            <w:pPr>
              <w:jc w:val="both"/>
              <w:rPr>
                <w:rFonts w:ascii="Book Antiqua" w:hAnsi="Book Antiqua"/>
                <w:b/>
                <w:bCs/>
                <w:color w:val="000000"/>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sidR="00FA5AB4">
              <w:rPr>
                <w:rFonts w:ascii="Book Antiqua" w:hAnsi="Book Antiqua"/>
                <w:b/>
                <w:i/>
                <w:color w:val="FF0000"/>
                <w:sz w:val="19"/>
                <w:szCs w:val="19"/>
              </w:rPr>
              <w:t>: #</w:t>
            </w:r>
            <w:r w:rsidR="00FA5AB4" w:rsidRPr="00FA5AB4">
              <w:rPr>
                <w:rFonts w:ascii="Book Antiqua" w:hAnsi="Book Antiqua"/>
                <w:b/>
                <w:i/>
                <w:color w:val="FF0000"/>
                <w:sz w:val="19"/>
                <w:szCs w:val="19"/>
                <w:highlight w:val="green"/>
              </w:rPr>
              <w:t>PCGO-2018</w:t>
            </w:r>
            <w:r>
              <w:rPr>
                <w:rFonts w:ascii="Book Antiqua" w:hAnsi="Book Antiqua"/>
                <w:b/>
                <w:i/>
                <w:color w:val="FF0000"/>
                <w:sz w:val="19"/>
                <w:szCs w:val="19"/>
              </w:rPr>
              <w:t>: #</w:t>
            </w:r>
            <w:r w:rsidRPr="00BC7C72">
              <w:rPr>
                <w:rFonts w:ascii="Book Antiqua" w:hAnsi="Book Antiqua"/>
                <w:b/>
                <w:i/>
                <w:color w:val="FF0000"/>
                <w:sz w:val="19"/>
                <w:szCs w:val="19"/>
                <w:highlight w:val="green"/>
              </w:rPr>
              <w:t>PF-2018</w:t>
            </w:r>
            <w:r w:rsidR="00367265">
              <w:rPr>
                <w:rFonts w:ascii="Book Antiqua" w:hAnsi="Book Antiqua"/>
                <w:b/>
                <w:i/>
                <w:color w:val="FF0000"/>
                <w:sz w:val="19"/>
                <w:szCs w:val="19"/>
              </w:rPr>
              <w:t>: #</w:t>
            </w:r>
            <w:r w:rsidR="00367265" w:rsidRPr="00367265">
              <w:rPr>
                <w:rFonts w:ascii="Book Antiqua" w:hAnsi="Book Antiqua"/>
                <w:b/>
                <w:i/>
                <w:color w:val="FF0000"/>
                <w:sz w:val="19"/>
                <w:szCs w:val="19"/>
                <w:highlight w:val="green"/>
              </w:rPr>
              <w:t>MPT-2020</w:t>
            </w:r>
            <w:r w:rsidR="00165D6E">
              <w:rPr>
                <w:rFonts w:ascii="Book Antiqua" w:hAnsi="Book Antiqua"/>
                <w:b/>
                <w:i/>
                <w:color w:val="FF0000"/>
                <w:sz w:val="19"/>
                <w:szCs w:val="19"/>
              </w:rPr>
              <w:t>: #</w:t>
            </w:r>
            <w:r w:rsidR="00165D6E" w:rsidRPr="00165D6E">
              <w:rPr>
                <w:rFonts w:ascii="Book Antiqua" w:hAnsi="Book Antiqua"/>
                <w:b/>
                <w:i/>
                <w:color w:val="FF0000"/>
                <w:sz w:val="19"/>
                <w:szCs w:val="19"/>
                <w:highlight w:val="green"/>
              </w:rPr>
              <w:t>DPERR-2021</w:t>
            </w:r>
            <w:r w:rsidR="00CB30D1">
              <w:rPr>
                <w:rFonts w:ascii="Book Antiqua" w:hAnsi="Book Antiqua"/>
                <w:b/>
                <w:i/>
                <w:color w:val="FF0000"/>
                <w:sz w:val="19"/>
                <w:szCs w:val="19"/>
              </w:rPr>
              <w:t>: #</w:t>
            </w:r>
            <w:r w:rsidR="00CB30D1" w:rsidRPr="00CB30D1">
              <w:rPr>
                <w:rFonts w:ascii="Book Antiqua" w:hAnsi="Book Antiqua"/>
                <w:b/>
                <w:i/>
                <w:color w:val="FF0000"/>
                <w:sz w:val="19"/>
                <w:szCs w:val="19"/>
                <w:highlight w:val="green"/>
              </w:rPr>
              <w:t>PCMS-2021</w:t>
            </w:r>
            <w:r w:rsidR="003A20E0">
              <w:rPr>
                <w:rFonts w:ascii="Book Antiqua" w:hAnsi="Book Antiqua"/>
                <w:b/>
                <w:i/>
                <w:color w:val="FF0000"/>
                <w:sz w:val="19"/>
                <w:szCs w:val="19"/>
              </w:rPr>
              <w:t>: #</w:t>
            </w:r>
            <w:r w:rsidR="003A20E0" w:rsidRPr="003A20E0">
              <w:rPr>
                <w:rFonts w:ascii="Book Antiqua" w:hAnsi="Book Antiqua"/>
                <w:b/>
                <w:i/>
                <w:color w:val="FF0000"/>
                <w:sz w:val="19"/>
                <w:szCs w:val="19"/>
                <w:highlight w:val="green"/>
              </w:rPr>
              <w:t>MPPE-2022</w:t>
            </w:r>
            <w:r w:rsidR="00D8062F">
              <w:rPr>
                <w:rFonts w:ascii="Book Antiqua" w:hAnsi="Book Antiqua"/>
                <w:b/>
                <w:i/>
                <w:color w:val="FF0000"/>
                <w:sz w:val="19"/>
                <w:szCs w:val="19"/>
              </w:rPr>
              <w:t>: #</w:t>
            </w:r>
            <w:r w:rsidR="00D8062F" w:rsidRPr="00D8062F">
              <w:rPr>
                <w:rFonts w:ascii="Book Antiqua" w:hAnsi="Book Antiqua"/>
                <w:b/>
                <w:i/>
                <w:color w:val="FF0000"/>
                <w:sz w:val="19"/>
                <w:szCs w:val="19"/>
                <w:highlight w:val="green"/>
              </w:rPr>
              <w:t>TRF4-2022</w:t>
            </w:r>
            <w:r w:rsidR="00CF6441">
              <w:rPr>
                <w:rFonts w:ascii="Book Antiqua" w:hAnsi="Book Antiqua"/>
                <w:b/>
                <w:i/>
                <w:color w:val="FF0000"/>
                <w:sz w:val="19"/>
                <w:szCs w:val="19"/>
              </w:rPr>
              <w:t>: #</w:t>
            </w:r>
            <w:r w:rsidR="00CF6441" w:rsidRPr="00CF6441">
              <w:rPr>
                <w:rFonts w:ascii="Book Antiqua" w:hAnsi="Book Antiqua"/>
                <w:b/>
                <w:i/>
                <w:color w:val="FF0000"/>
                <w:sz w:val="19"/>
                <w:szCs w:val="19"/>
                <w:highlight w:val="green"/>
              </w:rPr>
              <w:t>PCBA-2022</w:t>
            </w:r>
            <w:r w:rsidR="008A2511">
              <w:rPr>
                <w:rFonts w:ascii="Book Antiqua" w:hAnsi="Book Antiqua"/>
                <w:b/>
                <w:i/>
                <w:color w:val="FF0000"/>
                <w:sz w:val="19"/>
                <w:szCs w:val="19"/>
              </w:rPr>
              <w:t>: #</w:t>
            </w:r>
            <w:r w:rsidR="008A2511" w:rsidRPr="008A2511">
              <w:rPr>
                <w:rFonts w:ascii="Book Antiqua" w:hAnsi="Book Antiqua"/>
                <w:b/>
                <w:i/>
                <w:color w:val="FF0000"/>
                <w:sz w:val="19"/>
                <w:szCs w:val="19"/>
                <w:highlight w:val="green"/>
              </w:rPr>
              <w:t>PFN-2023</w:t>
            </w:r>
            <w:r w:rsidR="00376C40">
              <w:rPr>
                <w:rFonts w:ascii="Book Antiqua" w:hAnsi="Book Antiqua"/>
                <w:b/>
                <w:i/>
                <w:color w:val="FF0000"/>
                <w:sz w:val="19"/>
                <w:szCs w:val="19"/>
              </w:rPr>
              <w:t>: #</w:t>
            </w:r>
            <w:r w:rsidR="00376C40" w:rsidRPr="00376C40">
              <w:rPr>
                <w:rFonts w:ascii="Book Antiqua" w:hAnsi="Book Antiqua"/>
                <w:b/>
                <w:i/>
                <w:color w:val="FF0000"/>
                <w:sz w:val="19"/>
                <w:szCs w:val="19"/>
                <w:highlight w:val="green"/>
              </w:rPr>
              <w:t>DPEPR-2024</w:t>
            </w:r>
            <w:r>
              <w:rPr>
                <w:rFonts w:ascii="Book Antiqua" w:hAnsi="Book Antiqua"/>
                <w:b/>
                <w:i/>
                <w:color w:val="FF0000"/>
                <w:sz w:val="19"/>
                <w:szCs w:val="19"/>
              </w:rPr>
              <w:t>: #</w:t>
            </w:r>
            <w:r w:rsidRPr="00BC7C72">
              <w:rPr>
                <w:rFonts w:ascii="Book Antiqua" w:hAnsi="Book Antiqua"/>
                <w:b/>
                <w:i/>
                <w:color w:val="FF0000"/>
                <w:sz w:val="19"/>
                <w:szCs w:val="19"/>
                <w:highlight w:val="green"/>
              </w:rPr>
              <w:t>CESPE</w:t>
            </w:r>
            <w:r w:rsidR="00CB30D1">
              <w:rPr>
                <w:rFonts w:ascii="Book Antiqua" w:hAnsi="Book Antiqua"/>
                <w:b/>
                <w:i/>
                <w:color w:val="FF0000"/>
                <w:sz w:val="19"/>
                <w:szCs w:val="19"/>
              </w:rPr>
              <w:t>: #</w:t>
            </w:r>
            <w:r w:rsidR="00CB30D1" w:rsidRPr="00CB30D1">
              <w:rPr>
                <w:rFonts w:ascii="Book Antiqua" w:hAnsi="Book Antiqua"/>
                <w:b/>
                <w:i/>
                <w:color w:val="FF0000"/>
                <w:sz w:val="19"/>
                <w:szCs w:val="19"/>
                <w:highlight w:val="green"/>
              </w:rPr>
              <w:t>FAPEC</w:t>
            </w:r>
            <w:r w:rsidR="00165D6E">
              <w:rPr>
                <w:rFonts w:ascii="Book Antiqua" w:hAnsi="Book Antiqua"/>
                <w:b/>
                <w:i/>
                <w:color w:val="FF0000"/>
                <w:sz w:val="19"/>
                <w:szCs w:val="19"/>
              </w:rPr>
              <w:t>: #</w:t>
            </w:r>
            <w:r w:rsidR="00165D6E" w:rsidRPr="00165D6E">
              <w:rPr>
                <w:rFonts w:ascii="Book Antiqua" w:hAnsi="Book Antiqua"/>
                <w:b/>
                <w:i/>
                <w:color w:val="FF0000"/>
                <w:sz w:val="19"/>
                <w:szCs w:val="19"/>
                <w:highlight w:val="green"/>
              </w:rPr>
              <w:t>FCC</w:t>
            </w:r>
            <w:r w:rsidR="00376C40">
              <w:rPr>
                <w:rFonts w:ascii="Book Antiqua" w:hAnsi="Book Antiqua"/>
                <w:b/>
                <w:i/>
                <w:color w:val="FF0000"/>
                <w:sz w:val="19"/>
                <w:szCs w:val="19"/>
              </w:rPr>
              <w:t>: #</w:t>
            </w:r>
            <w:r w:rsidR="00376C40" w:rsidRPr="00376C40">
              <w:rPr>
                <w:rFonts w:ascii="Book Antiqua" w:hAnsi="Book Antiqua"/>
                <w:b/>
                <w:i/>
                <w:color w:val="FF0000"/>
                <w:sz w:val="19"/>
                <w:szCs w:val="19"/>
                <w:highlight w:val="green"/>
              </w:rPr>
              <w:t>Fundatec</w:t>
            </w:r>
            <w:r w:rsidR="00FA5AB4">
              <w:rPr>
                <w:rFonts w:ascii="Book Antiqua" w:hAnsi="Book Antiqua"/>
                <w:b/>
                <w:i/>
                <w:color w:val="FF0000"/>
                <w:sz w:val="19"/>
                <w:szCs w:val="19"/>
              </w:rPr>
              <w:t>: #</w:t>
            </w:r>
            <w:r w:rsidR="00FA5AB4" w:rsidRPr="00FA5AB4">
              <w:rPr>
                <w:rFonts w:ascii="Book Antiqua" w:hAnsi="Book Antiqua"/>
                <w:b/>
                <w:i/>
                <w:color w:val="FF0000"/>
                <w:sz w:val="19"/>
                <w:szCs w:val="19"/>
                <w:highlight w:val="green"/>
              </w:rPr>
              <w:t>UEG</w:t>
            </w:r>
            <w:r w:rsidRPr="00B77042">
              <w:rPr>
                <w:rFonts w:ascii="Book Antiqua" w:hAnsi="Book Antiqua"/>
                <w:sz w:val="19"/>
                <w:szCs w:val="19"/>
              </w:rPr>
              <w:t xml:space="preserve">: </w:t>
            </w:r>
            <w:r w:rsidRPr="00BC7C72">
              <w:rPr>
                <w:rFonts w:ascii="Book Antiqua" w:hAnsi="Book Antiqua"/>
                <w:b/>
                <w:bCs/>
                <w:i/>
                <w:iCs/>
                <w:sz w:val="19"/>
                <w:szCs w:val="19"/>
                <w:u w:val="single"/>
              </w:rPr>
              <w:t>Constitucionalidade do sistema de cotas raciais em concursos públicos</w:t>
            </w:r>
            <w:r>
              <w:rPr>
                <w:rFonts w:ascii="Book Antiqua" w:hAnsi="Book Antiqua"/>
                <w:sz w:val="19"/>
                <w:szCs w:val="19"/>
              </w:rPr>
              <w:t xml:space="preserve">: </w:t>
            </w:r>
            <w:r w:rsidRPr="00BC7C72">
              <w:rPr>
                <w:rFonts w:ascii="Book Antiqua" w:hAnsi="Book Antiqua"/>
                <w:b/>
                <w:bCs/>
                <w:color w:val="000000"/>
                <w:sz w:val="19"/>
                <w:szCs w:val="19"/>
              </w:rPr>
              <w:t>A Lei 12.990/14 estabeleceu uma cota aos negros de 20% das vagas em concursos públicos realizados no âmbito da administração pública federal, das autarquias, das fundações públicas, das empresas públicas e das sociedades de economia mista controladas pela União.</w:t>
            </w:r>
            <w:r>
              <w:rPr>
                <w:rFonts w:ascii="Book Antiqua" w:hAnsi="Book Antiqua"/>
                <w:b/>
                <w:bCs/>
                <w:color w:val="000000"/>
                <w:sz w:val="19"/>
                <w:szCs w:val="19"/>
              </w:rPr>
              <w:t xml:space="preserve"> </w:t>
            </w:r>
            <w:r w:rsidRPr="00BC7C72">
              <w:rPr>
                <w:rFonts w:ascii="Book Antiqua" w:hAnsi="Book Antiqua"/>
                <w:b/>
                <w:bCs/>
                <w:color w:val="000000"/>
                <w:sz w:val="19"/>
                <w:szCs w:val="19"/>
              </w:rPr>
              <w:t>O STF declarou que essa Lei é constitucional e fixou a seguinte tese de julgamento:</w:t>
            </w:r>
            <w:r>
              <w:rPr>
                <w:rFonts w:ascii="Book Antiqua" w:hAnsi="Book Antiqua"/>
                <w:b/>
                <w:bCs/>
                <w:color w:val="000000"/>
                <w:sz w:val="19"/>
                <w:szCs w:val="19"/>
              </w:rPr>
              <w:t xml:space="preserve"> “</w:t>
            </w:r>
            <w:r w:rsidRPr="00BC7C72">
              <w:rPr>
                <w:rFonts w:ascii="Book Antiqua" w:hAnsi="Book Antiqua"/>
                <w:b/>
                <w:bCs/>
                <w:i/>
                <w:iCs/>
                <w:color w:val="000000"/>
                <w:sz w:val="19"/>
                <w:szCs w:val="19"/>
                <w:highlight w:val="yellow"/>
              </w:rPr>
              <w:t xml:space="preserve">É constitucional a reserva de 20% das vagas oferecidas nos concursos públicos para provimento de cargos efetivos e empregos públicos no âmbito da administração pública direta e </w:t>
            </w:r>
            <w:r w:rsidRPr="00376C40">
              <w:rPr>
                <w:rFonts w:ascii="Book Antiqua" w:hAnsi="Book Antiqua"/>
                <w:b/>
                <w:bCs/>
                <w:i/>
                <w:iCs/>
                <w:color w:val="000000"/>
                <w:sz w:val="19"/>
                <w:szCs w:val="19"/>
                <w:highlight w:val="yellow"/>
              </w:rPr>
              <w:t>indireta.</w:t>
            </w:r>
            <w:r w:rsidR="00376C40" w:rsidRPr="00376C40">
              <w:rPr>
                <w:highlight w:val="yellow"/>
              </w:rPr>
              <w:t xml:space="preserve"> </w:t>
            </w:r>
            <w:r w:rsidR="00376C40" w:rsidRPr="00376C40">
              <w:rPr>
                <w:rFonts w:ascii="Book Antiqua" w:hAnsi="Book Antiqua"/>
                <w:b/>
                <w:bCs/>
                <w:i/>
                <w:iCs/>
                <w:color w:val="000000"/>
                <w:sz w:val="19"/>
                <w:szCs w:val="19"/>
                <w:highlight w:val="yellow"/>
              </w:rPr>
              <w:t>É legítima a utilização, além da autodeclaração, de critérios subsidiários de heteroidentificação, desde que respeitada a dignidade da pessoa humana e garantidos o contraditório e a ampla defesa</w:t>
            </w:r>
            <w:r w:rsidR="00376C40" w:rsidRPr="00376C40">
              <w:rPr>
                <w:rFonts w:ascii="Book Antiqua" w:hAnsi="Book Antiqua"/>
                <w:b/>
                <w:bCs/>
                <w:i/>
                <w:iCs/>
                <w:color w:val="000000"/>
                <w:sz w:val="19"/>
                <w:szCs w:val="19"/>
              </w:rPr>
              <w:t>.</w:t>
            </w:r>
            <w:r w:rsidRPr="00BC7C72">
              <w:rPr>
                <w:rFonts w:ascii="Book Antiqua" w:hAnsi="Book Antiqua"/>
                <w:b/>
                <w:bCs/>
                <w:color w:val="000000"/>
                <w:sz w:val="19"/>
                <w:szCs w:val="19"/>
              </w:rPr>
              <w:t>”</w:t>
            </w:r>
            <w:r>
              <w:rPr>
                <w:rFonts w:ascii="Book Antiqua" w:hAnsi="Book Antiqua"/>
                <w:b/>
                <w:bCs/>
                <w:color w:val="000000"/>
                <w:sz w:val="19"/>
                <w:szCs w:val="19"/>
              </w:rPr>
              <w:t xml:space="preserve"> </w:t>
            </w:r>
            <w:r w:rsidRPr="00BC7C72">
              <w:rPr>
                <w:rFonts w:ascii="Book Antiqua" w:hAnsi="Book Antiqua"/>
                <w:color w:val="000000"/>
                <w:sz w:val="19"/>
                <w:szCs w:val="19"/>
              </w:rPr>
              <w:t>STF. Plenário. ADC 41/DF, Rel. Min. Roberto Barroso, j</w:t>
            </w:r>
            <w:r>
              <w:rPr>
                <w:rFonts w:ascii="Book Antiqua" w:hAnsi="Book Antiqua"/>
                <w:color w:val="000000"/>
                <w:sz w:val="19"/>
                <w:szCs w:val="19"/>
              </w:rPr>
              <w:t>.</w:t>
            </w:r>
            <w:r w:rsidRPr="00BC7C72">
              <w:rPr>
                <w:rFonts w:ascii="Book Antiqua" w:hAnsi="Book Antiqua"/>
                <w:color w:val="000000"/>
                <w:sz w:val="19"/>
                <w:szCs w:val="19"/>
              </w:rPr>
              <w:t xml:space="preserve"> 8/6/17</w:t>
            </w:r>
            <w:r w:rsidRPr="00BC7C72">
              <w:rPr>
                <w:rFonts w:ascii="Book Antiqua" w:hAnsi="Book Antiqua"/>
                <w:b/>
                <w:bCs/>
                <w:color w:val="000000"/>
                <w:sz w:val="19"/>
                <w:szCs w:val="19"/>
              </w:rPr>
              <w:t xml:space="preserve"> (Info 868).</w:t>
            </w:r>
          </w:p>
          <w:tbl>
            <w:tblPr>
              <w:tblStyle w:val="Tabelacomgrade"/>
              <w:tblW w:w="0" w:type="auto"/>
              <w:tblLook w:val="04A0" w:firstRow="1" w:lastRow="0" w:firstColumn="1" w:lastColumn="0" w:noHBand="0" w:noVBand="1"/>
            </w:tblPr>
            <w:tblGrid>
              <w:gridCol w:w="8268"/>
            </w:tblGrid>
            <w:tr w:rsidR="00367265" w14:paraId="11BFBBB6" w14:textId="77777777" w:rsidTr="00367265">
              <w:tc>
                <w:tcPr>
                  <w:tcW w:w="8268" w:type="dxa"/>
                  <w:shd w:val="clear" w:color="auto" w:fill="FFFFFF" w:themeFill="background1"/>
                </w:tcPr>
                <w:p w14:paraId="5DC87F95" w14:textId="77777777" w:rsidR="00D83C98" w:rsidRDefault="00D83C98" w:rsidP="00D83C98">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D83C98">
                    <w:rPr>
                      <w:rFonts w:ascii="Book Antiqua" w:hAnsi="Book Antiqua"/>
                      <w:b/>
                      <w:bCs/>
                      <w:i/>
                      <w:iCs/>
                      <w:sz w:val="18"/>
                      <w:szCs w:val="18"/>
                      <w:u w:val="single"/>
                    </w:rPr>
                    <w:t xml:space="preserve">O Min. Relator </w:t>
                  </w:r>
                  <w:proofErr w:type="spellStart"/>
                  <w:r w:rsidRPr="00D83C98">
                    <w:rPr>
                      <w:rFonts w:ascii="Book Antiqua" w:hAnsi="Book Antiqua"/>
                      <w:b/>
                      <w:bCs/>
                      <w:i/>
                      <w:iCs/>
                      <w:sz w:val="18"/>
                      <w:szCs w:val="18"/>
                      <w:u w:val="single"/>
                    </w:rPr>
                    <w:t>Luis</w:t>
                  </w:r>
                  <w:proofErr w:type="spellEnd"/>
                  <w:r w:rsidRPr="00D83C98">
                    <w:rPr>
                      <w:rFonts w:ascii="Book Antiqua" w:hAnsi="Book Antiqua"/>
                      <w:b/>
                      <w:bCs/>
                      <w:i/>
                      <w:iCs/>
                      <w:sz w:val="18"/>
                      <w:szCs w:val="18"/>
                      <w:u w:val="single"/>
                    </w:rPr>
                    <w:t xml:space="preserve"> Roberto Barroso citou três dimensões da igualdade</w:t>
                  </w:r>
                  <w:r w:rsidRPr="00D83C98">
                    <w:rPr>
                      <w:rFonts w:ascii="Book Antiqua" w:hAnsi="Book Antiqua"/>
                      <w:sz w:val="18"/>
                      <w:szCs w:val="18"/>
                    </w:rPr>
                    <w:t>:</w:t>
                  </w:r>
                  <w:r>
                    <w:rPr>
                      <w:rFonts w:ascii="Book Antiqua" w:hAnsi="Book Antiqua"/>
                      <w:sz w:val="18"/>
                      <w:szCs w:val="18"/>
                    </w:rPr>
                    <w:t xml:space="preserve"> </w:t>
                  </w:r>
                </w:p>
                <w:p w14:paraId="7F04A954" w14:textId="65007655" w:rsidR="00D83C98" w:rsidRPr="00D83C98" w:rsidRDefault="00D83C98" w:rsidP="00D83C98">
                  <w:pPr>
                    <w:ind w:left="617"/>
                    <w:jc w:val="both"/>
                    <w:rPr>
                      <w:rFonts w:ascii="Book Antiqua" w:hAnsi="Book Antiqua"/>
                      <w:sz w:val="18"/>
                      <w:szCs w:val="18"/>
                    </w:rPr>
                  </w:pPr>
                  <w:r w:rsidRPr="00D83C98">
                    <w:rPr>
                      <w:rFonts w:ascii="Book Antiqua" w:hAnsi="Book Antiqua"/>
                      <w:sz w:val="18"/>
                      <w:szCs w:val="18"/>
                    </w:rPr>
                    <w:t xml:space="preserve">1) </w:t>
                  </w:r>
                  <w:r w:rsidRPr="00D83C98">
                    <w:rPr>
                      <w:rFonts w:ascii="Book Antiqua" w:hAnsi="Book Antiqua"/>
                      <w:b/>
                      <w:bCs/>
                      <w:sz w:val="18"/>
                      <w:szCs w:val="18"/>
                      <w:shd w:val="clear" w:color="auto" w:fill="F7CAAC" w:themeFill="accent2" w:themeFillTint="66"/>
                    </w:rPr>
                    <w:t>IGUALDADE FORMAL</w:t>
                  </w:r>
                  <w:r w:rsidRPr="00D83C98">
                    <w:rPr>
                      <w:rFonts w:ascii="Book Antiqua" w:hAnsi="Book Antiqua"/>
                      <w:sz w:val="18"/>
                      <w:szCs w:val="18"/>
                    </w:rPr>
                    <w:t xml:space="preserve"> - não pode haver privilégios e tratamentos discriminatórios. Art. 5º, caput, da CF/88: “todos são iguais perante a lei, sem distinção de qualquer natureza”.</w:t>
                  </w:r>
                </w:p>
                <w:p w14:paraId="0458FA3F" w14:textId="77777777" w:rsidR="00D83C98" w:rsidRPr="00D83C98" w:rsidRDefault="00D83C98" w:rsidP="00D83C98">
                  <w:pPr>
                    <w:ind w:left="617"/>
                    <w:jc w:val="both"/>
                    <w:rPr>
                      <w:rFonts w:ascii="Book Antiqua" w:hAnsi="Book Antiqua"/>
                      <w:sz w:val="18"/>
                      <w:szCs w:val="18"/>
                    </w:rPr>
                  </w:pPr>
                  <w:r w:rsidRPr="00D83C98">
                    <w:rPr>
                      <w:rFonts w:ascii="Book Antiqua" w:hAnsi="Book Antiqua"/>
                      <w:sz w:val="18"/>
                      <w:szCs w:val="18"/>
                    </w:rPr>
                    <w:t xml:space="preserve">2) </w:t>
                  </w:r>
                  <w:r w:rsidRPr="00D83C98">
                    <w:rPr>
                      <w:rFonts w:ascii="Book Antiqua" w:hAnsi="Book Antiqua"/>
                      <w:b/>
                      <w:bCs/>
                      <w:sz w:val="18"/>
                      <w:szCs w:val="18"/>
                      <w:shd w:val="clear" w:color="auto" w:fill="F7CAAC" w:themeFill="accent2" w:themeFillTint="66"/>
                    </w:rPr>
                    <w:t>IGUALDADE MATERIAL</w:t>
                  </w:r>
                  <w:r w:rsidRPr="00D83C98">
                    <w:rPr>
                      <w:rFonts w:ascii="Book Antiqua" w:hAnsi="Book Antiqua"/>
                      <w:sz w:val="18"/>
                      <w:szCs w:val="18"/>
                    </w:rPr>
                    <w:t xml:space="preserve"> - não basta proibir privilégios, é preciso atuar ativamente contra a desigualdade. É voltada para o atendimento de condições de "justiça social" (art. 3º, I e III, da CF/88, que afirma que a República Federativa do Brasil tem como objetivos “construir uma sociedade livre, justa e solidária” e “erradicara pobreza e a marginalização e reduzir as desigualdades sociais e regionais”). </w:t>
                  </w:r>
                </w:p>
                <w:p w14:paraId="042D788C" w14:textId="5C9897B2" w:rsidR="00D83C98" w:rsidRDefault="00D83C98" w:rsidP="00D83C98">
                  <w:pPr>
                    <w:ind w:left="617"/>
                    <w:jc w:val="both"/>
                    <w:rPr>
                      <w:rFonts w:ascii="Book Antiqua" w:hAnsi="Book Antiqua"/>
                      <w:b/>
                      <w:bCs/>
                      <w:color w:val="000000"/>
                      <w:sz w:val="18"/>
                      <w:szCs w:val="18"/>
                    </w:rPr>
                  </w:pPr>
                  <w:r w:rsidRPr="00D83C98">
                    <w:rPr>
                      <w:rFonts w:ascii="Book Antiqua" w:hAnsi="Book Antiqua"/>
                      <w:sz w:val="18"/>
                      <w:szCs w:val="18"/>
                    </w:rPr>
                    <w:t xml:space="preserve">3) </w:t>
                  </w:r>
                  <w:r w:rsidRPr="00D83C98">
                    <w:rPr>
                      <w:rFonts w:ascii="Book Antiqua" w:hAnsi="Book Antiqua"/>
                      <w:b/>
                      <w:bCs/>
                      <w:sz w:val="18"/>
                      <w:szCs w:val="18"/>
                      <w:shd w:val="clear" w:color="auto" w:fill="F7CAAC" w:themeFill="accent2" w:themeFillTint="66"/>
                    </w:rPr>
                    <w:t>IGUALDADE COMO RECONHECIMENTO</w:t>
                  </w:r>
                  <w:r w:rsidRPr="00D83C98">
                    <w:rPr>
                      <w:rFonts w:ascii="Book Antiqua" w:hAnsi="Book Antiqua"/>
                      <w:sz w:val="18"/>
                      <w:szCs w:val="18"/>
                    </w:rPr>
                    <w:t xml:space="preserve"> - significa o respeito com as minorias, sua identidade e suas diferenças. Determinados grupos são marginalizados em razão da sua identidade, suas origens, religião, aparência física ou orientação sexual (negros, judeus, povos indígenas, mulheres, LGBTQI+ </w:t>
                  </w:r>
                  <w:proofErr w:type="spellStart"/>
                  <w:r w:rsidRPr="00D83C98">
                    <w:rPr>
                      <w:rFonts w:ascii="Book Antiqua" w:hAnsi="Book Antiqua"/>
                      <w:sz w:val="18"/>
                      <w:szCs w:val="18"/>
                    </w:rPr>
                    <w:t>etc</w:t>
                  </w:r>
                  <w:proofErr w:type="spellEnd"/>
                  <w:r w:rsidRPr="00D83C98">
                    <w:rPr>
                      <w:rFonts w:ascii="Book Antiqua" w:hAnsi="Book Antiqua"/>
                      <w:sz w:val="18"/>
                      <w:szCs w:val="18"/>
                    </w:rPr>
                    <w:t>). O instrumento para se alcançar a igualdade como reconhecimento é a transformação cultural ou simbólica.</w:t>
                  </w:r>
                </w:p>
                <w:p w14:paraId="334ECE10" w14:textId="3A5FAA41" w:rsidR="00D83C98" w:rsidRDefault="00D83C98" w:rsidP="00367265">
                  <w:pPr>
                    <w:jc w:val="both"/>
                    <w:rPr>
                      <w:rFonts w:ascii="Book Antiqua" w:hAnsi="Book Antiqua"/>
                      <w:b/>
                      <w:bCs/>
                      <w:color w:val="000000"/>
                      <w:sz w:val="18"/>
                      <w:szCs w:val="18"/>
                    </w:rPr>
                  </w:pPr>
                  <w:r w:rsidRPr="000214CF">
                    <w:rPr>
                      <w:rFonts w:ascii="Book Antiqua" w:hAnsi="Book Antiqua"/>
                      <w:b/>
                      <w:bCs/>
                      <w:i/>
                      <w:iCs/>
                      <w:color w:val="FF0000"/>
                      <w:sz w:val="18"/>
                      <w:szCs w:val="18"/>
                    </w:rPr>
                    <w:t>#</w:t>
                  </w:r>
                  <w:r>
                    <w:rPr>
                      <w:rFonts w:ascii="Book Antiqua" w:hAnsi="Book Antiqua"/>
                      <w:b/>
                      <w:bCs/>
                      <w:i/>
                      <w:iCs/>
                      <w:color w:val="FF0000"/>
                      <w:sz w:val="18"/>
                      <w:szCs w:val="18"/>
                      <w:highlight w:val="green"/>
                    </w:rPr>
                    <w:t>Questões de concurso</w:t>
                  </w:r>
                  <w:r w:rsidRPr="000214CF">
                    <w:rPr>
                      <w:rFonts w:ascii="Book Antiqua" w:hAnsi="Book Antiqua"/>
                      <w:sz w:val="18"/>
                      <w:szCs w:val="18"/>
                    </w:rPr>
                    <w:t>:</w:t>
                  </w:r>
                </w:p>
                <w:p w14:paraId="5C38C0DE" w14:textId="6517637E" w:rsidR="00376C40" w:rsidRDefault="00376C40" w:rsidP="00367265">
                  <w:pPr>
                    <w:jc w:val="both"/>
                    <w:rPr>
                      <w:rFonts w:ascii="Book Antiqua" w:eastAsia="SimSun" w:hAnsi="Book Antiqua"/>
                      <w:b/>
                      <w:bCs/>
                      <w:color w:val="00000A"/>
                      <w:sz w:val="19"/>
                      <w:szCs w:val="19"/>
                      <w:lang w:eastAsia="zh-CN" w:bidi="hi-IN"/>
                    </w:rPr>
                  </w:pPr>
                  <w:r>
                    <w:rPr>
                      <w:rFonts w:ascii="Book Antiqua" w:eastAsia="SimSun" w:hAnsi="Book Antiqua"/>
                      <w:b/>
                      <w:bCs/>
                      <w:color w:val="00000A"/>
                      <w:sz w:val="19"/>
                      <w:szCs w:val="19"/>
                      <w:lang w:eastAsia="zh-CN" w:bidi="hi-IN"/>
                    </w:rPr>
                    <w:t>(</w:t>
                  </w:r>
                  <w:r>
                    <w:rPr>
                      <w:rFonts w:ascii="Book Antiqua" w:eastAsia="SimSun" w:hAnsi="Book Antiqua"/>
                      <w:b/>
                      <w:bCs/>
                      <w:color w:val="00000A"/>
                      <w:sz w:val="18"/>
                      <w:szCs w:val="18"/>
                      <w:highlight w:val="yellow"/>
                      <w:lang w:eastAsia="zh-CN" w:bidi="hi-IN"/>
                    </w:rPr>
                    <w:t>DPEPR-2024-Fundatec</w:t>
                  </w:r>
                  <w:r w:rsidRPr="00840C91">
                    <w:rPr>
                      <w:rFonts w:ascii="Book Antiqua" w:eastAsia="SimSun" w:hAnsi="Book Antiqua"/>
                      <w:b/>
                      <w:bCs/>
                      <w:color w:val="00000A"/>
                      <w:sz w:val="18"/>
                      <w:szCs w:val="18"/>
                      <w:lang w:eastAsia="zh-CN" w:bidi="hi-IN"/>
                    </w:rPr>
                    <w:t>)</w:t>
                  </w:r>
                  <w:r w:rsidRPr="00840C91">
                    <w:rPr>
                      <w:rFonts w:ascii="Book Antiqua" w:eastAsia="SimSun" w:hAnsi="Book Antiqua"/>
                      <w:color w:val="00000A"/>
                      <w:sz w:val="18"/>
                      <w:szCs w:val="18"/>
                      <w:lang w:eastAsia="zh-CN" w:bidi="hi-IN"/>
                    </w:rPr>
                    <w:t xml:space="preserve">: </w:t>
                  </w:r>
                  <w:r w:rsidRPr="00376C40">
                    <w:rPr>
                      <w:rFonts w:ascii="Book Antiqua" w:eastAsia="SimSun" w:hAnsi="Book Antiqua"/>
                      <w:color w:val="00000A"/>
                      <w:sz w:val="18"/>
                      <w:szCs w:val="18"/>
                      <w:lang w:eastAsia="zh-CN" w:bidi="hi-IN"/>
                    </w:rPr>
                    <w:t xml:space="preserve">De acordo com o entendimento dos Tribunais Superiores, assinale a alternativa </w:t>
                  </w:r>
                  <w:r>
                    <w:rPr>
                      <w:rFonts w:ascii="Book Antiqua" w:eastAsia="SimSun" w:hAnsi="Book Antiqua"/>
                      <w:color w:val="00000A"/>
                      <w:sz w:val="18"/>
                      <w:szCs w:val="18"/>
                      <w:lang w:eastAsia="zh-CN" w:bidi="hi-IN"/>
                    </w:rPr>
                    <w:t>correta:</w:t>
                  </w:r>
                  <w:r>
                    <w:t xml:space="preserve"> </w:t>
                  </w:r>
                  <w:r w:rsidRPr="00376C40">
                    <w:rPr>
                      <w:rFonts w:ascii="Book Antiqua" w:eastAsia="SimSun" w:hAnsi="Book Antiqua"/>
                      <w:color w:val="00000A"/>
                      <w:sz w:val="18"/>
                      <w:szCs w:val="18"/>
                      <w:lang w:eastAsia="zh-CN" w:bidi="hi-IN"/>
                    </w:rPr>
                    <w:t>É legítima a utilização, além da autodeclaração, de critérios subsidiários de heteroidentificação, desde que respeitada a dignidade da pessoa humana e garantidos o contraditório e a ampla defesa.</w:t>
                  </w:r>
                  <w:r>
                    <w:rPr>
                      <w:rFonts w:ascii="Book Antiqua" w:eastAsia="SimSun" w:hAnsi="Book Antiqua"/>
                      <w:color w:val="00000A"/>
                      <w:sz w:val="18"/>
                      <w:szCs w:val="18"/>
                      <w:lang w:eastAsia="zh-CN" w:bidi="hi-IN"/>
                    </w:rPr>
                    <w:t xml:space="preserve"> </w:t>
                  </w:r>
                  <w:r w:rsidRPr="00C222CD">
                    <w:rPr>
                      <w:rFonts w:ascii="Book Antiqua" w:hAnsi="Book Antiqua"/>
                      <w:b/>
                      <w:sz w:val="18"/>
                      <w:szCs w:val="18"/>
                    </w:rPr>
                    <w:t xml:space="preserve">BL: </w:t>
                  </w:r>
                  <w:proofErr w:type="spellStart"/>
                  <w:r w:rsidRPr="00C222CD">
                    <w:rPr>
                      <w:rFonts w:ascii="Book Antiqua" w:hAnsi="Book Antiqua"/>
                      <w:b/>
                      <w:sz w:val="18"/>
                      <w:szCs w:val="18"/>
                    </w:rPr>
                    <w:t>Entend</w:t>
                  </w:r>
                  <w:proofErr w:type="spellEnd"/>
                  <w:r w:rsidRPr="00C222CD">
                    <w:rPr>
                      <w:rFonts w:ascii="Book Antiqua" w:hAnsi="Book Antiqua"/>
                      <w:b/>
                      <w:sz w:val="18"/>
                      <w:szCs w:val="18"/>
                    </w:rPr>
                    <w:t xml:space="preserve">. </w:t>
                  </w:r>
                  <w:proofErr w:type="spellStart"/>
                  <w:r w:rsidRPr="00C222CD">
                    <w:rPr>
                      <w:rFonts w:ascii="Book Antiqua" w:hAnsi="Book Antiqua"/>
                      <w:b/>
                      <w:sz w:val="18"/>
                      <w:szCs w:val="18"/>
                    </w:rPr>
                    <w:t>Jurisprud</w:t>
                  </w:r>
                  <w:proofErr w:type="spellEnd"/>
                  <w:r>
                    <w:rPr>
                      <w:rFonts w:ascii="Book Antiqua" w:hAnsi="Book Antiqua"/>
                      <w:b/>
                      <w:sz w:val="18"/>
                      <w:szCs w:val="18"/>
                    </w:rPr>
                    <w:t>.</w:t>
                  </w:r>
                </w:p>
                <w:p w14:paraId="0B587082" w14:textId="23FDD749" w:rsidR="008A2511" w:rsidRDefault="008A2511" w:rsidP="00367265">
                  <w:pPr>
                    <w:jc w:val="both"/>
                    <w:rPr>
                      <w:rFonts w:ascii="Book Antiqua" w:hAnsi="Book Antiqua"/>
                      <w:b/>
                      <w:bCs/>
                      <w:color w:val="000000"/>
                      <w:sz w:val="18"/>
                      <w:szCs w:val="18"/>
                    </w:rPr>
                  </w:pPr>
                  <w:r>
                    <w:rPr>
                      <w:rFonts w:ascii="Book Antiqua" w:eastAsia="SimSun" w:hAnsi="Book Antiqua"/>
                      <w:b/>
                      <w:bCs/>
                      <w:color w:val="00000A"/>
                      <w:sz w:val="19"/>
                      <w:szCs w:val="19"/>
                      <w:lang w:eastAsia="zh-CN" w:bidi="hi-IN"/>
                    </w:rPr>
                    <w:t>(</w:t>
                  </w:r>
                  <w:r w:rsidRPr="00840C91">
                    <w:rPr>
                      <w:rFonts w:ascii="Book Antiqua" w:eastAsia="SimSun" w:hAnsi="Book Antiqua"/>
                      <w:b/>
                      <w:bCs/>
                      <w:color w:val="00000A"/>
                      <w:sz w:val="18"/>
                      <w:szCs w:val="18"/>
                      <w:highlight w:val="yellow"/>
                      <w:lang w:eastAsia="zh-CN" w:bidi="hi-IN"/>
                    </w:rPr>
                    <w:t>PFN-2023-CESPE</w:t>
                  </w:r>
                  <w:r w:rsidRPr="00840C91">
                    <w:rPr>
                      <w:rFonts w:ascii="Book Antiqua" w:eastAsia="SimSun" w:hAnsi="Book Antiqua"/>
                      <w:b/>
                      <w:bCs/>
                      <w:color w:val="00000A"/>
                      <w:sz w:val="18"/>
                      <w:szCs w:val="18"/>
                      <w:lang w:eastAsia="zh-CN" w:bidi="hi-IN"/>
                    </w:rPr>
                    <w:t>)</w:t>
                  </w:r>
                  <w:r w:rsidRPr="00840C91">
                    <w:rPr>
                      <w:rFonts w:ascii="Book Antiqua" w:eastAsia="SimSun" w:hAnsi="Book Antiqua"/>
                      <w:color w:val="00000A"/>
                      <w:sz w:val="18"/>
                      <w:szCs w:val="18"/>
                      <w:lang w:eastAsia="zh-CN" w:bidi="hi-IN"/>
                    </w:rPr>
                    <w:t>: Com base no princípio da igualdade previsto na CF e na sua interpretação conforme a doutrina, julgue o ite</w:t>
                  </w:r>
                  <w:r>
                    <w:rPr>
                      <w:rFonts w:ascii="Book Antiqua" w:eastAsia="SimSun" w:hAnsi="Book Antiqua"/>
                      <w:color w:val="00000A"/>
                      <w:sz w:val="18"/>
                      <w:szCs w:val="18"/>
                      <w:lang w:eastAsia="zh-CN" w:bidi="hi-IN"/>
                    </w:rPr>
                    <w:t>m</w:t>
                  </w:r>
                  <w:r w:rsidRPr="00840C91">
                    <w:rPr>
                      <w:rFonts w:ascii="Book Antiqua" w:eastAsia="SimSun" w:hAnsi="Book Antiqua"/>
                      <w:color w:val="00000A"/>
                      <w:sz w:val="18"/>
                      <w:szCs w:val="18"/>
                      <w:lang w:eastAsia="zh-CN" w:bidi="hi-IN"/>
                    </w:rPr>
                    <w:t xml:space="preserve"> que se segue: </w:t>
                  </w:r>
                  <w:r w:rsidRPr="00CC0DF4">
                    <w:rPr>
                      <w:rFonts w:ascii="Book Antiqua" w:eastAsia="SimSun" w:hAnsi="Book Antiqua"/>
                      <w:color w:val="00000A"/>
                      <w:sz w:val="18"/>
                      <w:szCs w:val="18"/>
                      <w:lang w:eastAsia="zh-CN" w:bidi="hi-IN"/>
                    </w:rPr>
                    <w:t>A política de cotas raciais insere-se na discriminação positiva e poderá ser realizada conforme assento constitucional.</w:t>
                  </w:r>
                  <w:r>
                    <w:rPr>
                      <w:rFonts w:ascii="Book Antiqua" w:eastAsia="SimSun" w:hAnsi="Book Antiqua"/>
                      <w:color w:val="00000A"/>
                      <w:sz w:val="18"/>
                      <w:szCs w:val="18"/>
                      <w:lang w:eastAsia="zh-CN" w:bidi="hi-IN"/>
                    </w:rPr>
                    <w:t xml:space="preserve"> </w:t>
                  </w:r>
                  <w:r w:rsidRPr="00C222CD">
                    <w:rPr>
                      <w:rFonts w:ascii="Book Antiqua" w:hAnsi="Book Antiqua"/>
                      <w:b/>
                      <w:sz w:val="18"/>
                      <w:szCs w:val="18"/>
                    </w:rPr>
                    <w:t xml:space="preserve">BL: </w:t>
                  </w:r>
                  <w:proofErr w:type="spellStart"/>
                  <w:r w:rsidRPr="00C222CD">
                    <w:rPr>
                      <w:rFonts w:ascii="Book Antiqua" w:hAnsi="Book Antiqua"/>
                      <w:b/>
                      <w:sz w:val="18"/>
                      <w:szCs w:val="18"/>
                    </w:rPr>
                    <w:t>Entend</w:t>
                  </w:r>
                  <w:proofErr w:type="spellEnd"/>
                  <w:r w:rsidRPr="00C222CD">
                    <w:rPr>
                      <w:rFonts w:ascii="Book Antiqua" w:hAnsi="Book Antiqua"/>
                      <w:b/>
                      <w:sz w:val="18"/>
                      <w:szCs w:val="18"/>
                    </w:rPr>
                    <w:t xml:space="preserve">. </w:t>
                  </w:r>
                  <w:proofErr w:type="spellStart"/>
                  <w:r w:rsidRPr="00C222CD">
                    <w:rPr>
                      <w:rFonts w:ascii="Book Antiqua" w:hAnsi="Book Antiqua"/>
                      <w:b/>
                      <w:sz w:val="18"/>
                      <w:szCs w:val="18"/>
                    </w:rPr>
                    <w:t>Jurisprud</w:t>
                  </w:r>
                  <w:proofErr w:type="spellEnd"/>
                  <w:r w:rsidRPr="00C222CD">
                    <w:rPr>
                      <w:rFonts w:ascii="Book Antiqua" w:hAnsi="Book Antiqua"/>
                      <w:b/>
                      <w:sz w:val="18"/>
                      <w:szCs w:val="18"/>
                    </w:rPr>
                    <w:t>.</w:t>
                  </w:r>
                </w:p>
                <w:p w14:paraId="5F9D04AA" w14:textId="7F0559F1" w:rsidR="00D83C98" w:rsidRPr="00D83C98" w:rsidRDefault="00D83C98" w:rsidP="00367265">
                  <w:pPr>
                    <w:jc w:val="both"/>
                    <w:rPr>
                      <w:rFonts w:ascii="Book Antiqua" w:hAnsi="Book Antiqua"/>
                      <w:b/>
                      <w:bCs/>
                      <w:color w:val="000000"/>
                      <w:sz w:val="18"/>
                      <w:szCs w:val="18"/>
                    </w:rPr>
                  </w:pPr>
                  <w:r>
                    <w:rPr>
                      <w:rFonts w:ascii="Book Antiqua" w:hAnsi="Book Antiqua"/>
                      <w:b/>
                      <w:bCs/>
                      <w:color w:val="000000"/>
                      <w:sz w:val="18"/>
                      <w:szCs w:val="18"/>
                    </w:rPr>
                    <w:t>(</w:t>
                  </w:r>
                  <w:r w:rsidRPr="00D83C98">
                    <w:rPr>
                      <w:rFonts w:ascii="Book Antiqua" w:hAnsi="Book Antiqua"/>
                      <w:b/>
                      <w:bCs/>
                      <w:color w:val="000000"/>
                      <w:sz w:val="18"/>
                      <w:szCs w:val="18"/>
                      <w:highlight w:val="yellow"/>
                    </w:rPr>
                    <w:t>DPERR-2021-FCC</w:t>
                  </w:r>
                  <w:r>
                    <w:rPr>
                      <w:rFonts w:ascii="Book Antiqua" w:hAnsi="Book Antiqua"/>
                      <w:b/>
                      <w:bCs/>
                      <w:color w:val="000000"/>
                      <w:sz w:val="18"/>
                      <w:szCs w:val="18"/>
                    </w:rPr>
                    <w:t>)</w:t>
                  </w:r>
                  <w:r>
                    <w:rPr>
                      <w:rFonts w:ascii="Book Antiqua" w:hAnsi="Book Antiqua"/>
                      <w:color w:val="000000"/>
                      <w:sz w:val="18"/>
                      <w:szCs w:val="18"/>
                    </w:rPr>
                    <w:t xml:space="preserve">: </w:t>
                  </w:r>
                  <w:r w:rsidRPr="00D83C98">
                    <w:rPr>
                      <w:rFonts w:ascii="Book Antiqua" w:hAnsi="Book Antiqua"/>
                      <w:color w:val="000000"/>
                      <w:sz w:val="18"/>
                      <w:szCs w:val="18"/>
                    </w:rPr>
                    <w:t xml:space="preserve">O </w:t>
                  </w:r>
                  <w:r>
                    <w:rPr>
                      <w:rFonts w:ascii="Book Antiqua" w:hAnsi="Book Antiqua"/>
                      <w:color w:val="000000"/>
                      <w:sz w:val="18"/>
                      <w:szCs w:val="18"/>
                    </w:rPr>
                    <w:t>STF</w:t>
                  </w:r>
                  <w:r w:rsidRPr="00D83C98">
                    <w:rPr>
                      <w:rFonts w:ascii="Book Antiqua" w:hAnsi="Book Antiqua"/>
                      <w:color w:val="000000"/>
                      <w:sz w:val="18"/>
                      <w:szCs w:val="18"/>
                    </w:rPr>
                    <w:t>, ao reconhecer a constitucionalidade da reserva de 20% das vagas oferecidas nos concursos públicos no âmbito da administração direta e indireta, enfrentou a questão das cotas raciais em três planos de igualdade, tal como compreendida na contemporaneidade, ou seja,</w:t>
                  </w:r>
                  <w:r>
                    <w:t xml:space="preserve"> </w:t>
                  </w:r>
                  <w:r w:rsidRPr="00D83C98">
                    <w:rPr>
                      <w:rFonts w:ascii="Book Antiqua" w:hAnsi="Book Antiqua"/>
                      <w:color w:val="000000"/>
                      <w:sz w:val="18"/>
                      <w:szCs w:val="18"/>
                    </w:rPr>
                    <w:t>formal, material e como reconhecimento.</w:t>
                  </w:r>
                  <w:r>
                    <w:rPr>
                      <w:rFonts w:ascii="Book Antiqua" w:hAnsi="Book Antiqua"/>
                      <w:color w:val="000000"/>
                      <w:sz w:val="18"/>
                      <w:szCs w:val="18"/>
                    </w:rPr>
                    <w:t xml:space="preserve"> </w:t>
                  </w:r>
                  <w:r>
                    <w:rPr>
                      <w:rFonts w:ascii="Book Antiqua" w:hAnsi="Book Antiqua"/>
                      <w:b/>
                      <w:bCs/>
                      <w:color w:val="000000"/>
                      <w:sz w:val="18"/>
                      <w:szCs w:val="18"/>
                    </w:rPr>
                    <w:t>BL: Info 868, STF (vide resumo acima).</w:t>
                  </w:r>
                </w:p>
                <w:p w14:paraId="4F37B5DF" w14:textId="27862097" w:rsidR="00367265" w:rsidRPr="00367265" w:rsidRDefault="00367265" w:rsidP="00367265">
                  <w:pPr>
                    <w:jc w:val="both"/>
                    <w:rPr>
                      <w:rFonts w:ascii="Book Antiqua" w:hAnsi="Book Antiqua"/>
                      <w:b/>
                      <w:bCs/>
                      <w:color w:val="000000"/>
                      <w:sz w:val="18"/>
                      <w:szCs w:val="18"/>
                    </w:rPr>
                  </w:pPr>
                  <w:r w:rsidRPr="00367265">
                    <w:rPr>
                      <w:rFonts w:ascii="Book Antiqua" w:hAnsi="Book Antiqua"/>
                      <w:b/>
                      <w:bCs/>
                      <w:color w:val="000000"/>
                      <w:sz w:val="18"/>
                      <w:szCs w:val="18"/>
                    </w:rPr>
                    <w:t>(</w:t>
                  </w:r>
                  <w:r w:rsidRPr="00367265">
                    <w:rPr>
                      <w:rFonts w:ascii="Book Antiqua" w:hAnsi="Book Antiqua"/>
                      <w:b/>
                      <w:bCs/>
                      <w:color w:val="000000"/>
                      <w:sz w:val="18"/>
                      <w:szCs w:val="18"/>
                      <w:highlight w:val="yellow"/>
                    </w:rPr>
                    <w:t>MPT-2020</w:t>
                  </w:r>
                  <w:r w:rsidRPr="00367265">
                    <w:rPr>
                      <w:rFonts w:ascii="Book Antiqua" w:hAnsi="Book Antiqua"/>
                      <w:b/>
                      <w:bCs/>
                      <w:color w:val="000000"/>
                      <w:sz w:val="18"/>
                      <w:szCs w:val="18"/>
                    </w:rPr>
                    <w:t>)</w:t>
                  </w:r>
                  <w:r w:rsidRPr="00367265">
                    <w:rPr>
                      <w:rFonts w:ascii="Book Antiqua" w:hAnsi="Book Antiqua"/>
                      <w:color w:val="000000"/>
                      <w:sz w:val="18"/>
                      <w:szCs w:val="18"/>
                    </w:rPr>
                    <w:t xml:space="preserve">: Considerando a discriminação racial, o racismo institucional e, também, a decisão proferida pelo STF em sede de Ação Declaratória de Constitucionalidade (ADC n° 41), que analisou a validade da reserva de vagas para negros oferecidas nos concursos públicos, assinale a alternativa correta: O STF entendeu que a desequiparação promovida pela política de ação afirmativa em questão está em consonância com o princípio da isonomia, se funda na necessidade de superar o racismo estrutural e institucional ainda existente na sociedade brasileira e garantir a igualdade material entre </w:t>
                  </w:r>
                  <w:r w:rsidRPr="00367265">
                    <w:rPr>
                      <w:rFonts w:ascii="Book Antiqua" w:hAnsi="Book Antiqua"/>
                      <w:color w:val="000000"/>
                      <w:sz w:val="18"/>
                      <w:szCs w:val="18"/>
                    </w:rPr>
                    <w:lastRenderedPageBreak/>
                    <w:t xml:space="preserve">os cidadãos. Entendeu, ainda, que a incorporação do fator “raça” como critério de seleção, ao invés de afetar o princípio da eficiência, contribui para sua realização em maior extensão, criando uma “burocracia representativa”, capaz de garantir que os pontos de vista e de interesses de toda a população sejam considerados na tomada de decisões estatais. </w:t>
                  </w:r>
                  <w:r w:rsidRPr="00367265">
                    <w:rPr>
                      <w:rFonts w:ascii="Book Antiqua" w:hAnsi="Book Antiqua"/>
                      <w:b/>
                      <w:bCs/>
                      <w:color w:val="000000"/>
                      <w:sz w:val="18"/>
                      <w:szCs w:val="18"/>
                    </w:rPr>
                    <w:t xml:space="preserve">BL: </w:t>
                  </w:r>
                  <w:proofErr w:type="spellStart"/>
                  <w:r w:rsidRPr="00367265">
                    <w:rPr>
                      <w:rFonts w:ascii="Book Antiqua" w:hAnsi="Book Antiqua"/>
                      <w:b/>
                      <w:bCs/>
                      <w:color w:val="000000"/>
                      <w:sz w:val="18"/>
                      <w:szCs w:val="18"/>
                    </w:rPr>
                    <w:t>Entend</w:t>
                  </w:r>
                  <w:proofErr w:type="spellEnd"/>
                  <w:r w:rsidRPr="00367265">
                    <w:rPr>
                      <w:rFonts w:ascii="Book Antiqua" w:hAnsi="Book Antiqua"/>
                      <w:b/>
                      <w:bCs/>
                      <w:color w:val="000000"/>
                      <w:sz w:val="18"/>
                      <w:szCs w:val="18"/>
                    </w:rPr>
                    <w:t xml:space="preserve">. </w:t>
                  </w:r>
                  <w:proofErr w:type="spellStart"/>
                  <w:r w:rsidRPr="00367265">
                    <w:rPr>
                      <w:rFonts w:ascii="Book Antiqua" w:hAnsi="Book Antiqua"/>
                      <w:b/>
                      <w:bCs/>
                      <w:color w:val="000000"/>
                      <w:sz w:val="18"/>
                      <w:szCs w:val="18"/>
                    </w:rPr>
                    <w:t>Jurisprud</w:t>
                  </w:r>
                  <w:proofErr w:type="spellEnd"/>
                  <w:r w:rsidRPr="00367265">
                    <w:rPr>
                      <w:rFonts w:ascii="Book Antiqua" w:hAnsi="Book Antiqua"/>
                      <w:b/>
                      <w:bCs/>
                      <w:color w:val="000000"/>
                      <w:sz w:val="18"/>
                      <w:szCs w:val="18"/>
                    </w:rPr>
                    <w:t>.</w:t>
                  </w:r>
                </w:p>
                <w:p w14:paraId="22F9B349" w14:textId="15D8F88A" w:rsidR="00367265" w:rsidRDefault="00367265" w:rsidP="00367265">
                  <w:pPr>
                    <w:jc w:val="both"/>
                    <w:rPr>
                      <w:rFonts w:ascii="Book Antiqua" w:hAnsi="Book Antiqua"/>
                      <w:color w:val="000000"/>
                      <w:sz w:val="18"/>
                      <w:szCs w:val="18"/>
                    </w:rPr>
                  </w:pPr>
                  <w:r w:rsidRPr="00367265">
                    <w:rPr>
                      <w:rFonts w:ascii="Book Antiqua" w:hAnsi="Book Antiqua"/>
                      <w:b/>
                      <w:bCs/>
                      <w:i/>
                      <w:iCs/>
                      <w:color w:val="FF0000"/>
                      <w:sz w:val="18"/>
                      <w:szCs w:val="18"/>
                    </w:rPr>
                    <w:t>#</w:t>
                  </w:r>
                  <w:r w:rsidRPr="00367265">
                    <w:rPr>
                      <w:rFonts w:ascii="Book Antiqua" w:hAnsi="Book Antiqua"/>
                      <w:b/>
                      <w:bCs/>
                      <w:i/>
                      <w:iCs/>
                      <w:color w:val="FF0000"/>
                      <w:sz w:val="18"/>
                      <w:szCs w:val="18"/>
                      <w:highlight w:val="green"/>
                    </w:rPr>
                    <w:t>Atenção</w:t>
                  </w:r>
                  <w:r w:rsidRPr="00367265">
                    <w:rPr>
                      <w:rFonts w:ascii="Book Antiqua" w:hAnsi="Book Antiqua"/>
                      <w:color w:val="000000"/>
                      <w:sz w:val="18"/>
                      <w:szCs w:val="18"/>
                    </w:rPr>
                    <w:t>: Vejamos o seguinte trecho da ementa da ADI 41/DF: “</w:t>
                  </w:r>
                  <w:r w:rsidRPr="00367265">
                    <w:rPr>
                      <w:rFonts w:ascii="Book Antiqua" w:hAnsi="Book Antiqua"/>
                      <w:i/>
                      <w:iCs/>
                      <w:color w:val="000000"/>
                      <w:sz w:val="18"/>
                      <w:szCs w:val="18"/>
                    </w:rPr>
                    <w:t>1.1. Em primeiro lugar, a desequiparação promovida pela política de ação afirmativa em questão está em consonância com o princípio da isonomia. Ela se funda na necessidade de superar o racismo estrutural e institucional ainda existente na sociedade brasileira, e garantir a igualdade material entre os cidadãos, por meio da distribuição mais equitativa de bens sociais e da promoção do reconhecimento da população afrodescendente. 1.2. Em segundo lugar, não há violação aos princípios do concurso público e da eficiência. A reserva de vagas para negros não os isenta da aprovação no concurso público. Como qualquer outro candidato, o beneficiário da política deve alcançar a nota necessária para que seja considerado apto a exercer, de forma adequada e eficiente, o cargo em questão. Além disso, a incorporação do fator “raça" como critério de seleção, ao invés de afetar o princípio da eficiência, contribui para sua realização em maior extensão, criando uma “burocracia representativa", capaz de garantir que os pontos de vista e interesses de toda a população sejam considerados na tomada de decisões estatais”</w:t>
                  </w:r>
                  <w:r w:rsidRPr="00367265">
                    <w:rPr>
                      <w:rFonts w:ascii="Book Antiqua" w:hAnsi="Book Antiqua"/>
                      <w:color w:val="000000"/>
                      <w:sz w:val="18"/>
                      <w:szCs w:val="18"/>
                    </w:rPr>
                    <w:t>.</w:t>
                  </w:r>
                </w:p>
                <w:p w14:paraId="605FC55E" w14:textId="64615473" w:rsidR="00367265" w:rsidRPr="00367265" w:rsidRDefault="00367265" w:rsidP="00367265">
                  <w:pPr>
                    <w:jc w:val="both"/>
                    <w:rPr>
                      <w:rFonts w:ascii="Book Antiqua" w:hAnsi="Book Antiqua"/>
                      <w:b/>
                      <w:bCs/>
                      <w:color w:val="000000"/>
                      <w:sz w:val="18"/>
                      <w:szCs w:val="18"/>
                    </w:rPr>
                  </w:pPr>
                  <w:r w:rsidRPr="00367265">
                    <w:rPr>
                      <w:rFonts w:ascii="Book Antiqua" w:hAnsi="Book Antiqua"/>
                      <w:b/>
                      <w:bCs/>
                      <w:color w:val="000000"/>
                      <w:sz w:val="18"/>
                      <w:szCs w:val="18"/>
                    </w:rPr>
                    <w:t>(</w:t>
                  </w:r>
                  <w:r w:rsidRPr="00367265">
                    <w:rPr>
                      <w:rFonts w:ascii="Book Antiqua" w:hAnsi="Book Antiqua"/>
                      <w:b/>
                      <w:bCs/>
                      <w:color w:val="000000"/>
                      <w:sz w:val="18"/>
                      <w:szCs w:val="18"/>
                      <w:highlight w:val="yellow"/>
                    </w:rPr>
                    <w:t>MPT-2020</w:t>
                  </w:r>
                  <w:r w:rsidRPr="00367265">
                    <w:rPr>
                      <w:rFonts w:ascii="Book Antiqua" w:hAnsi="Book Antiqua"/>
                      <w:b/>
                      <w:bCs/>
                      <w:color w:val="000000"/>
                      <w:sz w:val="18"/>
                      <w:szCs w:val="18"/>
                    </w:rPr>
                    <w:t>)</w:t>
                  </w:r>
                  <w:r w:rsidRPr="00367265">
                    <w:rPr>
                      <w:rFonts w:ascii="Book Antiqua" w:hAnsi="Book Antiqua"/>
                      <w:color w:val="000000"/>
                      <w:sz w:val="18"/>
                      <w:szCs w:val="18"/>
                    </w:rPr>
                    <w:t xml:space="preserve">: Considerando a discriminação racial, o racismo institucional e, também, a decisão proferida pelo STF em sede de ADC n° 41, que analisou a validade da reserva de vagas para negros oferecidas nos concursos públicos, assinale a alternativa correta: O racismo institucional ou estrutural pode ser entendido como um sistema institucionalizado que, apesar de não ser explicitamente “desenhado” para discriminar, afeta, em múltiplos setores, as condições de vida, as oportunidades e a percepção de mundo que pessoas, negras e brancas, adquirirão ao longo de suas vidas. Pode ser revelado através de mecanismos presentes nas instituições públicas, explícitos ou não, que dificultam a presença dos negros nesses espaços. </w:t>
                  </w:r>
                  <w:r w:rsidRPr="00367265">
                    <w:rPr>
                      <w:rFonts w:ascii="Book Antiqua" w:hAnsi="Book Antiqua"/>
                      <w:b/>
                      <w:bCs/>
                      <w:color w:val="000000"/>
                      <w:sz w:val="18"/>
                      <w:szCs w:val="18"/>
                    </w:rPr>
                    <w:t xml:space="preserve">BL: </w:t>
                  </w:r>
                  <w:proofErr w:type="spellStart"/>
                  <w:r w:rsidRPr="00367265">
                    <w:rPr>
                      <w:rFonts w:ascii="Book Antiqua" w:hAnsi="Book Antiqua"/>
                      <w:b/>
                      <w:bCs/>
                      <w:color w:val="000000"/>
                      <w:sz w:val="18"/>
                      <w:szCs w:val="18"/>
                    </w:rPr>
                    <w:t>Entend</w:t>
                  </w:r>
                  <w:proofErr w:type="spellEnd"/>
                  <w:r w:rsidRPr="00367265">
                    <w:rPr>
                      <w:rFonts w:ascii="Book Antiqua" w:hAnsi="Book Antiqua"/>
                      <w:b/>
                      <w:bCs/>
                      <w:color w:val="000000"/>
                      <w:sz w:val="18"/>
                      <w:szCs w:val="18"/>
                    </w:rPr>
                    <w:t xml:space="preserve">. </w:t>
                  </w:r>
                  <w:proofErr w:type="spellStart"/>
                  <w:r w:rsidRPr="00367265">
                    <w:rPr>
                      <w:rFonts w:ascii="Book Antiqua" w:hAnsi="Book Antiqua"/>
                      <w:b/>
                      <w:bCs/>
                      <w:color w:val="000000"/>
                      <w:sz w:val="18"/>
                      <w:szCs w:val="18"/>
                    </w:rPr>
                    <w:t>Jurisprud</w:t>
                  </w:r>
                  <w:proofErr w:type="spellEnd"/>
                  <w:r w:rsidRPr="00367265">
                    <w:rPr>
                      <w:rFonts w:ascii="Book Antiqua" w:hAnsi="Book Antiqua"/>
                      <w:b/>
                      <w:bCs/>
                      <w:color w:val="000000"/>
                      <w:sz w:val="18"/>
                      <w:szCs w:val="18"/>
                    </w:rPr>
                    <w:t>.</w:t>
                  </w:r>
                </w:p>
                <w:p w14:paraId="2E55197E" w14:textId="3FC37078" w:rsidR="00367265" w:rsidRPr="00367265" w:rsidRDefault="00367265" w:rsidP="00367265">
                  <w:pPr>
                    <w:jc w:val="both"/>
                    <w:rPr>
                      <w:rFonts w:ascii="Book Antiqua" w:hAnsi="Book Antiqua"/>
                      <w:color w:val="000000"/>
                      <w:sz w:val="19"/>
                      <w:szCs w:val="19"/>
                    </w:rPr>
                  </w:pPr>
                  <w:r w:rsidRPr="00367265">
                    <w:rPr>
                      <w:rFonts w:ascii="Book Antiqua" w:hAnsi="Book Antiqua"/>
                      <w:b/>
                      <w:bCs/>
                      <w:i/>
                      <w:iCs/>
                      <w:color w:val="FF0000"/>
                      <w:sz w:val="18"/>
                      <w:szCs w:val="18"/>
                    </w:rPr>
                    <w:t>#</w:t>
                  </w:r>
                  <w:r w:rsidRPr="00367265">
                    <w:rPr>
                      <w:rFonts w:ascii="Book Antiqua" w:hAnsi="Book Antiqua"/>
                      <w:b/>
                      <w:bCs/>
                      <w:i/>
                      <w:iCs/>
                      <w:color w:val="FF0000"/>
                      <w:sz w:val="18"/>
                      <w:szCs w:val="18"/>
                      <w:highlight w:val="green"/>
                    </w:rPr>
                    <w:t>Atenção</w:t>
                  </w:r>
                  <w:r w:rsidRPr="00367265">
                    <w:rPr>
                      <w:rFonts w:ascii="Book Antiqua" w:hAnsi="Book Antiqua"/>
                      <w:color w:val="000000"/>
                      <w:sz w:val="18"/>
                      <w:szCs w:val="18"/>
                    </w:rPr>
                    <w:t xml:space="preserve">: Este entendimento é trazido pelo Relator, no §24 da ADC n. 41: </w:t>
                  </w:r>
                  <w:r>
                    <w:rPr>
                      <w:rFonts w:ascii="Book Antiqua" w:hAnsi="Book Antiqua"/>
                      <w:color w:val="000000"/>
                      <w:sz w:val="18"/>
                      <w:szCs w:val="18"/>
                    </w:rPr>
                    <w:t>“</w:t>
                  </w:r>
                  <w:r w:rsidRPr="00367265">
                    <w:rPr>
                      <w:rFonts w:ascii="Book Antiqua" w:hAnsi="Book Antiqua"/>
                      <w:i/>
                      <w:iCs/>
                      <w:color w:val="000000"/>
                      <w:sz w:val="18"/>
                      <w:szCs w:val="18"/>
                    </w:rPr>
                    <w:t>Esse tipo de racismo não decorre necessariamente da existência de ódio racial ou de um preconceito consciente de brancos em relação aos negros. Ele constitui antes um sistema institucionalizado que, apesar de não ser explicitamente “desenhado" para discriminar, afeta, em múltiplos setores, as condições de vida, as oportunidades, a percepção de mundo e a percepção de si que pessoas, negras e brancas, adquirirão ao longo de suas vidas. Nas palavras de Ivair Augusto Alves dos Santos, “o racismo institucional é revelado através de mecanismos e estratégias presentes nas instituições públicas, explícitos ou não, que dificultam a presença dos negros nesses espaços", de modo que “[o] acesso é dificultado, não por normas e regras escritas e visíveis, mas por obstáculos formais presentes nas relações sociais que se reproduzem nos espaços institucionais e públicos</w:t>
                  </w:r>
                  <w:r>
                    <w:rPr>
                      <w:rFonts w:ascii="Book Antiqua" w:hAnsi="Book Antiqua"/>
                      <w:i/>
                      <w:iCs/>
                      <w:color w:val="000000"/>
                      <w:sz w:val="18"/>
                      <w:szCs w:val="18"/>
                    </w:rPr>
                    <w:t>”</w:t>
                  </w:r>
                  <w:r w:rsidRPr="00367265">
                    <w:rPr>
                      <w:rFonts w:ascii="Book Antiqua" w:hAnsi="Book Antiqua"/>
                      <w:color w:val="000000"/>
                      <w:sz w:val="18"/>
                      <w:szCs w:val="18"/>
                    </w:rPr>
                    <w:t>.</w:t>
                  </w:r>
                </w:p>
              </w:tc>
            </w:tr>
          </w:tbl>
          <w:p w14:paraId="4A8C3075" w14:textId="77777777" w:rsidR="00367265" w:rsidRDefault="00367265" w:rsidP="00367265">
            <w:pPr>
              <w:jc w:val="both"/>
              <w:rPr>
                <w:rFonts w:ascii="Book Antiqua" w:hAnsi="Book Antiqua"/>
                <w:b/>
                <w:bCs/>
                <w:color w:val="000000"/>
                <w:sz w:val="19"/>
                <w:szCs w:val="19"/>
              </w:rPr>
            </w:pPr>
          </w:p>
          <w:p w14:paraId="4E1CB874" w14:textId="70706C61" w:rsidR="00367265" w:rsidRDefault="00367265" w:rsidP="00367265">
            <w:pPr>
              <w:jc w:val="both"/>
              <w:rPr>
                <w:rFonts w:ascii="Book Antiqua" w:eastAsia="Times New Roman" w:hAnsi="Book Antiqua" w:cs="Arial"/>
                <w:color w:val="000000"/>
                <w:sz w:val="19"/>
                <w:szCs w:val="19"/>
                <w:lang w:eastAsia="pt-BR"/>
              </w:rPr>
            </w:pPr>
          </w:p>
        </w:tc>
      </w:tr>
    </w:tbl>
    <w:p w14:paraId="17D9C891"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1§1"/>
      <w:bookmarkEnd w:id="1"/>
      <w:r w:rsidRPr="00BC7C72">
        <w:rPr>
          <w:rFonts w:ascii="Book Antiqua" w:eastAsia="Times New Roman" w:hAnsi="Book Antiqua" w:cs="Arial"/>
          <w:color w:val="000000"/>
          <w:sz w:val="19"/>
          <w:szCs w:val="19"/>
          <w:lang w:eastAsia="pt-BR"/>
        </w:rPr>
        <w:lastRenderedPageBreak/>
        <w:t>§ 1º A reserva de vagas será aplicada sempre que o número de vagas oferecidas no concurso público for igual ou superior a 3 (três).</w:t>
      </w:r>
    </w:p>
    <w:p w14:paraId="18F02E6E"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 w:name="art1§2"/>
      <w:bookmarkEnd w:id="2"/>
      <w:r w:rsidRPr="00BC7C72">
        <w:rPr>
          <w:rFonts w:ascii="Book Antiqua" w:eastAsia="Times New Roman" w:hAnsi="Book Antiqua" w:cs="Arial"/>
          <w:color w:val="000000"/>
          <w:sz w:val="19"/>
          <w:szCs w:val="19"/>
          <w:lang w:eastAsia="pt-BR"/>
        </w:rPr>
        <w:t>§ 2º Na hipótese de quantitativo fracionado para o número de vagas reservadas a candidatos negros, esse será aumentado para o primeiro número inteiro subsequente, em caso de fração igual ou maior que 0,5 (cinco décimos), ou diminuído para número inteiro imediatamente inferior, em caso de fração menor que 0,5 (cinco décimos).</w:t>
      </w:r>
    </w:p>
    <w:p w14:paraId="5131FDF0"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 w:name="art1§3"/>
      <w:bookmarkEnd w:id="3"/>
      <w:r w:rsidRPr="00BC7C72">
        <w:rPr>
          <w:rFonts w:ascii="Book Antiqua" w:eastAsia="Times New Roman" w:hAnsi="Book Antiqua" w:cs="Arial"/>
          <w:color w:val="000000"/>
          <w:sz w:val="19"/>
          <w:szCs w:val="19"/>
          <w:lang w:eastAsia="pt-BR"/>
        </w:rPr>
        <w:t>§ 3º A reserva de vagas a candidatos negros constará expressamente dos editais dos concursos públicos, que deverão especificar o total de vagas correspondentes à reserva para cada cargo ou emprego público oferecido.</w:t>
      </w:r>
    </w:p>
    <w:p w14:paraId="05E7C113" w14:textId="1A7051EA" w:rsidR="00BC7C72" w:rsidRPr="00645283" w:rsidRDefault="00BC7C72" w:rsidP="00BC7C72">
      <w:pPr>
        <w:spacing w:before="100" w:beforeAutospacing="1" w:after="100" w:afterAutospacing="1" w:line="240" w:lineRule="auto"/>
        <w:ind w:firstLine="570"/>
        <w:jc w:val="both"/>
        <w:rPr>
          <w:rFonts w:ascii="Book Antiqua" w:eastAsia="Times New Roman" w:hAnsi="Book Antiqua" w:cs="Arial"/>
          <w:b/>
          <w:bCs/>
          <w:color w:val="000000"/>
          <w:sz w:val="19"/>
          <w:szCs w:val="19"/>
          <w:u w:val="single"/>
          <w:lang w:eastAsia="pt-BR"/>
        </w:rPr>
      </w:pPr>
      <w:bookmarkStart w:id="4" w:name="art2"/>
      <w:bookmarkEnd w:id="4"/>
      <w:r w:rsidRPr="00645283">
        <w:rPr>
          <w:rFonts w:ascii="Book Antiqua" w:eastAsia="Times New Roman" w:hAnsi="Book Antiqua" w:cs="Arial"/>
          <w:b/>
          <w:bCs/>
          <w:color w:val="000000"/>
          <w:sz w:val="19"/>
          <w:szCs w:val="19"/>
          <w:highlight w:val="magenta"/>
          <w:lang w:val="pt-PT" w:eastAsia="pt-BR"/>
        </w:rPr>
        <w:t>Art. 2º</w:t>
      </w:r>
      <w:r w:rsidRPr="00645283">
        <w:rPr>
          <w:rFonts w:ascii="Book Antiqua" w:eastAsia="Times New Roman" w:hAnsi="Book Antiqua" w:cs="Arial"/>
          <w:b/>
          <w:bCs/>
          <w:color w:val="000000"/>
          <w:sz w:val="19"/>
          <w:szCs w:val="19"/>
          <w:lang w:val="pt-PT" w:eastAsia="pt-BR"/>
        </w:rPr>
        <w:t xml:space="preserve"> Poderão concorrer às vagas reservadas a candidatos negros aqueles que se autodeclararem pretos ou pardos no ato da inscrição no concurso público, conforme o quesito cor ou raça utilizado pela Fundação Instituto Brasileiro de Geografia e Estatística - IBGE</w:t>
      </w:r>
      <w:r w:rsidRPr="00645283">
        <w:rPr>
          <w:rFonts w:ascii="Book Antiqua" w:eastAsia="Times New Roman" w:hAnsi="Book Antiqua" w:cs="Arial"/>
          <w:b/>
          <w:bCs/>
          <w:color w:val="000000"/>
          <w:sz w:val="16"/>
          <w:szCs w:val="16"/>
          <w:lang w:val="pt-PT" w:eastAsia="pt-BR"/>
        </w:rPr>
        <w:t>.</w:t>
      </w:r>
      <w:r w:rsidR="00645283" w:rsidRPr="00645283">
        <w:rPr>
          <w:rFonts w:ascii="Book Antiqua" w:eastAsia="Times New Roman" w:hAnsi="Book Antiqua" w:cs="Arial"/>
          <w:b/>
          <w:bCs/>
          <w:color w:val="000000"/>
          <w:sz w:val="16"/>
          <w:szCs w:val="16"/>
          <w:lang w:val="pt-PT" w:eastAsia="pt-BR"/>
        </w:rPr>
        <w:t xml:space="preserve"> </w:t>
      </w:r>
      <w:r w:rsidR="00645283" w:rsidRPr="00645283">
        <w:rPr>
          <w:rFonts w:ascii="Book Antiqua" w:eastAsia="Times New Roman" w:hAnsi="Book Antiqua" w:cs="Arial"/>
          <w:b/>
          <w:bCs/>
          <w:color w:val="FF0000"/>
          <w:sz w:val="16"/>
          <w:szCs w:val="16"/>
          <w:u w:val="single"/>
          <w:lang w:val="pt-PT" w:eastAsia="pt-BR"/>
        </w:rPr>
        <w:t>(MPGO-2022)</w:t>
      </w:r>
    </w:p>
    <w:p w14:paraId="26E6A40F" w14:textId="1377B6AD"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 w:name="art2p"/>
      <w:bookmarkEnd w:id="5"/>
      <w:r w:rsidRPr="00645283">
        <w:rPr>
          <w:rFonts w:ascii="Book Antiqua" w:eastAsia="Times New Roman" w:hAnsi="Book Antiqua" w:cs="Arial"/>
          <w:b/>
          <w:bCs/>
          <w:color w:val="000000"/>
          <w:sz w:val="19"/>
          <w:szCs w:val="19"/>
          <w:highlight w:val="magenta"/>
          <w:lang w:val="pt-PT" w:eastAsia="pt-BR"/>
        </w:rPr>
        <w:t>Parágrafo único</w:t>
      </w:r>
      <w:r w:rsidRPr="00645283">
        <w:rPr>
          <w:rFonts w:ascii="Book Antiqua" w:eastAsia="Times New Roman" w:hAnsi="Book Antiqua" w:cs="Arial"/>
          <w:b/>
          <w:bCs/>
          <w:color w:val="000000"/>
          <w:sz w:val="19"/>
          <w:szCs w:val="19"/>
          <w:lang w:val="pt-PT" w:eastAsia="pt-BR"/>
        </w:rPr>
        <w:t>. Na hipótese de constatação de declaração falsa, </w:t>
      </w:r>
      <w:r w:rsidRPr="00645283">
        <w:rPr>
          <w:rFonts w:ascii="Book Antiqua" w:eastAsia="Times New Roman" w:hAnsi="Book Antiqua" w:cs="Arial"/>
          <w:b/>
          <w:bCs/>
          <w:color w:val="000000"/>
          <w:sz w:val="19"/>
          <w:szCs w:val="19"/>
          <w:lang w:eastAsia="pt-BR"/>
        </w:rPr>
        <w:t>o candidato será eliminado do concurso e, se houver sido nomeado, ficará sujeito à anulação da sua admissão ao serviço ou emprego público, após procedimento administrativo em que lhe sejam assegurados o contraditório e a ampla defesa, sem prejuízo de outras sanções cabíveis</w:t>
      </w:r>
      <w:r w:rsidRPr="00BC7C72">
        <w:rPr>
          <w:rFonts w:ascii="Book Antiqua" w:eastAsia="Times New Roman" w:hAnsi="Book Antiqua" w:cs="Arial"/>
          <w:color w:val="000000"/>
          <w:sz w:val="19"/>
          <w:szCs w:val="19"/>
          <w:lang w:eastAsia="pt-BR"/>
        </w:rPr>
        <w:t>.</w:t>
      </w:r>
      <w:r w:rsidR="00645283">
        <w:rPr>
          <w:rFonts w:ascii="Book Antiqua" w:eastAsia="Times New Roman" w:hAnsi="Book Antiqua" w:cs="Arial"/>
          <w:color w:val="000000"/>
          <w:sz w:val="19"/>
          <w:szCs w:val="19"/>
          <w:lang w:eastAsia="pt-BR"/>
        </w:rPr>
        <w:t xml:space="preserve"> </w:t>
      </w:r>
      <w:r w:rsidR="00645283" w:rsidRPr="00645283">
        <w:rPr>
          <w:rFonts w:ascii="Book Antiqua" w:eastAsia="Times New Roman" w:hAnsi="Book Antiqua" w:cs="Arial"/>
          <w:b/>
          <w:bCs/>
          <w:color w:val="FF0000"/>
          <w:sz w:val="16"/>
          <w:szCs w:val="16"/>
          <w:u w:val="single"/>
          <w:lang w:val="pt-PT" w:eastAsia="pt-BR"/>
        </w:rPr>
        <w:t>(MPGO-2022)</w:t>
      </w:r>
    </w:p>
    <w:p w14:paraId="7930A917"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 w:name="art3"/>
      <w:bookmarkEnd w:id="6"/>
      <w:r w:rsidRPr="00BC7C72">
        <w:rPr>
          <w:rFonts w:ascii="Book Antiqua" w:eastAsia="Times New Roman" w:hAnsi="Book Antiqua" w:cs="Arial"/>
          <w:color w:val="000000"/>
          <w:sz w:val="19"/>
          <w:szCs w:val="19"/>
          <w:lang w:eastAsia="pt-BR"/>
        </w:rPr>
        <w:t>Art. 3º Os candidatos negros concorrerão concomitantemente às vagas reservadas e às vagas destinadas à ampla concorrência, de acordo com a sua classificação no concurso.</w:t>
      </w:r>
    </w:p>
    <w:p w14:paraId="5AD3C8CC"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 w:name="art3§1"/>
      <w:bookmarkEnd w:id="7"/>
      <w:r w:rsidRPr="00BC7C72">
        <w:rPr>
          <w:rFonts w:ascii="Book Antiqua" w:eastAsia="Times New Roman" w:hAnsi="Book Antiqua" w:cs="Arial"/>
          <w:color w:val="000000"/>
          <w:sz w:val="19"/>
          <w:szCs w:val="19"/>
          <w:lang w:eastAsia="pt-BR"/>
        </w:rPr>
        <w:t>§ 1º Os candidatos negros aprovados dentro do número de vagas oferecido para ampla concorrência não serão computados para efeito do preenchimento das vagas reservadas.</w:t>
      </w:r>
    </w:p>
    <w:p w14:paraId="09CB1440"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 w:name="art3§2"/>
      <w:bookmarkEnd w:id="8"/>
      <w:r w:rsidRPr="00BC7C72">
        <w:rPr>
          <w:rFonts w:ascii="Book Antiqua" w:eastAsia="Times New Roman" w:hAnsi="Book Antiqua" w:cs="Arial"/>
          <w:color w:val="000000"/>
          <w:sz w:val="19"/>
          <w:szCs w:val="19"/>
          <w:lang w:eastAsia="pt-BR"/>
        </w:rPr>
        <w:lastRenderedPageBreak/>
        <w:t>§ 2º Em caso de desistência de candidato negro aprovado em vaga reservada, a vaga será preenchida pelo candidato negro posteriormente classificado.</w:t>
      </w:r>
    </w:p>
    <w:p w14:paraId="4ED4A26E"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 w:name="art3§3"/>
      <w:bookmarkEnd w:id="9"/>
      <w:r w:rsidRPr="00BC7C72">
        <w:rPr>
          <w:rFonts w:ascii="Book Antiqua" w:eastAsia="Times New Roman" w:hAnsi="Book Antiqua" w:cs="Arial"/>
          <w:color w:val="000000"/>
          <w:sz w:val="19"/>
          <w:szCs w:val="19"/>
          <w:lang w:eastAsia="pt-BR"/>
        </w:rPr>
        <w:t>§ 3º Na hipótese de não haver número de candidatos negros aprovados suficiente para ocupar as vagas reservadas, as vagas remanescentes serão revertidas para a ampla concorrência e serão preenchidas pelos demais candidatos aprovados, observada a ordem de classificação.</w:t>
      </w:r>
    </w:p>
    <w:p w14:paraId="4E68453B"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 w:name="art4"/>
      <w:bookmarkEnd w:id="10"/>
      <w:r w:rsidRPr="00BC7C72">
        <w:rPr>
          <w:rFonts w:ascii="Book Antiqua" w:eastAsia="Times New Roman" w:hAnsi="Book Antiqua" w:cs="Arial"/>
          <w:color w:val="000000"/>
          <w:sz w:val="19"/>
          <w:szCs w:val="19"/>
          <w:lang w:eastAsia="pt-BR"/>
        </w:rPr>
        <w:t>Art. 4º A nomeação dos candidatos aprovados respeitará os critérios de alternância e proporcionalidade, que consideram a relação entre o número de vagas total e o número de vagas reservadas a candidatos com deficiência e a candidatos negros.</w:t>
      </w:r>
    </w:p>
    <w:p w14:paraId="1134B829"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 w:name="art5"/>
      <w:bookmarkEnd w:id="11"/>
      <w:r w:rsidRPr="00BC7C72">
        <w:rPr>
          <w:rFonts w:ascii="Book Antiqua" w:eastAsia="Times New Roman" w:hAnsi="Book Antiqua" w:cs="Arial"/>
          <w:color w:val="000000"/>
          <w:sz w:val="19"/>
          <w:szCs w:val="19"/>
          <w:lang w:eastAsia="pt-BR"/>
        </w:rPr>
        <w:t>Art. 5º O órgão responsável pela política de promoção da igualdade étnica de que trata o </w:t>
      </w:r>
      <w:hyperlink r:id="rId5" w:anchor="art49%C2%A71" w:history="1">
        <w:r w:rsidRPr="00BC7C72">
          <w:rPr>
            <w:rFonts w:ascii="Book Antiqua" w:eastAsia="Times New Roman" w:hAnsi="Book Antiqua" w:cs="Arial"/>
            <w:color w:val="0000FF"/>
            <w:sz w:val="19"/>
            <w:szCs w:val="19"/>
            <w:u w:val="single"/>
            <w:lang w:eastAsia="pt-BR"/>
          </w:rPr>
          <w:t>§ 1º do art. 49 da Lei nº 12.288, de 20 de julho de 2010, </w:t>
        </w:r>
      </w:hyperlink>
      <w:r w:rsidRPr="00BC7C72">
        <w:rPr>
          <w:rFonts w:ascii="Book Antiqua" w:eastAsia="Times New Roman" w:hAnsi="Book Antiqua" w:cs="Arial"/>
          <w:color w:val="000000"/>
          <w:sz w:val="19"/>
          <w:szCs w:val="19"/>
          <w:lang w:eastAsia="pt-BR"/>
        </w:rPr>
        <w:t>será responsável pelo acompanhamento e avaliação anual do disposto nesta Lei, nos moldes previstos no </w:t>
      </w:r>
      <w:hyperlink r:id="rId6" w:anchor="art59" w:history="1">
        <w:r w:rsidRPr="00BC7C72">
          <w:rPr>
            <w:rFonts w:ascii="Book Antiqua" w:eastAsia="Times New Roman" w:hAnsi="Book Antiqua" w:cs="Arial"/>
            <w:color w:val="0000FF"/>
            <w:sz w:val="19"/>
            <w:szCs w:val="19"/>
            <w:u w:val="single"/>
            <w:lang w:eastAsia="pt-BR"/>
          </w:rPr>
          <w:t>art. 59 da Lei nº 12.288, de 20 de julho de 2010.</w:t>
        </w:r>
      </w:hyperlink>
    </w:p>
    <w:p w14:paraId="2E89BA90"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 w:name="art6"/>
      <w:bookmarkEnd w:id="12"/>
      <w:r w:rsidRPr="00BC7C72">
        <w:rPr>
          <w:rFonts w:ascii="Book Antiqua" w:eastAsia="Times New Roman" w:hAnsi="Book Antiqua" w:cs="Arial"/>
          <w:color w:val="000000"/>
          <w:sz w:val="19"/>
          <w:szCs w:val="19"/>
          <w:lang w:eastAsia="pt-BR"/>
        </w:rPr>
        <w:t>Art. 6º Esta Lei entra em vigor na data de sua publicação e terá vigência pelo prazo de 10 (dez) anos.</w:t>
      </w:r>
    </w:p>
    <w:p w14:paraId="74C6EC98" w14:textId="77777777" w:rsidR="00BC7C72" w:rsidRPr="00BC7C72" w:rsidRDefault="00BC7C72" w:rsidP="00BC7C72">
      <w:pPr>
        <w:spacing w:before="100" w:beforeAutospacing="1" w:after="100" w:afterAutospacing="1" w:line="240" w:lineRule="auto"/>
        <w:ind w:firstLine="570"/>
        <w:rPr>
          <w:rFonts w:ascii="Book Antiqua" w:eastAsia="Times New Roman" w:hAnsi="Book Antiqua" w:cs="Arial"/>
          <w:color w:val="000000"/>
          <w:sz w:val="19"/>
          <w:szCs w:val="19"/>
          <w:lang w:eastAsia="pt-BR"/>
        </w:rPr>
      </w:pPr>
      <w:bookmarkStart w:id="13" w:name="art6p"/>
      <w:bookmarkEnd w:id="13"/>
      <w:r w:rsidRPr="00BC7C72">
        <w:rPr>
          <w:rFonts w:ascii="Book Antiqua" w:eastAsia="Times New Roman" w:hAnsi="Book Antiqua" w:cs="Arial"/>
          <w:color w:val="000000"/>
          <w:sz w:val="19"/>
          <w:szCs w:val="19"/>
          <w:lang w:eastAsia="pt-BR"/>
        </w:rPr>
        <w:t>Parágrafo único. Esta Lei não se aplicará aos concursos cujos editais já tiverem sido publicados antes de sua entrada em vigor.</w:t>
      </w:r>
    </w:p>
    <w:p w14:paraId="0E6F6B99" w14:textId="77777777" w:rsidR="00BC7C72" w:rsidRPr="00BC7C72" w:rsidRDefault="00BC7C72" w:rsidP="00BC7C7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BC7C72">
        <w:rPr>
          <w:rFonts w:ascii="Book Antiqua" w:eastAsia="Times New Roman" w:hAnsi="Book Antiqua" w:cs="Arial"/>
          <w:color w:val="000000"/>
          <w:sz w:val="19"/>
          <w:szCs w:val="19"/>
          <w:lang w:eastAsia="pt-BR"/>
        </w:rPr>
        <w:t>Brasília, 9 de junho de 2014; 193º da Independência e 126º da República.</w:t>
      </w:r>
    </w:p>
    <w:p w14:paraId="5501179A" w14:textId="23AEFE9E" w:rsidR="00F30289" w:rsidRPr="00BC7C72" w:rsidRDefault="00BC7C72" w:rsidP="00BC7C72">
      <w:pPr>
        <w:spacing w:before="100" w:beforeAutospacing="1" w:after="100" w:afterAutospacing="1" w:line="240" w:lineRule="auto"/>
        <w:rPr>
          <w:rFonts w:ascii="Book Antiqua" w:eastAsia="Times New Roman" w:hAnsi="Book Antiqua" w:cs="Arial"/>
          <w:color w:val="000000"/>
          <w:sz w:val="19"/>
          <w:szCs w:val="19"/>
          <w:lang w:eastAsia="pt-BR"/>
        </w:rPr>
      </w:pPr>
      <w:r w:rsidRPr="00BC7C72">
        <w:rPr>
          <w:rFonts w:ascii="Book Antiqua" w:eastAsia="Times New Roman" w:hAnsi="Book Antiqua" w:cs="Arial"/>
          <w:color w:val="000000"/>
          <w:sz w:val="19"/>
          <w:szCs w:val="19"/>
          <w:lang w:eastAsia="pt-BR"/>
        </w:rPr>
        <w:t>DILMA ROUSSEFF</w:t>
      </w:r>
      <w:r w:rsidRPr="00BC7C72">
        <w:rPr>
          <w:rFonts w:ascii="Book Antiqua" w:eastAsia="Times New Roman" w:hAnsi="Book Antiqua" w:cs="Arial"/>
          <w:color w:val="000000"/>
          <w:sz w:val="19"/>
          <w:szCs w:val="19"/>
          <w:lang w:eastAsia="pt-BR"/>
        </w:rPr>
        <w:br/>
      </w:r>
      <w:r w:rsidRPr="00BC7C72">
        <w:rPr>
          <w:rFonts w:ascii="Book Antiqua" w:eastAsia="Times New Roman" w:hAnsi="Book Antiqua" w:cs="Arial"/>
          <w:i/>
          <w:iCs/>
          <w:color w:val="000000"/>
          <w:sz w:val="19"/>
          <w:szCs w:val="19"/>
          <w:lang w:eastAsia="pt-BR"/>
        </w:rPr>
        <w:t>Miriam Belchior</w:t>
      </w:r>
      <w:r w:rsidRPr="00BC7C72">
        <w:rPr>
          <w:rFonts w:ascii="Book Antiqua" w:eastAsia="Times New Roman" w:hAnsi="Book Antiqua" w:cs="Arial"/>
          <w:i/>
          <w:iCs/>
          <w:color w:val="000000"/>
          <w:sz w:val="19"/>
          <w:szCs w:val="19"/>
          <w:lang w:eastAsia="pt-BR"/>
        </w:rPr>
        <w:br/>
        <w:t>Luiza Helena de Bairros</w:t>
      </w:r>
    </w:p>
    <w:sectPr w:rsidR="00F30289" w:rsidRPr="00BC7C72" w:rsidSect="00BC7C72">
      <w:pgSz w:w="11906" w:h="16838"/>
      <w:pgMar w:top="1135"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289"/>
    <w:rsid w:val="00165D6E"/>
    <w:rsid w:val="00325AE7"/>
    <w:rsid w:val="00367265"/>
    <w:rsid w:val="00370221"/>
    <w:rsid w:val="00376C40"/>
    <w:rsid w:val="003A20E0"/>
    <w:rsid w:val="003F0CD4"/>
    <w:rsid w:val="0064280B"/>
    <w:rsid w:val="00645283"/>
    <w:rsid w:val="00651D79"/>
    <w:rsid w:val="006A59F1"/>
    <w:rsid w:val="00843E0F"/>
    <w:rsid w:val="008A2511"/>
    <w:rsid w:val="00A931C7"/>
    <w:rsid w:val="00AE5F06"/>
    <w:rsid w:val="00BC7C72"/>
    <w:rsid w:val="00BF241C"/>
    <w:rsid w:val="00C2663D"/>
    <w:rsid w:val="00CB30D1"/>
    <w:rsid w:val="00CF6441"/>
    <w:rsid w:val="00D8062F"/>
    <w:rsid w:val="00D83C98"/>
    <w:rsid w:val="00F30289"/>
    <w:rsid w:val="00FA5A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25AB7"/>
  <w15:chartTrackingRefBased/>
  <w15:docId w15:val="{6CCE1CBB-B380-4DB3-86A7-D534989FC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C7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54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_Ato2007-2010/2010/Lei/L12288.htm" TargetMode="External"/><Relationship Id="rId5" Type="http://schemas.openxmlformats.org/officeDocument/2006/relationships/hyperlink" Target="http://www.planalto.gov.br/ccivil_03/_Ato2007-2010/2010/Lei/L12288.htm" TargetMode="External"/><Relationship Id="rId4" Type="http://schemas.openxmlformats.org/officeDocument/2006/relationships/hyperlink" Target="http://legislacao.planalto.gov.br/legisla/legislacao.nsf/Viw_Identificacao/lei%2012.990-2014?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1742</Words>
  <Characters>9412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15</cp:revision>
  <dcterms:created xsi:type="dcterms:W3CDTF">2022-10-26T18:00:00Z</dcterms:created>
  <dcterms:modified xsi:type="dcterms:W3CDTF">2025-11-13T18:30:00Z</dcterms:modified>
</cp:coreProperties>
</file>