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B8053" w14:textId="1DB7BF83" w:rsidR="00A00BEE" w:rsidRPr="00A00BEE" w:rsidRDefault="00A00BEE" w:rsidP="00B00BCC">
      <w:pPr>
        <w:spacing w:before="300" w:after="300" w:line="240" w:lineRule="auto"/>
        <w:jc w:val="center"/>
        <w:rPr>
          <w:rFonts w:ascii="Book Antiqua" w:eastAsia="Times New Roman" w:hAnsi="Book Antiqua" w:cs="Arial"/>
          <w:b/>
          <w:bCs/>
          <w:color w:val="FF0000"/>
          <w:sz w:val="19"/>
          <w:szCs w:val="19"/>
          <w:lang w:eastAsia="pt-BR"/>
        </w:rPr>
      </w:pPr>
      <w:r w:rsidRPr="00A00BEE">
        <w:rPr>
          <w:rFonts w:ascii="Book Antiqua" w:eastAsia="Times New Roman" w:hAnsi="Book Antiqua" w:cs="Arial"/>
          <w:b/>
          <w:bCs/>
          <w:color w:val="FF0000"/>
          <w:sz w:val="19"/>
          <w:szCs w:val="19"/>
          <w:lang w:eastAsia="pt-BR"/>
        </w:rPr>
        <w:t>(Atualização em 12/10/2021: questões de concurso)</w:t>
      </w:r>
    </w:p>
    <w:p w14:paraId="51A73C77" w14:textId="37080603" w:rsidR="00B00BCC" w:rsidRPr="00A00BEE" w:rsidRDefault="00B00BCC" w:rsidP="00B00BCC">
      <w:pPr>
        <w:spacing w:before="300" w:after="300" w:line="240" w:lineRule="auto"/>
        <w:jc w:val="center"/>
        <w:rPr>
          <w:rFonts w:ascii="Book Antiqua" w:eastAsia="Times New Roman" w:hAnsi="Book Antiqua" w:cs="Times New Roman"/>
          <w:sz w:val="19"/>
          <w:szCs w:val="19"/>
          <w:lang w:eastAsia="pt-BR"/>
        </w:rPr>
      </w:pPr>
      <w:hyperlink r:id="rId4" w:history="1">
        <w:r w:rsidRPr="00A00BEE">
          <w:rPr>
            <w:rFonts w:ascii="Book Antiqua" w:eastAsia="Times New Roman" w:hAnsi="Book Antiqua" w:cs="Arial"/>
            <w:b/>
            <w:bCs/>
            <w:color w:val="000080"/>
            <w:sz w:val="19"/>
            <w:szCs w:val="19"/>
            <w:u w:val="single"/>
            <w:lang w:eastAsia="pt-BR"/>
          </w:rPr>
          <w:t>LEI Nº 13.812, DE 16 DE MARÇO DE 2019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B00BCC" w:rsidRPr="00A00BEE" w14:paraId="26A6FEF4" w14:textId="77777777" w:rsidTr="00A00BEE">
        <w:trPr>
          <w:tblCellSpacing w:w="0" w:type="dxa"/>
        </w:trPr>
        <w:tc>
          <w:tcPr>
            <w:tcW w:w="1417" w:type="pct"/>
            <w:vAlign w:val="center"/>
            <w:hideMark/>
          </w:tcPr>
          <w:p w14:paraId="17C786C3" w14:textId="0758A3A9" w:rsidR="00B00BCC" w:rsidRPr="00A00BEE" w:rsidRDefault="00B00BCC" w:rsidP="00B00BCC">
            <w:pPr>
              <w:spacing w:after="0" w:line="240" w:lineRule="auto"/>
              <w:rPr>
                <w:rFonts w:ascii="Book Antiqua" w:eastAsia="Times New Roman" w:hAnsi="Book Antiqua" w:cs="Times New Roman"/>
                <w:sz w:val="19"/>
                <w:szCs w:val="19"/>
                <w:lang w:eastAsia="pt-BR"/>
              </w:rPr>
            </w:pPr>
          </w:p>
        </w:tc>
        <w:tc>
          <w:tcPr>
            <w:tcW w:w="3583" w:type="pct"/>
            <w:vAlign w:val="center"/>
            <w:hideMark/>
          </w:tcPr>
          <w:p w14:paraId="5C899F09" w14:textId="77777777" w:rsidR="00B00BCC" w:rsidRPr="00A00BEE" w:rsidRDefault="00B00BCC" w:rsidP="00B00BCC">
            <w:pPr>
              <w:spacing w:before="100" w:beforeAutospacing="1" w:after="100" w:afterAutospacing="1" w:line="240" w:lineRule="auto"/>
              <w:jc w:val="both"/>
              <w:rPr>
                <w:rFonts w:ascii="Book Antiqua" w:eastAsia="Times New Roman" w:hAnsi="Book Antiqua" w:cs="Times New Roman"/>
                <w:sz w:val="19"/>
                <w:szCs w:val="19"/>
                <w:lang w:eastAsia="pt-BR"/>
              </w:rPr>
            </w:pPr>
            <w:r w:rsidRPr="00A00BEE">
              <w:rPr>
                <w:rFonts w:ascii="Book Antiqua" w:eastAsia="Times New Roman" w:hAnsi="Book Antiqua" w:cs="Arial"/>
                <w:color w:val="800000"/>
                <w:sz w:val="19"/>
                <w:szCs w:val="19"/>
                <w:lang w:eastAsia="pt-BR"/>
              </w:rPr>
              <w:t>Institui a Política Nacional de Busca de Pessoas Desaparecidas, cria o Cadastro Nacional de Pessoas Desaparecidas e altera a Lei nº 8.069, de 13 de julho de 1990 (Estatuto da Criança e do Adolescente).</w:t>
            </w:r>
          </w:p>
        </w:tc>
      </w:tr>
    </w:tbl>
    <w:p w14:paraId="6F8F9295"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b/>
          <w:bCs/>
          <w:color w:val="000000"/>
          <w:sz w:val="19"/>
          <w:szCs w:val="19"/>
          <w:lang w:eastAsia="pt-BR"/>
        </w:rPr>
        <w:t xml:space="preserve">O PRESIDENTE DA REPÚBLICA </w:t>
      </w:r>
      <w:r w:rsidRPr="00A00BEE">
        <w:rPr>
          <w:rFonts w:ascii="Book Antiqua" w:eastAsia="Times New Roman" w:hAnsi="Book Antiqua" w:cs="Arial"/>
          <w:color w:val="000000"/>
          <w:sz w:val="19"/>
          <w:szCs w:val="19"/>
          <w:lang w:eastAsia="pt-BR"/>
        </w:rPr>
        <w:t>Faço saber que o Congresso Nacional decreta e eu sanciono a seguinte Lei:</w:t>
      </w:r>
    </w:p>
    <w:p w14:paraId="71F743F4"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0" w:name="art1"/>
      <w:bookmarkEnd w:id="0"/>
      <w:r w:rsidRPr="00A00BEE">
        <w:rPr>
          <w:rFonts w:ascii="Book Antiqua" w:eastAsia="Times New Roman" w:hAnsi="Book Antiqua" w:cs="Arial"/>
          <w:sz w:val="19"/>
          <w:szCs w:val="19"/>
          <w:lang w:eastAsia="pt-BR"/>
        </w:rPr>
        <w:t>Art. 1º  Esta Lei institui a Política Nacional de Busca de Pessoas Desaparecidas e cria o Cadastro Nacional de Pessoas Desaparecidas.</w:t>
      </w:r>
    </w:p>
    <w:p w14:paraId="35F6E226"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Parágrafo único. Os deveres atribuídos por esta Lei aos Estados e a órgãos estaduais aplicam-se ao Distrito Federal e aos Territórios.</w:t>
      </w:r>
    </w:p>
    <w:p w14:paraId="5B4EA50B"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 w:name="art2"/>
      <w:bookmarkEnd w:id="1"/>
      <w:r w:rsidRPr="00A00BEE">
        <w:rPr>
          <w:rFonts w:ascii="Book Antiqua" w:eastAsia="Times New Roman" w:hAnsi="Book Antiqua" w:cs="Arial"/>
          <w:sz w:val="19"/>
          <w:szCs w:val="19"/>
          <w:lang w:eastAsia="pt-BR"/>
        </w:rPr>
        <w:t>Art. 2º  Para efeitos desta Lei, considera-se:</w:t>
      </w:r>
    </w:p>
    <w:p w14:paraId="731E7DA5"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 - pessoa desaparecida: todo ser humano cujo paradeiro é desconhecido, não importando a causa de seu desaparecimento, até que sua recuperação e identificação tenham sido confirmadas por vias físicas ou científicas;</w:t>
      </w:r>
    </w:p>
    <w:p w14:paraId="73C71D4C"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 - criança ou adolescente desaparecido: toda pessoa desaparecida menor de 18 (dezoito) anos;</w:t>
      </w:r>
    </w:p>
    <w:p w14:paraId="38BBDE47"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III - autoridade central federal: órgão responsável pela consolidação das informações em nível nacional, pela definição das diretrizes da investigação de pessoas desaparecidas e pela coordenação das ações de cooperação operacional entre os órgãos de segurança pública;</w:t>
      </w:r>
    </w:p>
    <w:p w14:paraId="1A4B1267"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IV - autoridade central estadual: órgão responsável pela consolidação das informações em nível estadual, pela definição das diretrizes da investigação de pessoas desaparecidas em âmbito estadual e pela coordenação das ações de cooperação operacional entre os órgãos de segurança pública;</w:t>
      </w:r>
    </w:p>
    <w:p w14:paraId="4D0DAD45"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V - cooperação operacional: compartilhamento de informações e integração de sistemas de informação entre órgãos estaduais e federais com a finalidade de unificar e aperfeiçoar o sistema nacional de localização de pessoas desaparecidas, coordenado pelos órgãos de segurança pública, com a intervenção de outras entidades, quando necessário.</w:t>
      </w:r>
    </w:p>
    <w:p w14:paraId="20BCFE38"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2" w:name="art3"/>
      <w:bookmarkEnd w:id="2"/>
      <w:r w:rsidRPr="00A00BEE">
        <w:rPr>
          <w:rFonts w:ascii="Book Antiqua" w:eastAsia="Times New Roman" w:hAnsi="Book Antiqua" w:cs="Arial"/>
          <w:sz w:val="19"/>
          <w:szCs w:val="19"/>
          <w:lang w:eastAsia="pt-BR"/>
        </w:rPr>
        <w:t>Art. 3º  A busca e a localização de pessoas desaparecidas são consideradas prioridade com caráter de urgência pelo poder público e devem ser realizadas preferencialmente por órgãos investigativos especializados, sendo obrigatória a cooperação operacional por meio de cadastro nacional, incluídos órgãos de segurança pública e outras entidades que venham a intervir nesses casos.</w:t>
      </w:r>
    </w:p>
    <w:p w14:paraId="0D716F22"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3" w:name="art4"/>
      <w:bookmarkEnd w:id="3"/>
      <w:r w:rsidRPr="00A00BEE">
        <w:rPr>
          <w:rFonts w:ascii="Book Antiqua" w:eastAsia="Times New Roman" w:hAnsi="Book Antiqua" w:cs="Arial"/>
          <w:sz w:val="19"/>
          <w:szCs w:val="19"/>
          <w:lang w:eastAsia="pt-BR"/>
        </w:rPr>
        <w:t>Art. 4º  No cumprimento do disposto no art. 3º desta Lei, o poder público observará as seguintes diretrizes:</w:t>
      </w:r>
    </w:p>
    <w:p w14:paraId="53C11516"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 - desenvolvimento de programas de inteligência e articulação entre órgãos de segurança pública e demais órgãos públicos na investigação das circunstâncias do desaparecimento, até a localização da pessoa desaparecida;</w:t>
      </w:r>
    </w:p>
    <w:p w14:paraId="3152CD80"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 - apoio e empenho do poder público à pesquisa e ao desenvolvimento científico e tecnológico voltados às análises que auxiliem e contribuam para a elucidação dos casos de desaparecimento, até a localização da pessoa desaparecida;</w:t>
      </w:r>
    </w:p>
    <w:p w14:paraId="50A27F8A"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III - participação dos órgãos públicos e da sociedade civil na formulação, na definição e no controle das ações da política de que trata esta Lei;</w:t>
      </w:r>
    </w:p>
    <w:p w14:paraId="0503BB63"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lastRenderedPageBreak/>
        <w:t>IV - desenvolvimento de sistema de informações, transferência de dados e comunicação em rede entre os diversos órgãos envolvidos, principalmente os de segurança pública, de modo a agilizar a divulgação dos desaparecimentos e a contribuir com as investigações, a busca e a localização de pessoas desaparecidas;</w:t>
      </w:r>
    </w:p>
    <w:p w14:paraId="7B3867CE"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V - disponibilização e divulgação, na internet, nos diversos meios de comunicação e em outros meios, de informações que contenham dados básicos das pessoas desaparecidas;</w:t>
      </w:r>
    </w:p>
    <w:p w14:paraId="3DF3356F"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VI - capacitação permanente dos agentes públicos responsáveis pela investigação dos casos de desaparecimento e pela identificação das pessoas desaparecidas.</w:t>
      </w:r>
    </w:p>
    <w:p w14:paraId="3655B6DF"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xml:space="preserve">Parágrafo único. Para fins do disposto no inciso III do </w:t>
      </w:r>
      <w:r w:rsidRPr="00A00BEE">
        <w:rPr>
          <w:rFonts w:ascii="Book Antiqua" w:eastAsia="Times New Roman" w:hAnsi="Book Antiqua" w:cs="Arial"/>
          <w:b/>
          <w:bCs/>
          <w:sz w:val="19"/>
          <w:szCs w:val="19"/>
          <w:lang w:eastAsia="pt-BR"/>
        </w:rPr>
        <w:t>caput</w:t>
      </w:r>
      <w:r w:rsidRPr="00A00BEE">
        <w:rPr>
          <w:rFonts w:ascii="Book Antiqua" w:eastAsia="Times New Roman" w:hAnsi="Book Antiqua" w:cs="Arial"/>
          <w:sz w:val="19"/>
          <w:szCs w:val="19"/>
          <w:lang w:eastAsia="pt-BR"/>
        </w:rPr>
        <w:t xml:space="preserve"> deste artigo, participarão, entre outros, representantes:</w:t>
      </w:r>
    </w:p>
    <w:p w14:paraId="115550CC"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 - de órgãos de segurança pública;</w:t>
      </w:r>
    </w:p>
    <w:p w14:paraId="1109560A"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 - de órgãos de direitos humanos e de defesa da cidadania;</w:t>
      </w:r>
    </w:p>
    <w:p w14:paraId="2E366C64"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III - dos institutos de identificação, de medicina legal e de criminalística;</w:t>
      </w:r>
    </w:p>
    <w:p w14:paraId="78E8F8FD"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IV - do Ministério Público;</w:t>
      </w:r>
    </w:p>
    <w:p w14:paraId="1CA4F8C0"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V - da Defensoria Pública;</w:t>
      </w:r>
    </w:p>
    <w:p w14:paraId="7FE79485"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VI - da Assistência Social;</w:t>
      </w:r>
    </w:p>
    <w:p w14:paraId="7239AA0D"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VII - dos conselhos de direitos com foco em segmentos populacionais vulneráveis;</w:t>
      </w:r>
    </w:p>
    <w:p w14:paraId="293D98C1"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VIII - dos Conselhos Tutelares. </w:t>
      </w:r>
    </w:p>
    <w:p w14:paraId="3B19EA79"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4" w:name="art5"/>
      <w:bookmarkEnd w:id="4"/>
      <w:r w:rsidRPr="00A00BEE">
        <w:rPr>
          <w:rFonts w:ascii="Book Antiqua" w:eastAsia="Times New Roman" w:hAnsi="Book Antiqua" w:cs="Arial"/>
          <w:sz w:val="19"/>
          <w:szCs w:val="19"/>
          <w:lang w:eastAsia="pt-BR"/>
        </w:rPr>
        <w:t>Art. 5º  O Cadastro Nacional de Pessoas Desaparecidas, que tem por objetivo implementar e dar suporte à política de que trata esta Lei, será composto de:</w:t>
      </w:r>
    </w:p>
    <w:p w14:paraId="6C44ECEF"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 - banco de informações públicas, de livre acesso por meio da internet, com informações acerca das características físicas das pessoas desaparecidas, fotos e outras informações úteis para sua identificação sempre que não houver risco para a vida da pessoa desaparecida;</w:t>
      </w:r>
    </w:p>
    <w:p w14:paraId="2B4289E2"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 - banco de informações sigilosas, destinado aos órgãos de segurança pública, com registros padronizados de cada ocorrência e com o número do boletim de ocorrência, que deverá ser o mesmo do inquérito policial, bem como informações acerca das características físicas das pessoas desaparecidas, fotos, contatos dos familiares ou responsáveis pela inclusão dos dados da pessoa desaparecida no cadastro e qualquer outra informação relevante para sua pronta localização;</w:t>
      </w:r>
    </w:p>
    <w:p w14:paraId="32B05CB9"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III - banco de informações sigilosas, destinado aos órgãos de segurança pública, que conterá informações genéticas e não genéticas das pessoas desaparecidas e de seus familiares, destinado exclusivamente a encontrar e a identificar a pessoa desaparecida.</w:t>
      </w:r>
    </w:p>
    <w:p w14:paraId="32E1F2D5"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1º O órgão competente implantará, coordenará e atualizará o Cadastro Nacional de Pessoas Desaparecidas em cooperação operacional e técnica com os Estados e demais entes federados.</w:t>
      </w:r>
    </w:p>
    <w:p w14:paraId="212DB61D"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2º  No âmbito federal, ficará a cargo da Polícia Federal, por meio do agente de investigação, a interlocução de casos de competência internacional, inclusive a coordenação com a Interpol e demais órgãos internacionais.</w:t>
      </w:r>
    </w:p>
    <w:p w14:paraId="71B03D1D"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3º  As informações do cadastro serão inseridas, atualizadas e validadas exclusivamente pelas autoridades de segurança pública competentes para a investigação.</w:t>
      </w:r>
    </w:p>
    <w:p w14:paraId="112585C9"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lastRenderedPageBreak/>
        <w:t>§ 4º  A não inserção, a não atualização e a não validação dos dados do Cadastro Nacional de Pessoas Desaparecidas implicará o impedimento de transferências voluntárias da União.</w:t>
      </w:r>
    </w:p>
    <w:p w14:paraId="678A3A6C"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5" w:name="art6"/>
      <w:bookmarkEnd w:id="5"/>
      <w:r w:rsidRPr="00A00BEE">
        <w:rPr>
          <w:rFonts w:ascii="Book Antiqua" w:eastAsia="Times New Roman" w:hAnsi="Book Antiqua" w:cs="Arial"/>
          <w:sz w:val="19"/>
          <w:szCs w:val="19"/>
          <w:lang w:eastAsia="pt-BR"/>
        </w:rPr>
        <w:t>Art. 6º  Em caso de dúvida acerca da identidade de cadáver, promover-se-á a coleta de informações físicas e genéticas, que serão inseridas no cadastro de que trata o art. 5º desta Lei.</w:t>
      </w:r>
    </w:p>
    <w:p w14:paraId="3CF0293C"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6" w:name="art7"/>
      <w:bookmarkEnd w:id="6"/>
      <w:r w:rsidRPr="00A00BEE">
        <w:rPr>
          <w:rFonts w:ascii="Book Antiqua" w:eastAsia="Times New Roman" w:hAnsi="Book Antiqua" w:cs="Arial"/>
          <w:sz w:val="19"/>
          <w:szCs w:val="19"/>
          <w:lang w:eastAsia="pt-BR"/>
        </w:rPr>
        <w:t>Art. 7º  A autoridade central federal e as autoridades centrais estaduais elaborarão relatório anual, com as estatísticas acerca dos desaparecimentos, do qual deverão constar:</w:t>
      </w:r>
    </w:p>
    <w:p w14:paraId="646AC121"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 - número total de pessoas desaparecidas;</w:t>
      </w:r>
    </w:p>
    <w:p w14:paraId="6E800320"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 - número de crianças e adolescentes desaparecidos;</w:t>
      </w:r>
    </w:p>
    <w:p w14:paraId="4004D14B"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III - quantidade de casos solucionados;</w:t>
      </w:r>
    </w:p>
    <w:p w14:paraId="13DE0F07"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IV - causas dos desaparecimentos solucionados. </w:t>
      </w:r>
    </w:p>
    <w:p w14:paraId="48F33EC8"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7" w:name="art8"/>
      <w:bookmarkEnd w:id="7"/>
      <w:r w:rsidRPr="00A00BEE">
        <w:rPr>
          <w:rFonts w:ascii="Book Antiqua" w:eastAsia="Times New Roman" w:hAnsi="Book Antiqua" w:cs="Arial"/>
          <w:sz w:val="19"/>
          <w:szCs w:val="19"/>
          <w:lang w:eastAsia="pt-BR"/>
        </w:rPr>
        <w:t>Art. 8º  Ao ser comunicada sobre o desaparecimento de uma pessoa, a autoridade do órgão de segurança pública, em observância às diretrizes elaboradas pela autoridade central, adotará todas as providências visando à sua localização, comunicará o fato às demais autoridades competentes e incluirá as informações no cadastro de que trata o art. 5º desta Lei.</w:t>
      </w:r>
    </w:p>
    <w:p w14:paraId="36BC642F"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xml:space="preserve">§ 1º  A notificação do desaparecimento será imediatamente registrada no Cadastro Nacional de Pessoas Desaparecidas e na Rede de Integração Nacional de Informações de Segurança Pública, Justiça e Fiscalização (Rede </w:t>
      </w:r>
      <w:proofErr w:type="spellStart"/>
      <w:r w:rsidRPr="00A00BEE">
        <w:rPr>
          <w:rFonts w:ascii="Book Antiqua" w:eastAsia="Times New Roman" w:hAnsi="Book Antiqua" w:cs="Arial"/>
          <w:sz w:val="19"/>
          <w:szCs w:val="19"/>
          <w:lang w:eastAsia="pt-BR"/>
        </w:rPr>
        <w:t>Sinesp</w:t>
      </w:r>
      <w:proofErr w:type="spellEnd"/>
      <w:r w:rsidRPr="00A00BEE">
        <w:rPr>
          <w:rFonts w:ascii="Book Antiqua" w:eastAsia="Times New Roman" w:hAnsi="Book Antiqua" w:cs="Arial"/>
          <w:sz w:val="19"/>
          <w:szCs w:val="19"/>
          <w:lang w:eastAsia="pt-BR"/>
        </w:rPr>
        <w:t xml:space="preserve"> </w:t>
      </w:r>
      <w:proofErr w:type="spellStart"/>
      <w:r w:rsidRPr="00A00BEE">
        <w:rPr>
          <w:rFonts w:ascii="Book Antiqua" w:eastAsia="Times New Roman" w:hAnsi="Book Antiqua" w:cs="Arial"/>
          <w:sz w:val="19"/>
          <w:szCs w:val="19"/>
          <w:lang w:eastAsia="pt-BR"/>
        </w:rPr>
        <w:t>Infoseg</w:t>
      </w:r>
      <w:proofErr w:type="spellEnd"/>
      <w:r w:rsidRPr="00A00BEE">
        <w:rPr>
          <w:rFonts w:ascii="Book Antiqua" w:eastAsia="Times New Roman" w:hAnsi="Book Antiqua" w:cs="Arial"/>
          <w:sz w:val="19"/>
          <w:szCs w:val="19"/>
          <w:lang w:eastAsia="pt-BR"/>
        </w:rPr>
        <w:t>) ou sistema similar de notificação adotado pelo Poder Executivo.</w:t>
      </w:r>
    </w:p>
    <w:p w14:paraId="745C3DA1"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xml:space="preserve">§ 2º  Aplicar-se-á o disposto no </w:t>
      </w:r>
      <w:hyperlink r:id="rId5" w:anchor="art208§2" w:history="1">
        <w:r w:rsidRPr="00A00BEE">
          <w:rPr>
            <w:rFonts w:ascii="Book Antiqua" w:eastAsia="Times New Roman" w:hAnsi="Book Antiqua" w:cs="Arial"/>
            <w:color w:val="0000FF"/>
            <w:sz w:val="19"/>
            <w:szCs w:val="19"/>
            <w:u w:val="single"/>
            <w:lang w:eastAsia="pt-BR"/>
          </w:rPr>
          <w:t>§ 2º do art. 208 da Lei nº 8.069, de 13 de julho de 1990</w:t>
        </w:r>
      </w:hyperlink>
      <w:r w:rsidRPr="00A00BEE">
        <w:rPr>
          <w:rFonts w:ascii="Book Antiqua" w:eastAsia="Times New Roman" w:hAnsi="Book Antiqua" w:cs="Arial"/>
          <w:sz w:val="19"/>
          <w:szCs w:val="19"/>
          <w:lang w:eastAsia="pt-BR"/>
        </w:rPr>
        <w:t xml:space="preserve"> (Estatuto da Criança e do Adolescente), nos casos em que a autoridade policial verificar a existência de qualquer indício de vulnerabilidade da pessoa desaparecida.</w:t>
      </w:r>
    </w:p>
    <w:p w14:paraId="11B55289"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3º  O desaparecimento de criança ou adolescente será comunicado ao Conselho Tutelar.</w:t>
      </w:r>
    </w:p>
    <w:p w14:paraId="742C0DC9"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4º  A autoridade alertará o comunicante acerca da necessidade de informar o reaparecimento ou retorno da pessoa desaparecida.</w:t>
      </w:r>
    </w:p>
    <w:p w14:paraId="5919C4D0"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8" w:name="art9"/>
      <w:bookmarkEnd w:id="8"/>
      <w:r w:rsidRPr="00A00BEE">
        <w:rPr>
          <w:rFonts w:ascii="Book Antiqua" w:eastAsia="Times New Roman" w:hAnsi="Book Antiqua" w:cs="Arial"/>
          <w:sz w:val="19"/>
          <w:szCs w:val="19"/>
          <w:lang w:eastAsia="pt-BR"/>
        </w:rPr>
        <w:t>Art. 9º  As investigações sobre o desaparecimento serão realizadas até a efetiva localização da pessoa.</w:t>
      </w:r>
    </w:p>
    <w:p w14:paraId="4CA055E0" w14:textId="10095053" w:rsidR="00B00BCC" w:rsidRPr="00046BCA" w:rsidRDefault="00B00BCC" w:rsidP="00A00BEE">
      <w:pPr>
        <w:spacing w:before="300" w:after="300" w:line="240" w:lineRule="auto"/>
        <w:ind w:firstLine="567"/>
        <w:jc w:val="both"/>
        <w:rPr>
          <w:rFonts w:ascii="Book Antiqua" w:eastAsia="Times New Roman" w:hAnsi="Book Antiqua" w:cs="Arial"/>
          <w:b/>
          <w:bCs/>
          <w:sz w:val="19"/>
          <w:szCs w:val="19"/>
          <w:u w:val="single"/>
          <w:lang w:eastAsia="pt-BR"/>
        </w:rPr>
      </w:pPr>
      <w:bookmarkStart w:id="9" w:name="art10"/>
      <w:bookmarkEnd w:id="9"/>
      <w:r w:rsidRPr="00046BCA">
        <w:rPr>
          <w:rFonts w:ascii="Book Antiqua" w:eastAsia="Times New Roman" w:hAnsi="Book Antiqua" w:cs="Arial"/>
          <w:b/>
          <w:bCs/>
          <w:sz w:val="19"/>
          <w:szCs w:val="19"/>
          <w:highlight w:val="magenta"/>
          <w:lang w:eastAsia="pt-BR"/>
        </w:rPr>
        <w:t>Art. 10</w:t>
      </w:r>
      <w:r w:rsidRPr="00A00BEE">
        <w:rPr>
          <w:rFonts w:ascii="Book Antiqua" w:eastAsia="Times New Roman" w:hAnsi="Book Antiqua" w:cs="Arial"/>
          <w:sz w:val="19"/>
          <w:szCs w:val="19"/>
          <w:lang w:eastAsia="pt-BR"/>
        </w:rPr>
        <w:t>.  </w:t>
      </w:r>
      <w:r w:rsidRPr="00046BCA">
        <w:rPr>
          <w:rFonts w:ascii="Book Antiqua" w:eastAsia="Times New Roman" w:hAnsi="Book Antiqua" w:cs="Arial"/>
          <w:b/>
          <w:bCs/>
          <w:sz w:val="19"/>
          <w:szCs w:val="19"/>
          <w:lang w:eastAsia="pt-BR"/>
        </w:rPr>
        <w:t xml:space="preserve">As autoridades de segurança pública, mediante </w:t>
      </w:r>
      <w:r w:rsidRPr="00046BCA">
        <w:rPr>
          <w:rFonts w:ascii="Book Antiqua" w:eastAsia="Times New Roman" w:hAnsi="Book Antiqua" w:cs="Arial"/>
          <w:b/>
          <w:bCs/>
          <w:sz w:val="19"/>
          <w:szCs w:val="19"/>
          <w:highlight w:val="cyan"/>
          <w:lang w:eastAsia="pt-BR"/>
        </w:rPr>
        <w:t>autorização judicial</w:t>
      </w:r>
      <w:r w:rsidRPr="00046BCA">
        <w:rPr>
          <w:rFonts w:ascii="Book Antiqua" w:eastAsia="Times New Roman" w:hAnsi="Book Antiqua" w:cs="Arial"/>
          <w:b/>
          <w:bCs/>
          <w:sz w:val="19"/>
          <w:szCs w:val="19"/>
          <w:lang w:eastAsia="pt-BR"/>
        </w:rPr>
        <w:t>, poderão obter dados sobre a localização de aparelho de telefonia móvel sempre que houver indícios de risco à vida ou à integridade física da pessoa desaparecida</w:t>
      </w:r>
      <w:r w:rsidRPr="00A00BEE">
        <w:rPr>
          <w:rFonts w:ascii="Book Antiqua" w:eastAsia="Times New Roman" w:hAnsi="Book Antiqua" w:cs="Arial"/>
          <w:sz w:val="19"/>
          <w:szCs w:val="19"/>
          <w:lang w:eastAsia="pt-BR"/>
        </w:rPr>
        <w:t>.</w:t>
      </w:r>
      <w:r w:rsidR="00046BCA">
        <w:rPr>
          <w:rFonts w:ascii="Book Antiqua" w:eastAsia="Times New Roman" w:hAnsi="Book Antiqua" w:cs="Arial"/>
          <w:sz w:val="19"/>
          <w:szCs w:val="19"/>
          <w:lang w:eastAsia="pt-BR"/>
        </w:rPr>
        <w:t xml:space="preserve"> </w:t>
      </w:r>
      <w:r w:rsidR="00046BCA" w:rsidRPr="00046BCA">
        <w:rPr>
          <w:rFonts w:ascii="Book Antiqua" w:eastAsia="Times New Roman" w:hAnsi="Book Antiqua" w:cs="Arial"/>
          <w:b/>
          <w:bCs/>
          <w:color w:val="FF0000"/>
          <w:sz w:val="19"/>
          <w:szCs w:val="19"/>
          <w:u w:val="single"/>
          <w:lang w:eastAsia="pt-BR"/>
        </w:rPr>
        <w:t>(MPSC-2021)</w:t>
      </w:r>
    </w:p>
    <w:p w14:paraId="3E0B44F2"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0" w:name="art11"/>
      <w:bookmarkEnd w:id="10"/>
      <w:r w:rsidRPr="00A00BEE">
        <w:rPr>
          <w:rFonts w:ascii="Book Antiqua" w:eastAsia="Times New Roman" w:hAnsi="Book Antiqua" w:cs="Arial"/>
          <w:sz w:val="19"/>
          <w:szCs w:val="19"/>
          <w:lang w:eastAsia="pt-BR"/>
        </w:rPr>
        <w:t>Art. 11.  Os hospitais, as clínicas e os albergues, públicos ou privados, deverão informar às autoridades públicas sobre o ingresso ou o cadastro de pessoas sem a devida identificação em suas dependências.</w:t>
      </w:r>
    </w:p>
    <w:p w14:paraId="5160D832"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1" w:name="art12"/>
      <w:bookmarkEnd w:id="11"/>
      <w:r w:rsidRPr="00A00BEE">
        <w:rPr>
          <w:rFonts w:ascii="Book Antiqua" w:eastAsia="Times New Roman" w:hAnsi="Book Antiqua" w:cs="Arial"/>
          <w:sz w:val="19"/>
          <w:szCs w:val="19"/>
          <w:lang w:eastAsia="pt-BR"/>
        </w:rPr>
        <w:t>Art. 12.  O poder público envidará esforços para celebrar convênios com emissoras de rádio e televisão para a transmissão de alertas urgentes sobre o desaparecimento de crianças e adolescentes, observados os seguintes critérios:</w:t>
      </w:r>
    </w:p>
    <w:p w14:paraId="0B52DFAB"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 - confirmação do desaparecimento pelo órgão de segurança pública competente;</w:t>
      </w:r>
    </w:p>
    <w:p w14:paraId="055B4D03"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 - evidência de que a vida ou a integridade física da criança ou do adolescente desaparecido está em risco;</w:t>
      </w:r>
    </w:p>
    <w:p w14:paraId="1AA60DCF"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III - descrição detalhada da criança ou do adolescente desaparecido, bem como do suspeito ou do veículo envolvido no ato.</w:t>
      </w:r>
    </w:p>
    <w:p w14:paraId="6F6C8DFF"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lastRenderedPageBreak/>
        <w:t>§ 1º  A transmissão de alertas restringir-se-á aos casos em que houver informações suficientes para a identificação e a localização da criança ou do adolescente desaparecido ou do suspeito. </w:t>
      </w:r>
    </w:p>
    <w:p w14:paraId="32905AA3"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xml:space="preserve">§ 2º  O alerta de que trata o </w:t>
      </w:r>
      <w:r w:rsidRPr="00A00BEE">
        <w:rPr>
          <w:rFonts w:ascii="Book Antiqua" w:eastAsia="Times New Roman" w:hAnsi="Book Antiqua" w:cs="Arial"/>
          <w:b/>
          <w:bCs/>
          <w:sz w:val="19"/>
          <w:szCs w:val="19"/>
          <w:lang w:eastAsia="pt-BR"/>
        </w:rPr>
        <w:t>caput</w:t>
      </w:r>
      <w:r w:rsidRPr="00A00BEE">
        <w:rPr>
          <w:rFonts w:ascii="Book Antiqua" w:eastAsia="Times New Roman" w:hAnsi="Book Antiqua" w:cs="Arial"/>
          <w:sz w:val="19"/>
          <w:szCs w:val="19"/>
          <w:lang w:eastAsia="pt-BR"/>
        </w:rPr>
        <w:t xml:space="preserve"> deste artigo não será utilizado quando a difusão da mensagem puder implicar aumento do risco para a criança ou o adolescente desaparecido ou comprometer as investigações em curso.</w:t>
      </w:r>
    </w:p>
    <w:p w14:paraId="66F1E160"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xml:space="preserve">§ 3º  O convênio referido no </w:t>
      </w:r>
      <w:r w:rsidRPr="00A00BEE">
        <w:rPr>
          <w:rFonts w:ascii="Book Antiqua" w:eastAsia="Times New Roman" w:hAnsi="Book Antiqua" w:cs="Arial"/>
          <w:b/>
          <w:bCs/>
          <w:sz w:val="19"/>
          <w:szCs w:val="19"/>
          <w:lang w:eastAsia="pt-BR"/>
        </w:rPr>
        <w:t>caput</w:t>
      </w:r>
      <w:r w:rsidRPr="00A00BEE">
        <w:rPr>
          <w:rFonts w:ascii="Book Antiqua" w:eastAsia="Times New Roman" w:hAnsi="Book Antiqua" w:cs="Arial"/>
          <w:sz w:val="19"/>
          <w:szCs w:val="19"/>
          <w:lang w:eastAsia="pt-BR"/>
        </w:rPr>
        <w:t xml:space="preserve"> deste artigo pode ser celebrado, ainda, com empresas de transporte e organizações não governamentais.</w:t>
      </w:r>
    </w:p>
    <w:p w14:paraId="6860089F"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4º  A autoridade central federal e as autoridades centrais estaduais definirão os agentes responsáveis pela emissão do alerta.</w:t>
      </w:r>
    </w:p>
    <w:p w14:paraId="4737B96B"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2" w:name="art13"/>
      <w:bookmarkEnd w:id="12"/>
      <w:r w:rsidRPr="00A00BEE">
        <w:rPr>
          <w:rFonts w:ascii="Book Antiqua" w:eastAsia="Times New Roman" w:hAnsi="Book Antiqua" w:cs="Arial"/>
          <w:sz w:val="19"/>
          <w:szCs w:val="19"/>
          <w:lang w:eastAsia="pt-BR"/>
        </w:rPr>
        <w:t xml:space="preserve">Art. 13.  O poder público também poderá promover, mediante convênio com órgãos de comunicação social e outros entes privados, a divulgação de informações e imagens de pessoas desaparecidas ainda que não haja evidência de risco à vida ou à integridade física dessas pessoas. </w:t>
      </w:r>
    </w:p>
    <w:p w14:paraId="3FD108CD"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xml:space="preserve">Parágrafo único. A divulgação de informações e imagens de que trata o </w:t>
      </w:r>
      <w:r w:rsidRPr="00A00BEE">
        <w:rPr>
          <w:rFonts w:ascii="Book Antiqua" w:eastAsia="Times New Roman" w:hAnsi="Book Antiqua" w:cs="Arial"/>
          <w:b/>
          <w:bCs/>
          <w:sz w:val="19"/>
          <w:szCs w:val="19"/>
          <w:lang w:eastAsia="pt-BR"/>
        </w:rPr>
        <w:t>caput</w:t>
      </w:r>
      <w:r w:rsidRPr="00A00BEE">
        <w:rPr>
          <w:rFonts w:ascii="Book Antiqua" w:eastAsia="Times New Roman" w:hAnsi="Book Antiqua" w:cs="Arial"/>
          <w:sz w:val="19"/>
          <w:szCs w:val="19"/>
          <w:lang w:eastAsia="pt-BR"/>
        </w:rPr>
        <w:t xml:space="preserve"> deste artigo será feita mediante prévia autorização dos pais ou do responsável, no caso de crianças ou adolescentes desaparecidos, e, no caso de adultos desaparecidos, quando houver indícios da prática de infração penal.</w:t>
      </w:r>
    </w:p>
    <w:p w14:paraId="514B6C86"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3" w:name="art14"/>
      <w:bookmarkEnd w:id="13"/>
      <w:r w:rsidRPr="00A00BEE">
        <w:rPr>
          <w:rFonts w:ascii="Book Antiqua" w:eastAsia="Times New Roman" w:hAnsi="Book Antiqua" w:cs="Arial"/>
          <w:sz w:val="19"/>
          <w:szCs w:val="19"/>
          <w:lang w:eastAsia="pt-BR"/>
        </w:rPr>
        <w:t xml:space="preserve">Art. 14.  O art. 83 da </w:t>
      </w:r>
      <w:hyperlink r:id="rId6" w:history="1">
        <w:r w:rsidRPr="00A00BEE">
          <w:rPr>
            <w:rFonts w:ascii="Book Antiqua" w:eastAsia="Times New Roman" w:hAnsi="Book Antiqua" w:cs="Arial"/>
            <w:color w:val="0000FF"/>
            <w:sz w:val="19"/>
            <w:szCs w:val="19"/>
            <w:u w:val="single"/>
            <w:lang w:eastAsia="pt-BR"/>
          </w:rPr>
          <w:t>Lei nº 8.069, de 13 de julho de 1990</w:t>
        </w:r>
      </w:hyperlink>
      <w:r w:rsidRPr="00A00BEE">
        <w:rPr>
          <w:rFonts w:ascii="Book Antiqua" w:eastAsia="Times New Roman" w:hAnsi="Book Antiqua" w:cs="Arial"/>
          <w:sz w:val="19"/>
          <w:szCs w:val="19"/>
          <w:lang w:eastAsia="pt-BR"/>
        </w:rPr>
        <w:t xml:space="preserve"> (Estatuto da Criança e do Adolescente), passa a vigorar com as seguintes alterações:</w:t>
      </w:r>
    </w:p>
    <w:p w14:paraId="558F3888" w14:textId="77777777" w:rsidR="00B00BCC" w:rsidRPr="00A00BEE" w:rsidRDefault="00D36092" w:rsidP="00A00BEE">
      <w:pPr>
        <w:spacing w:before="300" w:after="300" w:line="240" w:lineRule="auto"/>
        <w:ind w:firstLine="567"/>
        <w:jc w:val="both"/>
        <w:rPr>
          <w:rFonts w:ascii="Book Antiqua" w:eastAsia="Times New Roman" w:hAnsi="Book Antiqua" w:cs="Arial"/>
          <w:sz w:val="19"/>
          <w:szCs w:val="19"/>
          <w:lang w:eastAsia="pt-BR"/>
        </w:rPr>
      </w:pPr>
      <w:hyperlink r:id="rId7" w:anchor="art83.0" w:history="1">
        <w:r w:rsidR="00B00BCC" w:rsidRPr="00A00BEE">
          <w:rPr>
            <w:rFonts w:ascii="Book Antiqua" w:eastAsia="Times New Roman" w:hAnsi="Book Antiqua" w:cs="Arial"/>
            <w:color w:val="0000FF"/>
            <w:sz w:val="19"/>
            <w:szCs w:val="19"/>
            <w:u w:val="single"/>
            <w:lang w:eastAsia="pt-BR"/>
          </w:rPr>
          <w:t>“Art. 83</w:t>
        </w:r>
      </w:hyperlink>
      <w:r w:rsidR="00B00BCC" w:rsidRPr="00A00BEE">
        <w:rPr>
          <w:rFonts w:ascii="Book Antiqua" w:eastAsia="Times New Roman" w:hAnsi="Book Antiqua" w:cs="Arial"/>
          <w:sz w:val="19"/>
          <w:szCs w:val="19"/>
          <w:lang w:eastAsia="pt-BR"/>
        </w:rPr>
        <w:t>.  Nenhuma criança ou adolescente menor de 16 (dezesseis) anos poderá viajar para fora da comarca onde reside desacompanhado dos pais ou dos responsáveis sem expressa autorização judicial.</w:t>
      </w:r>
    </w:p>
    <w:p w14:paraId="727889CD"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1º  ..........................................................................................................</w:t>
      </w:r>
    </w:p>
    <w:p w14:paraId="154B79DB" w14:textId="77777777" w:rsidR="00B00BCC" w:rsidRPr="00A00BEE" w:rsidRDefault="00D36092" w:rsidP="00A00BEE">
      <w:pPr>
        <w:spacing w:before="300" w:after="300" w:line="240" w:lineRule="auto"/>
        <w:ind w:firstLine="567"/>
        <w:jc w:val="both"/>
        <w:rPr>
          <w:rFonts w:ascii="Book Antiqua" w:eastAsia="Times New Roman" w:hAnsi="Book Antiqua" w:cs="Arial"/>
          <w:sz w:val="19"/>
          <w:szCs w:val="19"/>
          <w:lang w:eastAsia="pt-BR"/>
        </w:rPr>
      </w:pPr>
      <w:hyperlink r:id="rId8" w:anchor="art83§1a0" w:history="1">
        <w:r w:rsidR="00B00BCC" w:rsidRPr="00A00BEE">
          <w:rPr>
            <w:rFonts w:ascii="Book Antiqua" w:eastAsia="Times New Roman" w:hAnsi="Book Antiqua" w:cs="Arial"/>
            <w:color w:val="0000FF"/>
            <w:sz w:val="19"/>
            <w:szCs w:val="19"/>
            <w:u w:val="single"/>
            <w:lang w:eastAsia="pt-BR"/>
          </w:rPr>
          <w:t>a)</w:t>
        </w:r>
      </w:hyperlink>
      <w:r w:rsidR="00B00BCC" w:rsidRPr="00A00BEE">
        <w:rPr>
          <w:rFonts w:ascii="Book Antiqua" w:eastAsia="Times New Roman" w:hAnsi="Book Antiqua" w:cs="Arial"/>
          <w:sz w:val="19"/>
          <w:szCs w:val="19"/>
          <w:lang w:eastAsia="pt-BR"/>
        </w:rPr>
        <w:t xml:space="preserve"> tratar-se de comarca contígua à da residência da criança ou do adolescente menor de 16 (dezesseis) anos, se na mesma unidade da Federação, ou incluída na mesma região metropolitana;</w:t>
      </w:r>
    </w:p>
    <w:p w14:paraId="0B8E8E1E" w14:textId="77777777" w:rsidR="00B00BCC" w:rsidRPr="00A00BEE" w:rsidRDefault="00D36092" w:rsidP="00A00BEE">
      <w:pPr>
        <w:spacing w:before="300" w:after="300" w:line="240" w:lineRule="auto"/>
        <w:ind w:firstLine="567"/>
        <w:jc w:val="both"/>
        <w:rPr>
          <w:rFonts w:ascii="Book Antiqua" w:eastAsia="Times New Roman" w:hAnsi="Book Antiqua" w:cs="Arial"/>
          <w:sz w:val="19"/>
          <w:szCs w:val="19"/>
          <w:lang w:eastAsia="pt-BR"/>
        </w:rPr>
      </w:pPr>
      <w:hyperlink r:id="rId9" w:anchor="art83§1b0" w:history="1">
        <w:r w:rsidR="00B00BCC" w:rsidRPr="00A00BEE">
          <w:rPr>
            <w:rFonts w:ascii="Book Antiqua" w:eastAsia="Times New Roman" w:hAnsi="Book Antiqua" w:cs="Arial"/>
            <w:color w:val="0000FF"/>
            <w:sz w:val="19"/>
            <w:szCs w:val="19"/>
            <w:u w:val="single"/>
            <w:lang w:eastAsia="pt-BR"/>
          </w:rPr>
          <w:t>b)</w:t>
        </w:r>
      </w:hyperlink>
      <w:r w:rsidR="00B00BCC" w:rsidRPr="00A00BEE">
        <w:rPr>
          <w:rFonts w:ascii="Book Antiqua" w:eastAsia="Times New Roman" w:hAnsi="Book Antiqua" w:cs="Arial"/>
          <w:sz w:val="19"/>
          <w:szCs w:val="19"/>
          <w:lang w:eastAsia="pt-BR"/>
        </w:rPr>
        <w:t xml:space="preserve"> a criança ou o adolescente menor de 16 (dezesseis) anos estiver acompanhado:</w:t>
      </w:r>
    </w:p>
    <w:p w14:paraId="76EEDA47"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 (NR)</w:t>
      </w:r>
    </w:p>
    <w:p w14:paraId="4438DDA3"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4" w:name="art15"/>
      <w:bookmarkEnd w:id="14"/>
      <w:r w:rsidRPr="00A00BEE">
        <w:rPr>
          <w:rFonts w:ascii="Book Antiqua" w:eastAsia="Times New Roman" w:hAnsi="Book Antiqua" w:cs="Arial"/>
          <w:sz w:val="19"/>
          <w:szCs w:val="19"/>
          <w:lang w:eastAsia="pt-BR"/>
        </w:rPr>
        <w:t>Art. 15.  O poder público implementará programas de atendimento psicossocial à família de pessoas desaparecidas.</w:t>
      </w:r>
    </w:p>
    <w:p w14:paraId="549B9C31"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5" w:name="art16"/>
      <w:bookmarkEnd w:id="15"/>
      <w:r w:rsidRPr="00A00BEE">
        <w:rPr>
          <w:rFonts w:ascii="Book Antiqua" w:eastAsia="Times New Roman" w:hAnsi="Book Antiqua" w:cs="Arial"/>
          <w:sz w:val="19"/>
          <w:szCs w:val="19"/>
          <w:lang w:eastAsia="pt-BR"/>
        </w:rPr>
        <w:t xml:space="preserve">Art. 16.  O Cadastro Nacional de Crianças e Adolescentes Desaparecidos, criado pela </w:t>
      </w:r>
      <w:hyperlink r:id="rId10" w:history="1">
        <w:r w:rsidRPr="00A00BEE">
          <w:rPr>
            <w:rFonts w:ascii="Book Antiqua" w:eastAsia="Times New Roman" w:hAnsi="Book Antiqua" w:cs="Arial"/>
            <w:color w:val="0000FF"/>
            <w:sz w:val="19"/>
            <w:szCs w:val="19"/>
            <w:u w:val="single"/>
            <w:lang w:eastAsia="pt-BR"/>
          </w:rPr>
          <w:t>Lei nº 12.127, de 17 de dezembro de 2009</w:t>
        </w:r>
      </w:hyperlink>
      <w:r w:rsidRPr="00A00BEE">
        <w:rPr>
          <w:rFonts w:ascii="Book Antiqua" w:eastAsia="Times New Roman" w:hAnsi="Book Antiqua" w:cs="Arial"/>
          <w:sz w:val="19"/>
          <w:szCs w:val="19"/>
          <w:lang w:eastAsia="pt-BR"/>
        </w:rPr>
        <w:t>, fará parte do Cadastro Nacional de Pessoas Desaparecidas.</w:t>
      </w:r>
    </w:p>
    <w:p w14:paraId="70C3E5CE"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6" w:name="art17"/>
      <w:bookmarkEnd w:id="16"/>
      <w:r w:rsidRPr="00A00BEE">
        <w:rPr>
          <w:rFonts w:ascii="Book Antiqua" w:eastAsia="Times New Roman" w:hAnsi="Book Antiqua" w:cs="Arial"/>
          <w:sz w:val="19"/>
          <w:szCs w:val="19"/>
          <w:lang w:eastAsia="pt-BR"/>
        </w:rPr>
        <w:t>Art. 17.  O órgão competente do Poder Executivo providenciará número telefônico gratuito, de âmbito nacional, para fornecimento e recebimento de informações relacionadas ao cadastro de que trata esta Lei. </w:t>
      </w:r>
    </w:p>
    <w:p w14:paraId="26540028"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Parágrafo único.  O Cadastro Nacional de Crianças e Adolescentes Desaparecidos manterá o Disque 100 para recebimento de denúncias de desaparecimento de crianças e adolescentes.</w:t>
      </w:r>
    </w:p>
    <w:p w14:paraId="7F96BCCB"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7" w:name="art18"/>
      <w:bookmarkEnd w:id="17"/>
      <w:r w:rsidRPr="00A00BEE">
        <w:rPr>
          <w:rFonts w:ascii="Book Antiqua" w:eastAsia="Times New Roman" w:hAnsi="Book Antiqua" w:cs="Arial"/>
          <w:sz w:val="19"/>
          <w:szCs w:val="19"/>
          <w:lang w:eastAsia="pt-BR"/>
        </w:rPr>
        <w:t>Art. 18.  (VETADO).</w:t>
      </w:r>
    </w:p>
    <w:p w14:paraId="54D5B5C6"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bookmarkStart w:id="18" w:name="art19"/>
      <w:bookmarkEnd w:id="18"/>
      <w:r w:rsidRPr="00A00BEE">
        <w:rPr>
          <w:rFonts w:ascii="Book Antiqua" w:eastAsia="Times New Roman" w:hAnsi="Book Antiqua" w:cs="Arial"/>
          <w:sz w:val="19"/>
          <w:szCs w:val="19"/>
          <w:lang w:eastAsia="pt-BR"/>
        </w:rPr>
        <w:t>Art. 19.  Esta Lei entra em vigor na data de sua publicação. </w:t>
      </w:r>
    </w:p>
    <w:p w14:paraId="25AB5ADA" w14:textId="77777777" w:rsidR="00B00BCC" w:rsidRPr="00A00BEE" w:rsidRDefault="00B00BCC" w:rsidP="00A00BEE">
      <w:pPr>
        <w:spacing w:before="300" w:after="300" w:line="240" w:lineRule="auto"/>
        <w:ind w:firstLine="567"/>
        <w:jc w:val="both"/>
        <w:rPr>
          <w:rFonts w:ascii="Book Antiqua" w:eastAsia="Times New Roman" w:hAnsi="Book Antiqua" w:cs="Arial"/>
          <w:sz w:val="19"/>
          <w:szCs w:val="19"/>
          <w:lang w:eastAsia="pt-BR"/>
        </w:rPr>
      </w:pPr>
      <w:r w:rsidRPr="00A00BEE">
        <w:rPr>
          <w:rFonts w:ascii="Book Antiqua" w:eastAsia="Times New Roman" w:hAnsi="Book Antiqua" w:cs="Arial"/>
          <w:sz w:val="19"/>
          <w:szCs w:val="19"/>
          <w:lang w:eastAsia="pt-BR"/>
        </w:rPr>
        <w:t>Brasília, 16 de  março  de 2019; 198</w:t>
      </w:r>
      <w:r w:rsidRPr="00A00BEE">
        <w:rPr>
          <w:rFonts w:ascii="Book Antiqua" w:eastAsia="Times New Roman" w:hAnsi="Book Antiqua" w:cs="Arial"/>
          <w:sz w:val="19"/>
          <w:szCs w:val="19"/>
          <w:u w:val="single"/>
          <w:vertAlign w:val="superscript"/>
          <w:lang w:eastAsia="pt-BR"/>
        </w:rPr>
        <w:t>o</w:t>
      </w:r>
      <w:r w:rsidRPr="00A00BEE">
        <w:rPr>
          <w:rFonts w:ascii="Book Antiqua" w:eastAsia="Times New Roman" w:hAnsi="Book Antiqua" w:cs="Arial"/>
          <w:sz w:val="19"/>
          <w:szCs w:val="19"/>
          <w:lang w:eastAsia="pt-BR"/>
        </w:rPr>
        <w:t xml:space="preserve"> da Independência e 131</w:t>
      </w:r>
      <w:r w:rsidRPr="00A00BEE">
        <w:rPr>
          <w:rFonts w:ascii="Book Antiqua" w:eastAsia="Times New Roman" w:hAnsi="Book Antiqua" w:cs="Arial"/>
          <w:sz w:val="19"/>
          <w:szCs w:val="19"/>
          <w:u w:val="single"/>
          <w:vertAlign w:val="superscript"/>
          <w:lang w:eastAsia="pt-BR"/>
        </w:rPr>
        <w:t>o</w:t>
      </w:r>
      <w:r w:rsidRPr="00A00BEE">
        <w:rPr>
          <w:rFonts w:ascii="Book Antiqua" w:eastAsia="Times New Roman" w:hAnsi="Book Antiqua" w:cs="Arial"/>
          <w:sz w:val="19"/>
          <w:szCs w:val="19"/>
          <w:lang w:eastAsia="pt-BR"/>
        </w:rPr>
        <w:t xml:space="preserve"> da República. </w:t>
      </w:r>
    </w:p>
    <w:p w14:paraId="39C92294" w14:textId="77777777" w:rsidR="00B00BCC" w:rsidRPr="00A00BEE" w:rsidRDefault="00B00BCC" w:rsidP="00B00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Book Antiqua" w:eastAsia="Times New Roman" w:hAnsi="Book Antiqua" w:cs="Arial"/>
          <w:sz w:val="19"/>
          <w:szCs w:val="19"/>
          <w:lang w:eastAsia="pt-BR"/>
        </w:rPr>
      </w:pPr>
      <w:r w:rsidRPr="00A00BEE">
        <w:rPr>
          <w:rFonts w:ascii="Book Antiqua" w:eastAsia="Times New Roman" w:hAnsi="Book Antiqua" w:cs="Arial"/>
          <w:color w:val="000000"/>
          <w:sz w:val="19"/>
          <w:szCs w:val="19"/>
          <w:lang w:eastAsia="pt-BR"/>
        </w:rPr>
        <w:lastRenderedPageBreak/>
        <w:t>JAIR MESSIAS BOLSONARO</w:t>
      </w:r>
      <w:r w:rsidRPr="00A00BEE">
        <w:rPr>
          <w:rFonts w:ascii="Book Antiqua" w:eastAsia="Times New Roman" w:hAnsi="Book Antiqua" w:cs="Arial"/>
          <w:color w:val="000000"/>
          <w:sz w:val="19"/>
          <w:szCs w:val="19"/>
          <w:lang w:eastAsia="pt-BR"/>
        </w:rPr>
        <w:br/>
      </w:r>
      <w:r w:rsidRPr="00A00BEE">
        <w:rPr>
          <w:rFonts w:ascii="Book Antiqua" w:eastAsia="Times New Roman" w:hAnsi="Book Antiqua" w:cs="Arial"/>
          <w:i/>
          <w:iCs/>
          <w:color w:val="000000"/>
          <w:sz w:val="19"/>
          <w:szCs w:val="19"/>
          <w:lang w:eastAsia="pt-BR"/>
        </w:rPr>
        <w:t>Sérgio Moro</w:t>
      </w:r>
      <w:r w:rsidRPr="00A00BEE">
        <w:rPr>
          <w:rFonts w:ascii="Book Antiqua" w:eastAsia="Times New Roman" w:hAnsi="Book Antiqua" w:cs="Arial"/>
          <w:i/>
          <w:iCs/>
          <w:color w:val="000000"/>
          <w:sz w:val="19"/>
          <w:szCs w:val="19"/>
          <w:lang w:eastAsia="pt-BR"/>
        </w:rPr>
        <w:br/>
      </w:r>
      <w:proofErr w:type="spellStart"/>
      <w:r w:rsidRPr="00A00BEE">
        <w:rPr>
          <w:rFonts w:ascii="Book Antiqua" w:eastAsia="Times New Roman" w:hAnsi="Book Antiqua" w:cs="Arial"/>
          <w:i/>
          <w:iCs/>
          <w:color w:val="000000"/>
          <w:sz w:val="19"/>
          <w:szCs w:val="19"/>
          <w:lang w:eastAsia="pt-BR"/>
        </w:rPr>
        <w:t>Damares</w:t>
      </w:r>
      <w:proofErr w:type="spellEnd"/>
      <w:r w:rsidRPr="00A00BEE">
        <w:rPr>
          <w:rFonts w:ascii="Book Antiqua" w:eastAsia="Times New Roman" w:hAnsi="Book Antiqua" w:cs="Arial"/>
          <w:i/>
          <w:iCs/>
          <w:color w:val="000000"/>
          <w:sz w:val="19"/>
          <w:szCs w:val="19"/>
          <w:lang w:eastAsia="pt-BR"/>
        </w:rPr>
        <w:t xml:space="preserve"> Regina Alves</w:t>
      </w:r>
    </w:p>
    <w:p w14:paraId="7440693F" w14:textId="77777777" w:rsidR="00B00BCC" w:rsidRPr="00A00BEE" w:rsidRDefault="00B00BCC" w:rsidP="00B00BCC">
      <w:pPr>
        <w:spacing w:before="300" w:after="450" w:line="240" w:lineRule="auto"/>
        <w:rPr>
          <w:rFonts w:ascii="Book Antiqua" w:eastAsia="Times New Roman" w:hAnsi="Book Antiqua" w:cs="Arial"/>
          <w:sz w:val="19"/>
          <w:szCs w:val="19"/>
          <w:lang w:eastAsia="pt-BR"/>
        </w:rPr>
      </w:pPr>
      <w:r w:rsidRPr="00A00BEE">
        <w:rPr>
          <w:rFonts w:ascii="Book Antiqua" w:eastAsia="Times New Roman" w:hAnsi="Book Antiqua" w:cs="Arial"/>
          <w:color w:val="FF0000"/>
          <w:sz w:val="19"/>
          <w:szCs w:val="19"/>
          <w:lang w:eastAsia="pt-BR"/>
        </w:rPr>
        <w:t>Este texto não substitui o publicado no DOU de 18.3.2019 - Edição extra</w:t>
      </w:r>
    </w:p>
    <w:p w14:paraId="66127BCA"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Arial"/>
          <w:color w:val="FF0000"/>
          <w:sz w:val="19"/>
          <w:szCs w:val="19"/>
          <w:lang w:eastAsia="pt-BR"/>
        </w:rPr>
        <w:t>*</w:t>
      </w:r>
    </w:p>
    <w:p w14:paraId="6E23CF6B"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Times New Roman"/>
          <w:sz w:val="19"/>
          <w:szCs w:val="19"/>
          <w:lang w:eastAsia="pt-BR"/>
        </w:rPr>
        <w:t> </w:t>
      </w:r>
    </w:p>
    <w:p w14:paraId="6ED9304F"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Times New Roman"/>
          <w:sz w:val="19"/>
          <w:szCs w:val="19"/>
          <w:lang w:eastAsia="pt-BR"/>
        </w:rPr>
        <w:t> </w:t>
      </w:r>
    </w:p>
    <w:p w14:paraId="1D1F2B08"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Times New Roman"/>
          <w:sz w:val="19"/>
          <w:szCs w:val="19"/>
          <w:lang w:eastAsia="pt-BR"/>
        </w:rPr>
        <w:t> </w:t>
      </w:r>
    </w:p>
    <w:p w14:paraId="4FC28DC6"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Times New Roman"/>
          <w:sz w:val="19"/>
          <w:szCs w:val="19"/>
          <w:lang w:eastAsia="pt-BR"/>
        </w:rPr>
        <w:t> </w:t>
      </w:r>
    </w:p>
    <w:p w14:paraId="75C5C3C9"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Times New Roman"/>
          <w:sz w:val="19"/>
          <w:szCs w:val="19"/>
          <w:lang w:eastAsia="pt-BR"/>
        </w:rPr>
        <w:t> </w:t>
      </w:r>
    </w:p>
    <w:p w14:paraId="3EF4F493"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Times New Roman"/>
          <w:sz w:val="19"/>
          <w:szCs w:val="19"/>
          <w:lang w:eastAsia="pt-BR"/>
        </w:rPr>
        <w:t> </w:t>
      </w:r>
    </w:p>
    <w:p w14:paraId="56577D4C"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Times New Roman"/>
          <w:sz w:val="19"/>
          <w:szCs w:val="19"/>
          <w:lang w:eastAsia="pt-BR"/>
        </w:rPr>
        <w:t> </w:t>
      </w:r>
    </w:p>
    <w:p w14:paraId="756EBAE7" w14:textId="77777777" w:rsidR="00B00BCC" w:rsidRPr="00A00BEE" w:rsidRDefault="00B00BCC" w:rsidP="00B00BCC">
      <w:pPr>
        <w:spacing w:before="100" w:beforeAutospacing="1" w:after="100" w:afterAutospacing="1" w:line="240" w:lineRule="auto"/>
        <w:jc w:val="center"/>
        <w:rPr>
          <w:rFonts w:ascii="Book Antiqua" w:eastAsia="Times New Roman" w:hAnsi="Book Antiqua" w:cs="Times New Roman"/>
          <w:sz w:val="19"/>
          <w:szCs w:val="19"/>
          <w:lang w:eastAsia="pt-BR"/>
        </w:rPr>
      </w:pPr>
      <w:r w:rsidRPr="00A00BEE">
        <w:rPr>
          <w:rFonts w:ascii="Book Antiqua" w:eastAsia="Times New Roman" w:hAnsi="Book Antiqua" w:cs="Times New Roman"/>
          <w:sz w:val="19"/>
          <w:szCs w:val="19"/>
          <w:lang w:eastAsia="pt-BR"/>
        </w:rPr>
        <w:t> </w:t>
      </w:r>
    </w:p>
    <w:p w14:paraId="1C300893" w14:textId="77777777" w:rsidR="00030C51" w:rsidRPr="00A00BEE" w:rsidRDefault="00030C51" w:rsidP="00B00BCC">
      <w:pPr>
        <w:jc w:val="both"/>
        <w:rPr>
          <w:rFonts w:ascii="Book Antiqua" w:hAnsi="Book Antiqua"/>
          <w:sz w:val="19"/>
          <w:szCs w:val="19"/>
        </w:rPr>
      </w:pPr>
    </w:p>
    <w:sectPr w:rsidR="00030C51" w:rsidRPr="00A00BEE" w:rsidSect="00B00BCC">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30"/>
    <w:rsid w:val="00030C51"/>
    <w:rsid w:val="00046BCA"/>
    <w:rsid w:val="00A00BEE"/>
    <w:rsid w:val="00B00BCC"/>
    <w:rsid w:val="00C43130"/>
    <w:rsid w:val="00D360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AA24"/>
  <w15:chartTrackingRefBased/>
  <w15:docId w15:val="{7DCE9C03-22CA-41FE-A584-0056D38C9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089412">
      <w:bodyDiv w:val="1"/>
      <w:marLeft w:val="0"/>
      <w:marRight w:val="0"/>
      <w:marTop w:val="0"/>
      <w:marBottom w:val="0"/>
      <w:divBdr>
        <w:top w:val="none" w:sz="0" w:space="0" w:color="auto"/>
        <w:left w:val="none" w:sz="0" w:space="0" w:color="auto"/>
        <w:bottom w:val="none" w:sz="0" w:space="0" w:color="auto"/>
        <w:right w:val="none" w:sz="0" w:space="0" w:color="auto"/>
      </w:divBdr>
      <w:divsChild>
        <w:div w:id="1595557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069.htm" TargetMode="External"/><Relationship Id="rId3" Type="http://schemas.openxmlformats.org/officeDocument/2006/relationships/webSettings" Target="webSettings.xml"/><Relationship Id="rId7" Type="http://schemas.openxmlformats.org/officeDocument/2006/relationships/hyperlink" Target="http://www.planalto.gov.br/ccivil_03/LEIS/L8069.ht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LEIS/L8069.htm" TargetMode="External"/><Relationship Id="rId11" Type="http://schemas.openxmlformats.org/officeDocument/2006/relationships/fontTable" Target="fontTable.xml"/><Relationship Id="rId5" Type="http://schemas.openxmlformats.org/officeDocument/2006/relationships/hyperlink" Target="http://www.planalto.gov.br/ccivil_03/LEIS/L8069.htm" TargetMode="External"/><Relationship Id="rId10" Type="http://schemas.openxmlformats.org/officeDocument/2006/relationships/hyperlink" Target="http://www.planalto.gov.br/ccivil_03/_Ato2007-2010/2009/Lei/L12127.htm" TargetMode="External"/><Relationship Id="rId4" Type="http://schemas.openxmlformats.org/officeDocument/2006/relationships/hyperlink" Target="http://legislacao.planalto.gov.br/legisla/legislacao.nsf/Viw_Identificacao/lei%2013.812-2019?OpenDocument" TargetMode="External"/><Relationship Id="rId9" Type="http://schemas.openxmlformats.org/officeDocument/2006/relationships/hyperlink" Target="http://www.planalto.gov.br/ccivil_03/LEIS/L806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1947</Words>
  <Characters>10515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4</cp:revision>
  <dcterms:created xsi:type="dcterms:W3CDTF">2019-03-19T14:30:00Z</dcterms:created>
  <dcterms:modified xsi:type="dcterms:W3CDTF">2021-10-12T18:41:00Z</dcterms:modified>
</cp:coreProperties>
</file>