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1"/>
        <w:gridCol w:w="20"/>
        <w:gridCol w:w="6373"/>
      </w:tblGrid>
      <w:tr w:rsidR="007B78E6" w:rsidRPr="007B78E6" w14:paraId="792F8430" w14:textId="77777777" w:rsidTr="007B78E6">
        <w:trPr>
          <w:jc w:val="center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02994E7" w14:textId="77777777" w:rsidR="007B78E6" w:rsidRPr="00C4291C" w:rsidRDefault="007B78E6" w:rsidP="007B78E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C429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fldChar w:fldCharType="begin"/>
            </w:r>
            <w:r w:rsidRPr="00C429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instrText xml:space="preserve"> HYPERLINK "http://www.crianca.mppr.mp.br/arquivos/File/legis/conanda/conanda_resolucao_163_publicada.pdf" \t "_blank" </w:instrText>
            </w:r>
            <w:r w:rsidRPr="00C429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r>
            <w:r w:rsidRPr="00C429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fldChar w:fldCharType="separate"/>
            </w:r>
            <w:r w:rsidRPr="00C4291C">
              <w:rPr>
                <w:rFonts w:ascii="Book Antiqua" w:eastAsia="Times New Roman" w:hAnsi="Book Antiqua" w:cs="Times New Roman"/>
                <w:b/>
                <w:bCs/>
                <w:color w:val="000080"/>
                <w:sz w:val="19"/>
                <w:szCs w:val="19"/>
                <w:u w:val="single"/>
                <w:lang w:eastAsia="pt-BR"/>
              </w:rPr>
              <w:t>RESOLUÇÃO Nº 163, DE 13 DE MARÇO DE 2014</w:t>
            </w:r>
            <w:r w:rsidRPr="00C4291C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fldChar w:fldCharType="end"/>
            </w:r>
          </w:p>
          <w:p w14:paraId="23D68EC3" w14:textId="230133B6" w:rsidR="007B78E6" w:rsidRPr="00C4291C" w:rsidRDefault="007B78E6" w:rsidP="007B78E6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</w:tr>
      <w:tr w:rsidR="007B78E6" w:rsidRPr="007B78E6" w14:paraId="4C27BBF1" w14:textId="77777777" w:rsidTr="007B78E6">
        <w:trPr>
          <w:jc w:val="center"/>
        </w:trPr>
        <w:tc>
          <w:tcPr>
            <w:tcW w:w="12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EEF0BDE" w14:textId="22E2A5CA" w:rsidR="007B78E6" w:rsidRPr="007B78E6" w:rsidRDefault="007B78E6" w:rsidP="007B78E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CE4A32" w14:textId="77777777" w:rsidR="007B78E6" w:rsidRDefault="007B78E6" w:rsidP="007B78E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7B78E6"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  <w:t> </w:t>
            </w:r>
          </w:p>
          <w:p w14:paraId="23A702D1" w14:textId="77DEBB8F" w:rsidR="007B78E6" w:rsidRPr="007B78E6" w:rsidRDefault="007B78E6" w:rsidP="007B78E6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7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23C41F" w14:textId="77777777" w:rsidR="007B78E6" w:rsidRPr="00C4291C" w:rsidRDefault="007B78E6" w:rsidP="007B78E6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color w:val="800000"/>
                <w:sz w:val="19"/>
                <w:szCs w:val="19"/>
                <w:lang w:eastAsia="pt-BR"/>
              </w:rPr>
            </w:pPr>
            <w:r w:rsidRPr="00C4291C">
              <w:rPr>
                <w:rFonts w:ascii="Book Antiqua" w:eastAsia="Times New Roman" w:hAnsi="Book Antiqua" w:cs="Times New Roman"/>
                <w:color w:val="800000"/>
                <w:sz w:val="19"/>
                <w:szCs w:val="19"/>
                <w:lang w:eastAsia="pt-BR"/>
              </w:rPr>
              <w:t>Dispõe sobre a abusividade do direcionamento de publicidade e de comunicação mercadológica à criança e ao adolescente.</w:t>
            </w:r>
          </w:p>
        </w:tc>
      </w:tr>
    </w:tbl>
    <w:p w14:paraId="78D4669F" w14:textId="77777777" w:rsidR="007B78E6" w:rsidRPr="007B78E6" w:rsidRDefault="007B78E6" w:rsidP="007B78E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333333"/>
          <w:sz w:val="20"/>
          <w:szCs w:val="20"/>
          <w:lang w:eastAsia="pt-BR"/>
        </w:rPr>
      </w:pPr>
      <w:r w:rsidRPr="007B78E6">
        <w:rPr>
          <w:rFonts w:ascii="Book Antiqua" w:eastAsia="Times New Roman" w:hAnsi="Book Antiqua" w:cs="Times New Roman"/>
          <w:color w:val="333333"/>
          <w:sz w:val="20"/>
          <w:szCs w:val="20"/>
          <w:lang w:eastAsia="pt-BR"/>
        </w:rPr>
        <w:t> 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7B78E6" w14:paraId="1D051531" w14:textId="77777777" w:rsidTr="007B78E6">
        <w:tc>
          <w:tcPr>
            <w:tcW w:w="8494" w:type="dxa"/>
            <w:shd w:val="clear" w:color="auto" w:fill="CCFFFF"/>
          </w:tcPr>
          <w:p w14:paraId="34758F3E" w14:textId="4578EF04" w:rsidR="007B78E6" w:rsidRPr="007B78E6" w:rsidRDefault="007B78E6" w:rsidP="007B78E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color w:val="333333"/>
                <w:sz w:val="20"/>
                <w:szCs w:val="20"/>
                <w:lang w:eastAsia="pt-BR"/>
              </w:rPr>
            </w:pPr>
            <w:r w:rsidRPr="007B78E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20"/>
                <w:szCs w:val="20"/>
                <w:lang w:eastAsia="pt-BR"/>
              </w:rPr>
              <w:t>#</w:t>
            </w:r>
            <w:r w:rsidRPr="007B78E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20"/>
                <w:szCs w:val="20"/>
                <w:highlight w:val="green"/>
                <w:lang w:eastAsia="pt-BR"/>
              </w:rPr>
              <w:t>Atenção</w:t>
            </w:r>
            <w:r w:rsidRPr="007B78E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20"/>
                <w:szCs w:val="20"/>
                <w:lang w:eastAsia="pt-BR"/>
              </w:rPr>
              <w:t>: #</w:t>
            </w:r>
            <w:r w:rsidRPr="007B78E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20"/>
                <w:szCs w:val="20"/>
                <w:highlight w:val="green"/>
                <w:lang w:eastAsia="pt-BR"/>
              </w:rPr>
              <w:t>TJAL-2019</w:t>
            </w:r>
            <w:r w:rsidRPr="007B78E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20"/>
                <w:szCs w:val="20"/>
                <w:lang w:eastAsia="pt-BR"/>
              </w:rPr>
              <w:t>: #</w:t>
            </w:r>
            <w:r w:rsidRPr="007B78E6">
              <w:rPr>
                <w:rFonts w:ascii="Book Antiqua" w:eastAsia="Times New Roman" w:hAnsi="Book Antiqua" w:cs="Times New Roman"/>
                <w:b/>
                <w:bCs/>
                <w:i/>
                <w:iCs/>
                <w:color w:val="FF0000"/>
                <w:sz w:val="20"/>
                <w:szCs w:val="20"/>
                <w:highlight w:val="green"/>
                <w:lang w:eastAsia="pt-BR"/>
              </w:rPr>
              <w:t>FCC</w:t>
            </w:r>
            <w:r>
              <w:rPr>
                <w:rFonts w:ascii="Book Antiqua" w:eastAsia="Times New Roman" w:hAnsi="Book Antiqua" w:cs="Times New Roman"/>
                <w:color w:val="333333"/>
                <w:sz w:val="20"/>
                <w:szCs w:val="20"/>
                <w:lang w:eastAsia="pt-BR"/>
              </w:rPr>
              <w:t xml:space="preserve">: </w:t>
            </w:r>
            <w:r w:rsidRPr="007B78E6">
              <w:rPr>
                <w:rFonts w:ascii="Book Antiqua" w:eastAsia="Times New Roman" w:hAnsi="Book Antiqua" w:cs="Times New Roman"/>
                <w:color w:val="333333"/>
                <w:sz w:val="20"/>
                <w:szCs w:val="20"/>
                <w:lang w:eastAsia="pt-BR"/>
              </w:rPr>
              <w:t xml:space="preserve">O </w:t>
            </w:r>
            <w:r>
              <w:rPr>
                <w:rFonts w:ascii="Book Antiqua" w:eastAsia="Times New Roman" w:hAnsi="Book Antiqua" w:cs="Times New Roman"/>
                <w:color w:val="333333"/>
                <w:sz w:val="20"/>
                <w:szCs w:val="20"/>
                <w:lang w:eastAsia="pt-BR"/>
              </w:rPr>
              <w:t>STF</w:t>
            </w:r>
            <w:r w:rsidRPr="007B78E6">
              <w:rPr>
                <w:rFonts w:ascii="Book Antiqua" w:eastAsia="Times New Roman" w:hAnsi="Book Antiqua" w:cs="Times New Roman"/>
                <w:color w:val="333333"/>
                <w:sz w:val="20"/>
                <w:szCs w:val="20"/>
                <w:lang w:eastAsia="pt-BR"/>
              </w:rPr>
              <w:t xml:space="preserve"> nada declarou </w:t>
            </w:r>
            <w:r>
              <w:rPr>
                <w:rFonts w:ascii="Book Antiqua" w:eastAsia="Times New Roman" w:hAnsi="Book Antiqua" w:cs="Times New Roman"/>
                <w:color w:val="333333"/>
                <w:sz w:val="20"/>
                <w:szCs w:val="20"/>
                <w:lang w:eastAsia="pt-BR"/>
              </w:rPr>
              <w:t>acerca da inconstitucionalidade d</w:t>
            </w:r>
            <w:r w:rsidRPr="007B78E6">
              <w:rPr>
                <w:rFonts w:ascii="Book Antiqua" w:eastAsia="Times New Roman" w:hAnsi="Book Antiqua" w:cs="Times New Roman"/>
                <w:color w:val="333333"/>
                <w:sz w:val="20"/>
                <w:szCs w:val="20"/>
                <w:lang w:eastAsia="pt-BR"/>
              </w:rPr>
              <w:t xml:space="preserve">a Resolução 163 do Conselho Nacional dos Direitos da Criança e do Adolescente (CONANDA) que dispõe sobre a abusividade do direcionamento de publicidade e de comunicação mercadológica à criança e ao adolescente.  </w:t>
            </w:r>
          </w:p>
        </w:tc>
      </w:tr>
    </w:tbl>
    <w:p w14:paraId="67152D62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O </w:t>
      </w: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CONSELHO NACIONAL DOS DIREITOS DA CRIANÇA E DO ADOLESCENTE - CONANDA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, no uso de suas atribuições estabelecidas na Lei nº 8.242, de 12 de outubro de 1991 e no Decreto nº 5.089, de 20 de maio de 2004 e no seu Regimento Interno,</w:t>
      </w:r>
    </w:p>
    <w:p w14:paraId="327B0309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Considerando o estabelecido no art. 227 da Constituição Federal;</w:t>
      </w:r>
    </w:p>
    <w:p w14:paraId="34304278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Considerando o disposto nos </w:t>
      </w:r>
      <w:proofErr w:type="spellStart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arts</w:t>
      </w:r>
      <w:proofErr w:type="spellEnd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. 2º, 3º, 4º e 86 da Lei nº 8.069, de 13 de julho de 1990;</w:t>
      </w:r>
    </w:p>
    <w:p w14:paraId="3A72B309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Considerando o disposto no § 2º do art. 37, da Lei nº 8.078, de 11 de setembro de 1990;</w:t>
      </w:r>
    </w:p>
    <w:p w14:paraId="5D4B3802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Considerando o Plano Decenal dos Direitos Humanos de Crianças e Adolescentes, especialmente o objetivo estratégico 3.8 - "Aperfeiçoar instrumentos de proteção e defesa de crianças e adolescentes para enfrentamento das ameaças ou violações de direitos facilitadas pelas Tecnologias de Informação e Comunicação",</w:t>
      </w:r>
    </w:p>
    <w:p w14:paraId="599C808A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RESOLVE:</w:t>
      </w:r>
    </w:p>
    <w:p w14:paraId="0720C74A" w14:textId="4E3F26C9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u w:val="single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highlight w:val="magenta"/>
          <w:lang w:eastAsia="pt-BR"/>
        </w:rPr>
        <w:t>Art. 1º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</w:t>
      </w: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 xml:space="preserve">Esta Resolução dispõe sobre a abusividade do direcionamento de publicidade e de comunicação mercadológica à criança e ao adolescente, em conformidade com a política nacional de atendimento da criança e do adolescente prevista nos </w:t>
      </w:r>
      <w:proofErr w:type="spellStart"/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arts</w:t>
      </w:r>
      <w:proofErr w:type="spellEnd"/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. 86 e 87, incisos I, III, V, da Lei nº 8.069, de 13 de julho de 1990</w:t>
      </w:r>
      <w:r w:rsidRPr="00C4291C">
        <w:rPr>
          <w:rFonts w:ascii="Book Antiqua" w:eastAsia="Times New Roman" w:hAnsi="Book Antiqua" w:cs="Times New Roman"/>
          <w:color w:val="333333"/>
          <w:sz w:val="16"/>
          <w:szCs w:val="16"/>
          <w:lang w:eastAsia="pt-BR"/>
        </w:rPr>
        <w:t>.</w:t>
      </w:r>
      <w:r w:rsidR="00C4291C" w:rsidRPr="00C4291C">
        <w:rPr>
          <w:rFonts w:ascii="Book Antiqua" w:eastAsia="Times New Roman" w:hAnsi="Book Antiqua" w:cs="Times New Roman"/>
          <w:color w:val="333333"/>
          <w:sz w:val="16"/>
          <w:szCs w:val="16"/>
          <w:lang w:eastAsia="pt-BR"/>
        </w:rPr>
        <w:t xml:space="preserve"> </w:t>
      </w:r>
      <w:r w:rsidR="00C4291C" w:rsidRPr="00C429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(DPERJ-2023)</w:t>
      </w:r>
    </w:p>
    <w:p w14:paraId="7BC6CF96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§ 1º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Por 'comunicação mercadológica' entende-se toda e qualquer atividade de comunicação comercial, inclusive publicidade, para a divulgação de produtos, serviços, marcas e empresas independentemente do suporte, da mídia ou do meio utilizado.</w:t>
      </w:r>
    </w:p>
    <w:p w14:paraId="567AB9DF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§ 2º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A comunicação mercadológica abrange, dentre outras ferramentas, anúncios impressos, comerciais televisivos, </w:t>
      </w:r>
      <w:r w:rsidRPr="00C4291C">
        <w:rPr>
          <w:rFonts w:ascii="Book Antiqua" w:eastAsia="Times New Roman" w:hAnsi="Book Antiqua" w:cs="Times New Roman"/>
          <w:i/>
          <w:iCs/>
          <w:color w:val="333333"/>
          <w:sz w:val="19"/>
          <w:szCs w:val="19"/>
          <w:lang w:eastAsia="pt-BR"/>
        </w:rPr>
        <w:t>spots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de rádio, </w:t>
      </w:r>
      <w:r w:rsidRPr="00C4291C">
        <w:rPr>
          <w:rFonts w:ascii="Book Antiqua" w:eastAsia="Times New Roman" w:hAnsi="Book Antiqua" w:cs="Times New Roman"/>
          <w:i/>
          <w:iCs/>
          <w:color w:val="333333"/>
          <w:sz w:val="19"/>
          <w:szCs w:val="19"/>
          <w:lang w:eastAsia="pt-BR"/>
        </w:rPr>
        <w:t>banners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e páginas na internet, embalagens, promoções, </w:t>
      </w:r>
      <w:r w:rsidRPr="00C4291C">
        <w:rPr>
          <w:rFonts w:ascii="Book Antiqua" w:eastAsia="Times New Roman" w:hAnsi="Book Antiqua" w:cs="Times New Roman"/>
          <w:i/>
          <w:iCs/>
          <w:color w:val="333333"/>
          <w:sz w:val="19"/>
          <w:szCs w:val="19"/>
          <w:lang w:eastAsia="pt-BR"/>
        </w:rPr>
        <w:t>merchandising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, ações por meio de </w:t>
      </w:r>
      <w:r w:rsidRPr="00C4291C">
        <w:rPr>
          <w:rFonts w:ascii="Book Antiqua" w:eastAsia="Times New Roman" w:hAnsi="Book Antiqua" w:cs="Times New Roman"/>
          <w:i/>
          <w:iCs/>
          <w:color w:val="333333"/>
          <w:sz w:val="19"/>
          <w:szCs w:val="19"/>
          <w:lang w:eastAsia="pt-BR"/>
        </w:rPr>
        <w:t>shows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e apresentações e disposição dos produtos nos pontos de vendas.</w:t>
      </w:r>
    </w:p>
    <w:p w14:paraId="4F6A69E1" w14:textId="5429581C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highlight w:val="magenta"/>
          <w:lang w:eastAsia="pt-BR"/>
        </w:rPr>
        <w:t>Art. 2º</w:t>
      </w: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 xml:space="preserve"> Considera-se abusiva, em razão da política nacional de atendimento da criança e do adolescente, a prática do direcionamento de publicidade e de comunicação mercadológica à criança, com a intenção de persuadi-la para o consumo de qualquer produto ou serviço e utilizando-se, dentre outros, dos seguintes aspectos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:</w:t>
      </w:r>
      <w:r w:rsid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</w:t>
      </w:r>
      <w:r w:rsidR="00C4291C" w:rsidRPr="00C429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(DPERJ-2023)</w:t>
      </w:r>
    </w:p>
    <w:p w14:paraId="12D71043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I -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</w:t>
      </w:r>
      <w:proofErr w:type="gramStart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linguagem</w:t>
      </w:r>
      <w:proofErr w:type="gramEnd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infantil, efeitos especiais e excesso de cores;</w:t>
      </w:r>
    </w:p>
    <w:p w14:paraId="375AFFC8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II -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</w:t>
      </w:r>
      <w:proofErr w:type="gramStart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trilhas</w:t>
      </w:r>
      <w:proofErr w:type="gramEnd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sonoras de músicas infantis ou cantadas por vozes de criança;</w:t>
      </w:r>
    </w:p>
    <w:p w14:paraId="2C4A3B9C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III -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representação de criança;</w:t>
      </w:r>
    </w:p>
    <w:p w14:paraId="58B4CDC3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IV -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</w:t>
      </w:r>
      <w:proofErr w:type="gramStart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pessoas ou celebridades</w:t>
      </w:r>
      <w:proofErr w:type="gramEnd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com apelo ao público infantil;</w:t>
      </w:r>
    </w:p>
    <w:p w14:paraId="708F357C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V -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</w:t>
      </w:r>
      <w:proofErr w:type="gramStart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personagens</w:t>
      </w:r>
      <w:proofErr w:type="gramEnd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ou apresentadores infantis;</w:t>
      </w:r>
    </w:p>
    <w:p w14:paraId="40F25314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VI -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</w:t>
      </w:r>
      <w:proofErr w:type="gramStart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desenho</w:t>
      </w:r>
      <w:proofErr w:type="gramEnd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animado ou de animação;</w:t>
      </w:r>
    </w:p>
    <w:p w14:paraId="3587F9CB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lastRenderedPageBreak/>
        <w:t>VII -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bonecos ou similares;</w:t>
      </w:r>
    </w:p>
    <w:p w14:paraId="4FE7B931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VIII -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promoção com distribuição de prêmios ou de brindes colecionáveis ou com apelos ao público infantil; e</w:t>
      </w:r>
    </w:p>
    <w:p w14:paraId="55118B57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IX -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</w:t>
      </w:r>
      <w:proofErr w:type="gramStart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promoção</w:t>
      </w:r>
      <w:proofErr w:type="gramEnd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com competições ou jogos com apelo ao público infantil.</w:t>
      </w:r>
    </w:p>
    <w:p w14:paraId="3A8A2FC6" w14:textId="3A83181E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highlight w:val="magenta"/>
          <w:lang w:eastAsia="pt-BR"/>
        </w:rPr>
        <w:t>§ 1º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</w:t>
      </w: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 xml:space="preserve">O disposto no </w:t>
      </w:r>
      <w:r w:rsidRPr="00C4291C">
        <w:rPr>
          <w:rFonts w:ascii="Book Antiqua" w:eastAsia="Times New Roman" w:hAnsi="Book Antiqua" w:cs="Times New Roman"/>
          <w:b/>
          <w:bCs/>
          <w:i/>
          <w:iCs/>
          <w:color w:val="333333"/>
          <w:sz w:val="19"/>
          <w:szCs w:val="19"/>
          <w:lang w:eastAsia="pt-BR"/>
        </w:rPr>
        <w:t>caput</w:t>
      </w: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 xml:space="preserve"> se aplica à publicidade e à comunicação mercadológica realizada, dentre outros meios e lugares, em eventos, espaços públicos, páginas de internet, canais televisivos, em qualquer horário, por meio de qualquer suporte ou mídia, seja de produtos ou serviços relacionados à infância ou relacionados ao público adolescente e </w:t>
      </w:r>
      <w:proofErr w:type="spellStart"/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adulto</w:t>
      </w:r>
      <w:proofErr w:type="spellEnd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.</w:t>
      </w:r>
      <w:r w:rsid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</w:t>
      </w:r>
      <w:r w:rsidR="00C4291C" w:rsidRPr="00C4291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(DPERJ-2023)</w:t>
      </w:r>
    </w:p>
    <w:p w14:paraId="031BB673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§ 2º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Considera-se abusiva a publicidade e comunicação mercadológica no interior de creches e das instituições escolares da educação infantil e fundamental, inclusive em seus uniformes escolares ou materiais didáticos.</w:t>
      </w:r>
    </w:p>
    <w:p w14:paraId="6BB62163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§ 3º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As disposições neste artigo não se aplicam às campanhas de utilidade pública que não configurem estratégia publicitária referente a informações sobre boa alimentação, segurança, educação, saúde, entre outros itens relativos ao melhor desenvolvimento da criança no meio social.</w:t>
      </w:r>
    </w:p>
    <w:p w14:paraId="1B90B8FC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Art. 3º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São princípios gerais a serem aplicados à publicidade e à comunicação mercadológica dirigida ao adolescente, além daqueles previstos na Constituição Federal, na Lei nº 8.069, de 13 de julho de 1990, Estatuto da Criança e do Adolescente, e na Lei nº 8.078, de 11 de setembro de 1990, Código de Defesa do Consumidor, os seguintes:</w:t>
      </w:r>
    </w:p>
    <w:p w14:paraId="26BE5CA1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I -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</w:t>
      </w:r>
      <w:proofErr w:type="gramStart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respeito</w:t>
      </w:r>
      <w:proofErr w:type="gramEnd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à dignidade da pessoa humana, à intimidade, ao interesse social, às instituições e símbolos nacionais;</w:t>
      </w:r>
    </w:p>
    <w:p w14:paraId="62A621FF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II -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</w:t>
      </w:r>
      <w:proofErr w:type="gramStart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atenção</w:t>
      </w:r>
      <w:proofErr w:type="gramEnd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e cuidado especial às características psicológicas do adolescente e sua condição de pessoa em desenvolvimento;</w:t>
      </w:r>
    </w:p>
    <w:p w14:paraId="19EECC02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III -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não permitir que a influência do anúncio leve o adolescente a constranger seus responsáveis ou a conduzi-los a uma posição socialmente inferior;</w:t>
      </w:r>
    </w:p>
    <w:p w14:paraId="3AE29A4E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IV -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</w:t>
      </w:r>
      <w:proofErr w:type="gramStart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não</w:t>
      </w:r>
      <w:proofErr w:type="gramEnd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favorecer ou estimular qualquer espécie de ofensa ou discriminação de gênero, orientação sexual e identidade de gênero, racial, social, política, religiosa ou de nacionalidade;</w:t>
      </w:r>
    </w:p>
    <w:p w14:paraId="5B712F1F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V -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</w:t>
      </w:r>
      <w:proofErr w:type="gramStart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não</w:t>
      </w:r>
      <w:proofErr w:type="gramEnd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induzir, mesmo implicitamente, sentimento de inferioridade no adolescente, caso este não consuma determinado produto ou serviço;</w:t>
      </w:r>
    </w:p>
    <w:p w14:paraId="5BD979DD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VI -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</w:t>
      </w:r>
      <w:proofErr w:type="gramStart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não</w:t>
      </w:r>
      <w:proofErr w:type="gramEnd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induzir, favorecer, enaltecer ou estimular de qualquer forma atividades ilegais.</w:t>
      </w:r>
    </w:p>
    <w:p w14:paraId="228266A8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VII -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não induzir, de forma alguma, a qualquer espécie de violência;</w:t>
      </w:r>
    </w:p>
    <w:p w14:paraId="4A78B041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VIII -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a qualquer forma de degradação do meio ambiente; e</w:t>
      </w:r>
    </w:p>
    <w:p w14:paraId="385C5FE8" w14:textId="77777777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IX -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</w:t>
      </w:r>
      <w:proofErr w:type="gramStart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primar</w:t>
      </w:r>
      <w:proofErr w:type="gramEnd"/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por uma apresentação verdadeira do produto ou serviço oferecido, esclarecendo sobre suas características e funcionamento, considerando especialmente as características peculiares do público-alvo a que se destina. </w:t>
      </w:r>
      <w:bookmarkStart w:id="0" w:name="vigencia"/>
      <w:r w:rsidRPr="00C4291C">
        <w:rPr>
          <w:rFonts w:ascii="Book Antiqua" w:eastAsia="Times New Roman" w:hAnsi="Book Antiqua" w:cs="Times New Roman"/>
          <w:color w:val="337AB7"/>
          <w:sz w:val="19"/>
          <w:szCs w:val="19"/>
          <w:lang w:eastAsia="pt-BR"/>
        </w:rPr>
        <w:t> </w:t>
      </w:r>
      <w:bookmarkEnd w:id="0"/>
    </w:p>
    <w:p w14:paraId="1AB9666C" w14:textId="2F21A24E" w:rsidR="007B78E6" w:rsidRPr="00C4291C" w:rsidRDefault="007B78E6" w:rsidP="007B78E6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b/>
          <w:bCs/>
          <w:color w:val="333333"/>
          <w:sz w:val="19"/>
          <w:szCs w:val="19"/>
          <w:lang w:eastAsia="pt-BR"/>
        </w:rPr>
        <w:t>Art. 4º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 xml:space="preserve"> Esta Resolução entra em vigor na data de sua publicação.</w:t>
      </w:r>
    </w:p>
    <w:p w14:paraId="559B0697" w14:textId="77777777" w:rsidR="007B78E6" w:rsidRPr="00C4291C" w:rsidRDefault="007B78E6" w:rsidP="007B78E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</w:pP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t>MIRIAM MARIA JOSÉ DOS SANTOS</w:t>
      </w:r>
      <w:r w:rsidRPr="00C4291C">
        <w:rPr>
          <w:rFonts w:ascii="Book Antiqua" w:eastAsia="Times New Roman" w:hAnsi="Book Antiqua" w:cs="Times New Roman"/>
          <w:color w:val="333333"/>
          <w:sz w:val="19"/>
          <w:szCs w:val="19"/>
          <w:lang w:eastAsia="pt-BR"/>
        </w:rPr>
        <w:br/>
        <w:t>p/ Conselho</w:t>
      </w:r>
    </w:p>
    <w:p w14:paraId="1C757E0A" w14:textId="77777777" w:rsidR="007022E8" w:rsidRPr="007B78E6" w:rsidRDefault="007022E8" w:rsidP="007B78E6">
      <w:pPr>
        <w:spacing w:before="100" w:beforeAutospacing="1" w:after="100" w:afterAutospacing="1" w:line="240" w:lineRule="auto"/>
        <w:rPr>
          <w:rFonts w:ascii="Book Antiqua" w:hAnsi="Book Antiqua"/>
          <w:sz w:val="20"/>
          <w:szCs w:val="20"/>
        </w:rPr>
      </w:pPr>
    </w:p>
    <w:sectPr w:rsidR="007022E8" w:rsidRPr="007B78E6" w:rsidSect="007B78E6">
      <w:pgSz w:w="11906" w:h="16838"/>
      <w:pgMar w:top="1135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2E8"/>
    <w:rsid w:val="00701BF4"/>
    <w:rsid w:val="007022E8"/>
    <w:rsid w:val="007B78E6"/>
    <w:rsid w:val="008E6B10"/>
    <w:rsid w:val="00C4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B34A1"/>
  <w15:chartTrackingRefBased/>
  <w15:docId w15:val="{FF0A6BD9-BBAD-4822-A452-5C5B5094A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B7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9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867</Words>
  <Characters>4687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3</cp:revision>
  <dcterms:created xsi:type="dcterms:W3CDTF">2020-02-01T19:41:00Z</dcterms:created>
  <dcterms:modified xsi:type="dcterms:W3CDTF">2025-04-21T20:00:00Z</dcterms:modified>
</cp:coreProperties>
</file>