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4243" w14:textId="465DA8DD" w:rsidR="008420BC" w:rsidRPr="008420BC" w:rsidRDefault="008420BC" w:rsidP="008420B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8420BC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9019E3">
        <w:rPr>
          <w:rFonts w:ascii="Book Antiqua" w:hAnsi="Book Antiqua"/>
          <w:b/>
          <w:bCs/>
          <w:color w:val="FF0000"/>
          <w:sz w:val="19"/>
          <w:szCs w:val="19"/>
        </w:rPr>
        <w:t>18/07</w:t>
      </w:r>
      <w:r w:rsidR="000D6041">
        <w:rPr>
          <w:rFonts w:ascii="Book Antiqua" w:hAnsi="Book Antiqua"/>
          <w:b/>
          <w:bCs/>
          <w:color w:val="FF0000"/>
          <w:sz w:val="19"/>
          <w:szCs w:val="19"/>
        </w:rPr>
        <w:t>/202</w:t>
      </w:r>
      <w:r w:rsidR="009019E3">
        <w:rPr>
          <w:rFonts w:ascii="Book Antiqua" w:hAnsi="Book Antiqua"/>
          <w:b/>
          <w:bCs/>
          <w:color w:val="FF0000"/>
          <w:sz w:val="19"/>
          <w:szCs w:val="19"/>
        </w:rPr>
        <w:t>5</w:t>
      </w:r>
      <w:r w:rsidRPr="008420BC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6CE456C0" w14:textId="486EC0DA" w:rsidR="008420BC" w:rsidRPr="008420BC" w:rsidRDefault="008420BC" w:rsidP="008420B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420BC">
        <w:rPr>
          <w:rFonts w:ascii="Book Antiqua" w:hAnsi="Book Antiqua"/>
          <w:b/>
          <w:bCs/>
          <w:sz w:val="19"/>
          <w:szCs w:val="19"/>
        </w:rPr>
        <w:t>RESOLUÇÃO N° 177, DE 11 DE DEZEMBRO DE 2015</w:t>
      </w:r>
    </w:p>
    <w:p w14:paraId="68283E7C" w14:textId="0AC0A543" w:rsidR="008420BC" w:rsidRPr="008420BC" w:rsidRDefault="008420BC" w:rsidP="008420BC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Dispõe sobre o direito da criança e do adolescente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não serem submetidos à excessiva medicalização.</w:t>
      </w:r>
    </w:p>
    <w:p w14:paraId="30B9D008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O CONSELHO NACIONAL DOS DIREITOS DA CRIANÇA E DO ADOLESCENTE,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no uso das atribuições que lhe confere o inciso I do ar</w:t>
      </w:r>
      <w:r>
        <w:rPr>
          <w:rFonts w:ascii="Book Antiqua" w:hAnsi="Book Antiqua"/>
          <w:sz w:val="19"/>
          <w:szCs w:val="19"/>
        </w:rPr>
        <w:t>t</w:t>
      </w:r>
      <w:r w:rsidRPr="008420BC">
        <w:rPr>
          <w:rFonts w:ascii="Book Antiqua" w:hAnsi="Book Antiqua"/>
          <w:sz w:val="19"/>
          <w:szCs w:val="19"/>
        </w:rPr>
        <w:t>. 2" da Lei n</w:t>
      </w:r>
      <w:r>
        <w:rPr>
          <w:rFonts w:ascii="Book Antiqua" w:hAnsi="Book Antiqua"/>
          <w:sz w:val="19"/>
          <w:szCs w:val="19"/>
        </w:rPr>
        <w:t>º</w:t>
      </w:r>
      <w:r w:rsidRPr="008420BC">
        <w:rPr>
          <w:rFonts w:ascii="Book Antiqua" w:hAnsi="Book Antiqua"/>
          <w:sz w:val="19"/>
          <w:szCs w:val="19"/>
        </w:rPr>
        <w:t xml:space="preserve"> 8.242, de 12 de outubro de 1991, e tendo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em vista o disposto no inciso I do art. T do Decreto n® 5.089, de 20 de maio de 2000, e</w:t>
      </w:r>
    </w:p>
    <w:p w14:paraId="087482DB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que é dever da família, da sociedade e do Estado assegurar à criança, ao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adolescente e ao jovem, com absoluta prioridade, o direito à vida, à dignidade, ao respeito e à liberdade, além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de colocá-los a salvo de toda forma de negligência, discriminação, exploração, violência, crueldade 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opressão;</w:t>
      </w:r>
    </w:p>
    <w:p w14:paraId="69776553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que, nos termos do § 1° do art. 227 da Constituição Federal, o Estado promoverá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programas de assistência integral à saúde da criança, do adolescente e do Jovem;</w:t>
      </w:r>
    </w:p>
    <w:p w14:paraId="614A384C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 xml:space="preserve">Considerando o art. 7° do Estatuto da Criança e do Adolescente, que estatui "a criança e </w:t>
      </w:r>
      <w:proofErr w:type="spellStart"/>
      <w:r w:rsidRPr="008420BC">
        <w:rPr>
          <w:rFonts w:ascii="Book Antiqua" w:hAnsi="Book Antiqua"/>
          <w:sz w:val="19"/>
          <w:szCs w:val="19"/>
        </w:rPr>
        <w:t>o</w:t>
      </w:r>
      <w:proofErr w:type="spellEnd"/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adolescente têm direito a proteção à vida e à saúde mediante a efetivação de políticas sociais públicas que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permitam o nascimento e o desenvolvimento sadio e harmonioso, em condições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dignas de existência".</w:t>
      </w:r>
    </w:p>
    <w:p w14:paraId="0A1FF4B3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o art. 17 do Estatuto da Criança e do Adolescente, que prevê "o direito ao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respeito consiste na inviolabilidade da integridade física, psíquica e moral da criança e do adolescente,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 xml:space="preserve">abrangendo a preservação da imagem, da identidade, da autonomia, dos valores, </w:t>
      </w:r>
      <w:proofErr w:type="spellStart"/>
      <w:r w:rsidRPr="008420BC">
        <w:rPr>
          <w:rFonts w:ascii="Book Antiqua" w:hAnsi="Book Antiqua"/>
          <w:sz w:val="19"/>
          <w:szCs w:val="19"/>
        </w:rPr>
        <w:t>idéias</w:t>
      </w:r>
      <w:proofErr w:type="spellEnd"/>
      <w:r w:rsidRPr="008420BC">
        <w:rPr>
          <w:rFonts w:ascii="Book Antiqua" w:hAnsi="Book Antiqua"/>
          <w:sz w:val="19"/>
          <w:szCs w:val="19"/>
        </w:rPr>
        <w:t xml:space="preserve"> e crenças, dos espaços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e objetos pessoais.";</w:t>
      </w:r>
    </w:p>
    <w:p w14:paraId="29353830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o art. 125 do Estatuto da Criança e do Adolescente que dispõe que é dever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do Estado zelar pela integridade física e mental dos internos do Sistema Socioeducativo, cabendo-lhe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adotar as medidas adequadas de contenção e segurança.</w:t>
      </w:r>
    </w:p>
    <w:p w14:paraId="604E5A9F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a recomendação MERCOSUL/XXVI RAADH/P. REC. No 01/15 do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MERCOSUL no âmbito da XXVI Reunião de Altas Autoridades em Direitos Humanos (RAADH), que se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realizou na cidade de Brasília, República Federativa do Brasil, no dia 6 de julho de 2015, que afirma 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importância de garantir o direito de crianças e adolescentes a não serem excessivamente medicados 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recomenda o estabelecimento de diretrizes e protocolos clínicos sobre o tema;</w:t>
      </w:r>
    </w:p>
    <w:p w14:paraId="3D5B075D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as "Recomendações do Ministério da Saúde para adoção de práticas não</w:t>
      </w:r>
      <w:r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8420BC">
        <w:rPr>
          <w:rFonts w:ascii="Book Antiqua" w:hAnsi="Book Antiqua"/>
          <w:sz w:val="19"/>
          <w:szCs w:val="19"/>
        </w:rPr>
        <w:t>medicalizantes</w:t>
      </w:r>
      <w:proofErr w:type="spellEnd"/>
      <w:r w:rsidRPr="008420BC">
        <w:rPr>
          <w:rFonts w:ascii="Book Antiqua" w:hAnsi="Book Antiqua"/>
          <w:sz w:val="19"/>
          <w:szCs w:val="19"/>
        </w:rPr>
        <w:t xml:space="preserve"> e para publicação de protocolos municipais e estaduais de dispensação de metilfenidato para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prevenir a excessiva medicalização de crianças e adolescentes", publicada em T de outubro de 2015, que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apontam a existência de diagnósticos excessivos e abusos na prescrição do medicamento;</w:t>
      </w:r>
    </w:p>
    <w:p w14:paraId="7EFE3A75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a Recomendação n° 19 do Conselho Nacional de Saúde, de 8 de Outubro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2015, que recomenda ao Ministério da Saúde, Secretarias Estaduais por meio do Conselho Nacional das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Secretarias Estaduais de Saúde e Secretarias Municipais, por meio do Conselho Nacional das Secretarias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 xml:space="preserve">Municipais de Saúde, a promoção de práticas não </w:t>
      </w:r>
      <w:proofErr w:type="spellStart"/>
      <w:r w:rsidRPr="008420BC">
        <w:rPr>
          <w:rFonts w:ascii="Book Antiqua" w:hAnsi="Book Antiqua"/>
          <w:sz w:val="19"/>
          <w:szCs w:val="19"/>
        </w:rPr>
        <w:t>medicalizantes</w:t>
      </w:r>
      <w:proofErr w:type="spellEnd"/>
      <w:r w:rsidRPr="008420BC">
        <w:rPr>
          <w:rFonts w:ascii="Book Antiqua" w:hAnsi="Book Antiqua"/>
          <w:sz w:val="19"/>
          <w:szCs w:val="19"/>
        </w:rPr>
        <w:t xml:space="preserve"> por profissionais e serviços de saúde,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-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bem como recomenda a publicação de protocolos clínicos e diretrizes terapêuticas para prescrição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metilfenidato, de modo a prevenir a excessiva medicalização de crianças e adolescentes.</w:t>
      </w:r>
    </w:p>
    <w:p w14:paraId="44109A50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as experiências do Município de São Paulo, por meio da edição da Portaria n°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986, de 12 de junho de 2014, e de Campinas, que demonstram como a publicação de protocolos pode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contribuir para a diminuição da prescrição excessiva, e por vezes desnecessária, do medicamento.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8D0B0CF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o alto índice de utilização de medicamentos, em especial psicotrópicos, em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serviços de acolhimento institucional e em unidades de medidas sócio educativas, levando especialistas 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afirmarem a existência de prática corrente de contenção química;</w:t>
      </w:r>
    </w:p>
    <w:p w14:paraId="246285E1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lastRenderedPageBreak/>
        <w:t>Considerando que o Brasil se tornou o segundo mercado mundial no consumo do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metilfenidato, com cerca de 2.000.000 de caixas vendidas no ano de 2010, e estudos apontam para um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aumento de consumo de 775% entre 2003 e 2012 segundo dados do Instituto de Medicina Social da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Universidade Estadual do Rio de Janeiro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Considerando que as estimativas de prevalência de Transtorno do Déficit de Atenção 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Hiperatividade (TDAH) em crianças e adolescentes no Brasil são bastante discordantes, com valores de 0,9%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 26,8% segundo o Boletim de Farmacoepidemiologia do Sistema Nacional de Gerenciamento de Produtos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Controlados (SNGPC) da Agência Nacional de Vigilância Sanitária;</w:t>
      </w:r>
    </w:p>
    <w:p w14:paraId="1F2799AC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que os medicamentos psicotrópicos podem causar dependência física o</w:t>
      </w:r>
      <w:r>
        <w:rPr>
          <w:rFonts w:ascii="Book Antiqua" w:hAnsi="Book Antiqua"/>
          <w:sz w:val="19"/>
          <w:szCs w:val="19"/>
        </w:rPr>
        <w:t xml:space="preserve">u </w:t>
      </w:r>
      <w:r w:rsidRPr="008420BC">
        <w:rPr>
          <w:rFonts w:ascii="Book Antiqua" w:hAnsi="Book Antiqua"/>
          <w:sz w:val="19"/>
          <w:szCs w:val="19"/>
        </w:rPr>
        <w:t>psíquica, conforme Portaria n° 344, de 12 de maio de 1998, da Agência Nacional de Vigilância Sanitária,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segundo a bula do medicamento;</w:t>
      </w:r>
    </w:p>
    <w:p w14:paraId="4B98C45E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Considerando que o TDAH, não pode ser confirmado por nenhum exame laboratorial, segundo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o boletim SNGPC da ANVISA, resolve:</w:t>
      </w:r>
    </w:p>
    <w:p w14:paraId="50F94B27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B73511A" w14:textId="0EBFA939" w:rsidR="008420BC" w:rsidRPr="00FE102B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670B5B">
        <w:rPr>
          <w:rFonts w:ascii="Book Antiqua" w:hAnsi="Book Antiqua"/>
          <w:b/>
          <w:bCs/>
          <w:sz w:val="19"/>
          <w:szCs w:val="19"/>
          <w:highlight w:val="magenta"/>
        </w:rPr>
        <w:t>Art. 1°</w:t>
      </w:r>
      <w:r w:rsidRPr="008420BC">
        <w:rPr>
          <w:rFonts w:ascii="Book Antiqua" w:hAnsi="Book Antiqua"/>
          <w:sz w:val="19"/>
          <w:szCs w:val="19"/>
        </w:rPr>
        <w:t xml:space="preserve"> </w:t>
      </w:r>
      <w:r w:rsidRPr="00670B5B">
        <w:rPr>
          <w:rFonts w:ascii="Book Antiqua" w:hAnsi="Book Antiqua"/>
          <w:b/>
          <w:bCs/>
          <w:sz w:val="19"/>
          <w:szCs w:val="19"/>
        </w:rPr>
        <w:t xml:space="preserve">Esta Resolução dispõe sobre o direito da criança e do adolescente de </w:t>
      </w:r>
      <w:r w:rsidRPr="00670B5B">
        <w:rPr>
          <w:rFonts w:ascii="Book Antiqua" w:hAnsi="Book Antiqua"/>
          <w:b/>
          <w:bCs/>
          <w:caps/>
          <w:sz w:val="19"/>
          <w:szCs w:val="19"/>
          <w:highlight w:val="green"/>
        </w:rPr>
        <w:t>não serem submetidos</w:t>
      </w:r>
      <w:r w:rsidRPr="00670B5B">
        <w:rPr>
          <w:rFonts w:ascii="Book Antiqua" w:hAnsi="Book Antiqua"/>
          <w:b/>
          <w:bCs/>
          <w:sz w:val="19"/>
          <w:szCs w:val="19"/>
        </w:rPr>
        <w:t xml:space="preserve"> à </w:t>
      </w:r>
      <w:r w:rsidRPr="00670B5B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excessiva medicalização</w:t>
      </w:r>
      <w:r w:rsidRPr="00670B5B">
        <w:rPr>
          <w:rFonts w:ascii="Book Antiqua" w:hAnsi="Book Antiqua"/>
          <w:b/>
          <w:bCs/>
          <w:sz w:val="19"/>
          <w:szCs w:val="19"/>
        </w:rPr>
        <w:t>, em especial no que concerne às questões de aprendizagem, comportamento e disciplina</w:t>
      </w:r>
      <w:r w:rsidRPr="00FE102B">
        <w:rPr>
          <w:rFonts w:ascii="Book Antiqua" w:hAnsi="Book Antiqua"/>
          <w:sz w:val="16"/>
          <w:szCs w:val="16"/>
        </w:rPr>
        <w:t>.</w:t>
      </w:r>
      <w:r w:rsidR="00670B5B" w:rsidRPr="00FE102B">
        <w:rPr>
          <w:rFonts w:ascii="Book Antiqua" w:hAnsi="Book Antiqua"/>
          <w:color w:val="FF0000"/>
          <w:sz w:val="16"/>
          <w:szCs w:val="16"/>
        </w:rPr>
        <w:t xml:space="preserve"> </w:t>
      </w:r>
      <w:r w:rsidR="00670B5B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(MPSC-2021</w:t>
      </w:r>
      <w:r w:rsidR="000D6041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/2024</w:t>
      </w:r>
      <w:r w:rsidR="00670B5B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2E89AAA" w14:textId="0EE4C817" w:rsidR="008420BC" w:rsidRPr="00FE102B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670B5B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8420BC">
        <w:rPr>
          <w:rFonts w:ascii="Book Antiqua" w:hAnsi="Book Antiqua"/>
          <w:sz w:val="19"/>
          <w:szCs w:val="19"/>
        </w:rPr>
        <w:t xml:space="preserve">. </w:t>
      </w:r>
      <w:r w:rsidRPr="00670B5B">
        <w:rPr>
          <w:rFonts w:ascii="Book Antiqua" w:hAnsi="Book Antiqua"/>
          <w:b/>
          <w:bCs/>
          <w:sz w:val="19"/>
          <w:szCs w:val="19"/>
        </w:rPr>
        <w:t xml:space="preserve">Para os fins desta Resolução, </w:t>
      </w:r>
      <w:r w:rsidRPr="00670B5B">
        <w:rPr>
          <w:rFonts w:ascii="Book Antiqua" w:hAnsi="Book Antiqua"/>
          <w:b/>
          <w:bCs/>
          <w:caps/>
          <w:sz w:val="19"/>
          <w:szCs w:val="19"/>
          <w:highlight w:val="green"/>
        </w:rPr>
        <w:t>define-se</w:t>
      </w:r>
      <w:r w:rsidRPr="00670B5B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670B5B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excessiva medicalização</w:t>
      </w:r>
      <w:r w:rsidRPr="00670B5B">
        <w:rPr>
          <w:rFonts w:ascii="Book Antiqua" w:hAnsi="Book Antiqua"/>
          <w:b/>
          <w:bCs/>
          <w:sz w:val="19"/>
          <w:szCs w:val="19"/>
        </w:rPr>
        <w:t xml:space="preserve"> como a redução inadequada de questões de aprendizagem, comportamento e disciplina a patologias, em desconformidade com o direito da criança e do adolescente à saúde, ou que configure negligência, discriminação ou opressão</w:t>
      </w:r>
      <w:r w:rsidRPr="00FE102B">
        <w:rPr>
          <w:rFonts w:ascii="Book Antiqua" w:hAnsi="Book Antiqua"/>
          <w:sz w:val="16"/>
          <w:szCs w:val="16"/>
        </w:rPr>
        <w:t>.</w:t>
      </w:r>
      <w:r w:rsidR="00670B5B" w:rsidRPr="00FE102B">
        <w:rPr>
          <w:rFonts w:ascii="Book Antiqua" w:hAnsi="Book Antiqua"/>
          <w:sz w:val="16"/>
          <w:szCs w:val="16"/>
        </w:rPr>
        <w:t xml:space="preserve"> </w:t>
      </w:r>
      <w:r w:rsidR="00670B5B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(MPSC-2021</w:t>
      </w:r>
      <w:r w:rsidR="000D6041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/2024</w:t>
      </w:r>
      <w:r w:rsidR="00670B5B" w:rsidRPr="00FE102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2C825B75" w14:textId="01AC417B" w:rsidR="008420BC" w:rsidRPr="000D6041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670B5B">
        <w:rPr>
          <w:rFonts w:ascii="Book Antiqua" w:hAnsi="Book Antiqua"/>
          <w:b/>
          <w:bCs/>
          <w:sz w:val="19"/>
          <w:szCs w:val="19"/>
          <w:highlight w:val="magenta"/>
        </w:rPr>
        <w:t>Art. 2°</w:t>
      </w:r>
      <w:r w:rsidRPr="008420BC">
        <w:rPr>
          <w:rFonts w:ascii="Book Antiqua" w:hAnsi="Book Antiqua"/>
          <w:sz w:val="19"/>
          <w:szCs w:val="19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A criança e </w:t>
      </w:r>
      <w:proofErr w:type="spellStart"/>
      <w:r w:rsidRPr="000D6041">
        <w:rPr>
          <w:rFonts w:ascii="Book Antiqua" w:hAnsi="Book Antiqua"/>
          <w:b/>
          <w:bCs/>
          <w:sz w:val="19"/>
          <w:szCs w:val="19"/>
        </w:rPr>
        <w:t>o</w:t>
      </w:r>
      <w:proofErr w:type="spellEnd"/>
      <w:r w:rsidRPr="000D6041">
        <w:rPr>
          <w:rFonts w:ascii="Book Antiqua" w:hAnsi="Book Antiqua"/>
          <w:b/>
          <w:bCs/>
          <w:sz w:val="19"/>
          <w:szCs w:val="19"/>
        </w:rPr>
        <w:t xml:space="preserve"> adolescente têm direito à proteção integral, particularmente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 xml:space="preserve">ao acesso a alternativas não </w:t>
      </w:r>
      <w:proofErr w:type="spellStart"/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medicalizantes</w:t>
      </w:r>
      <w:proofErr w:type="spellEnd"/>
      <w:r w:rsidRPr="000D6041">
        <w:rPr>
          <w:rFonts w:ascii="Book Antiqua" w:hAnsi="Book Antiqua"/>
          <w:b/>
          <w:bCs/>
          <w:sz w:val="19"/>
          <w:szCs w:val="19"/>
        </w:rPr>
        <w:t xml:space="preserve"> para seus problemas de aprendizagem, comportamento e disciplina que levem em conta aspectos pedagógicos, sociais, culturais, emocionais e étnicos, e que envolvam a família, profissionais responsáveis pelos cuidados de crianças e adolescentes e a comunidade</w:t>
      </w:r>
      <w:r w:rsidRPr="000D6041">
        <w:rPr>
          <w:rFonts w:ascii="Book Antiqua" w:hAnsi="Book Antiqua"/>
          <w:sz w:val="18"/>
          <w:szCs w:val="18"/>
        </w:rPr>
        <w:t>.</w:t>
      </w:r>
      <w:r w:rsidR="00670B5B" w:rsidRPr="000D6041">
        <w:rPr>
          <w:rFonts w:ascii="Book Antiqua" w:hAnsi="Book Antiqua"/>
          <w:sz w:val="18"/>
          <w:szCs w:val="18"/>
        </w:rPr>
        <w:t xml:space="preserve"> </w:t>
      </w:r>
      <w:r w:rsidR="00670B5B" w:rsidRP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(MPSC-2021)</w:t>
      </w:r>
    </w:p>
    <w:p w14:paraId="1E3FB98F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D6041">
        <w:rPr>
          <w:rFonts w:ascii="Book Antiqua" w:hAnsi="Book Antiqua"/>
          <w:b/>
          <w:bCs/>
          <w:sz w:val="19"/>
          <w:szCs w:val="19"/>
          <w:highlight w:val="magenta"/>
        </w:rPr>
        <w:t>Art. 3°</w:t>
      </w:r>
      <w:r w:rsidRPr="008420BC">
        <w:rPr>
          <w:rFonts w:ascii="Book Antiqua" w:hAnsi="Book Antiqua"/>
          <w:sz w:val="19"/>
          <w:szCs w:val="19"/>
        </w:rPr>
        <w:t xml:space="preserve"> A proteção integral da criança e do adolescente implica a abordagem multiprofissional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e intersetorial das questões de aprendizagem, comportamento e disciplina de crianças e adolescentes, com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vistas a reduzir a excessiva medicalização e promover práticas de educação e cuidados de saúde.</w:t>
      </w:r>
    </w:p>
    <w:p w14:paraId="5D2ABD4C" w14:textId="121AA9FA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D6041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. A promoção das práticas de educação e cuidados de saúde, previstas no caput envolve a oferta pelo Poder Público competente de orientação para familiares e de capacitação para profissionais responsáveis pelos cuidados de crianças e adolescentes, com relação aos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transtornos de comportamento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aprendizagem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que </w:t>
      </w:r>
      <w:r w:rsidRPr="000D6041">
        <w:rPr>
          <w:rFonts w:ascii="Book Antiqua" w:hAnsi="Book Antiqua"/>
          <w:b/>
          <w:bCs/>
          <w:caps/>
          <w:sz w:val="19"/>
          <w:szCs w:val="19"/>
          <w:highlight w:val="green"/>
        </w:rPr>
        <w:t>vêm sendo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  <w:highlight w:val="yellow"/>
        </w:rPr>
        <w:t>objeto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de </w:t>
      </w:r>
      <w:r w:rsidRPr="000D6041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excessiva medicalização</w:t>
      </w:r>
      <w:r w:rsidRPr="008420BC">
        <w:rPr>
          <w:rFonts w:ascii="Book Antiqua" w:hAnsi="Book Antiqua"/>
          <w:sz w:val="19"/>
          <w:szCs w:val="19"/>
        </w:rPr>
        <w:t>.</w:t>
      </w:r>
      <w:r w:rsidR="000D6041">
        <w:rPr>
          <w:rFonts w:ascii="Book Antiqua" w:hAnsi="Book Antiqua"/>
          <w:sz w:val="19"/>
          <w:szCs w:val="19"/>
        </w:rPr>
        <w:t xml:space="preserve"> </w:t>
      </w:r>
      <w:r w:rsidR="000D6041" w:rsidRP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</w:t>
      </w:r>
      <w:r w:rsid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0D6041" w:rsidRP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F548AAC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proofErr w:type="spellStart"/>
      <w:proofErr w:type="gramStart"/>
      <w:r w:rsidRPr="008420BC">
        <w:rPr>
          <w:rFonts w:ascii="Book Antiqua" w:hAnsi="Book Antiqua"/>
          <w:sz w:val="19"/>
          <w:szCs w:val="19"/>
        </w:rPr>
        <w:t>Art</w:t>
      </w:r>
      <w:proofErr w:type="spellEnd"/>
      <w:r w:rsidRPr="008420BC">
        <w:rPr>
          <w:rFonts w:ascii="Book Antiqua" w:hAnsi="Book Antiqua"/>
          <w:sz w:val="19"/>
          <w:szCs w:val="19"/>
        </w:rPr>
        <w:t xml:space="preserve"> .</w:t>
      </w:r>
      <w:proofErr w:type="gramEnd"/>
      <w:r w:rsidRPr="008420BC">
        <w:rPr>
          <w:rFonts w:ascii="Book Antiqua" w:hAnsi="Book Antiqua"/>
          <w:sz w:val="19"/>
          <w:szCs w:val="19"/>
        </w:rPr>
        <w:t xml:space="preserve"> 4° Os órgãos e entidades que integram o Sistema de Garantia de Direitos deverão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prevenir a ocorrência de violação dos direitos da criança e do adolescente decorrentes da excessiva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medicalização, tendo como ações, dentre outras, a promoção de campanhas educativas e debates para 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divulgação do direito da criança e do adolescente de serem educados e cuidados sem o uso de excessiva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medicalização.</w:t>
      </w:r>
    </w:p>
    <w:p w14:paraId="69508155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Art.5° A atenção integral à saúde dos adolescentes, no âmbito do Sistema Nacional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Atendimento Socioeducativo (</w:t>
      </w:r>
      <w:proofErr w:type="spellStart"/>
      <w:r w:rsidRPr="008420BC">
        <w:rPr>
          <w:rFonts w:ascii="Book Antiqua" w:hAnsi="Book Antiqua"/>
          <w:sz w:val="19"/>
          <w:szCs w:val="19"/>
        </w:rPr>
        <w:t>Sinase</w:t>
      </w:r>
      <w:proofErr w:type="spellEnd"/>
      <w:r w:rsidRPr="008420BC">
        <w:rPr>
          <w:rFonts w:ascii="Book Antiqua" w:hAnsi="Book Antiqua"/>
          <w:sz w:val="19"/>
          <w:szCs w:val="19"/>
        </w:rPr>
        <w:t>), tem como diretriz os cuidados especiais em saúde mental.</w:t>
      </w:r>
    </w:p>
    <w:p w14:paraId="0A75B140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§ 1° Os cuidados especiais em saúde mental referidos no caput deverão ser realizados por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equipe multidisciplinar e multissetorial de saúde cuja composição esteja em conformidade com as normas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referência do Sistema Único de Saúde.</w:t>
      </w:r>
    </w:p>
    <w:p w14:paraId="0790264A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§ 2" O adolescente em cumprimento de medida socioeducativa que apresente indícios de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transtorno mental, de deficiência mental, ou associadas, deverá ser avaliado por equipe técnica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multidisciplinar e multissetorial e esta avaliação subsidiará a elaboração e execução da terapêutica a ser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adotada, a qual será incluída no Plano Individual de Atendimento PIA do adolescente.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558370A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lastRenderedPageBreak/>
        <w:t xml:space="preserve">§ 3° A prescrição de medicamento psiquiátrico para adolescentes no âmbito do </w:t>
      </w:r>
      <w:proofErr w:type="spellStart"/>
      <w:r w:rsidRPr="008420BC">
        <w:rPr>
          <w:rFonts w:ascii="Book Antiqua" w:hAnsi="Book Antiqua"/>
          <w:sz w:val="19"/>
          <w:szCs w:val="19"/>
        </w:rPr>
        <w:t>Sinase</w:t>
      </w:r>
      <w:proofErr w:type="spellEnd"/>
      <w:r w:rsidRPr="008420BC">
        <w:rPr>
          <w:rFonts w:ascii="Book Antiqua" w:hAnsi="Book Antiqua"/>
          <w:sz w:val="19"/>
          <w:szCs w:val="19"/>
        </w:rPr>
        <w:t xml:space="preserve"> deve ser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feita nos termos da lei, bem como deve estar em conformidade com o PIA e com as necessidades individuais</w:t>
      </w:r>
      <w:r>
        <w:rPr>
          <w:rFonts w:ascii="Book Antiqua" w:hAnsi="Book Antiqua"/>
          <w:sz w:val="19"/>
          <w:szCs w:val="19"/>
        </w:rPr>
        <w:t xml:space="preserve"> </w:t>
      </w:r>
      <w:r w:rsidRPr="008420BC">
        <w:rPr>
          <w:rFonts w:ascii="Book Antiqua" w:hAnsi="Book Antiqua"/>
          <w:sz w:val="19"/>
          <w:szCs w:val="19"/>
        </w:rPr>
        <w:t>do adolescente.</w:t>
      </w:r>
    </w:p>
    <w:p w14:paraId="2CC43766" w14:textId="1590F5CB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D6041">
        <w:rPr>
          <w:rFonts w:ascii="Book Antiqua" w:hAnsi="Book Antiqua"/>
          <w:b/>
          <w:bCs/>
          <w:sz w:val="19"/>
          <w:szCs w:val="19"/>
          <w:highlight w:val="magenta"/>
        </w:rPr>
        <w:t>Art.</w:t>
      </w:r>
      <w:r w:rsidR="000D6041" w:rsidRPr="000D6041">
        <w:rPr>
          <w:rFonts w:ascii="Book Antiqua" w:hAnsi="Book Antiqua"/>
          <w:b/>
          <w:bCs/>
          <w:sz w:val="19"/>
          <w:szCs w:val="19"/>
          <w:highlight w:val="magenta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  <w:highlight w:val="magenta"/>
        </w:rPr>
        <w:t>6º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As </w:t>
      </w:r>
      <w:r w:rsidRPr="00A62529">
        <w:rPr>
          <w:rFonts w:ascii="Book Antiqua" w:hAnsi="Book Antiqua"/>
          <w:b/>
          <w:bCs/>
          <w:sz w:val="19"/>
          <w:szCs w:val="19"/>
          <w:highlight w:val="yellow"/>
        </w:rPr>
        <w:t>entidades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que </w:t>
      </w:r>
      <w:r w:rsidRPr="00A62529">
        <w:rPr>
          <w:rFonts w:ascii="Book Antiqua" w:hAnsi="Book Antiqua"/>
          <w:b/>
          <w:bCs/>
          <w:caps/>
          <w:sz w:val="19"/>
          <w:szCs w:val="19"/>
          <w:highlight w:val="green"/>
        </w:rPr>
        <w:t>ofereçam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programas de atendimento socioeducativo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de privação de liberdade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A62529">
        <w:rPr>
          <w:rFonts w:ascii="Book Antiqua" w:hAnsi="Book Antiqua"/>
          <w:b/>
          <w:bCs/>
          <w:caps/>
          <w:sz w:val="19"/>
          <w:szCs w:val="19"/>
          <w:highlight w:val="green"/>
        </w:rPr>
        <w:t>devem adotar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A62529">
        <w:rPr>
          <w:rFonts w:ascii="Book Antiqua" w:hAnsi="Book Antiqua"/>
          <w:b/>
          <w:bCs/>
          <w:sz w:val="19"/>
          <w:szCs w:val="19"/>
          <w:highlight w:val="yellow"/>
        </w:rPr>
        <w:t>medidas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que </w:t>
      </w:r>
      <w:r w:rsidRPr="00A62529">
        <w:rPr>
          <w:rFonts w:ascii="Book Antiqua" w:hAnsi="Book Antiqua"/>
          <w:b/>
          <w:bCs/>
          <w:caps/>
          <w:sz w:val="19"/>
          <w:szCs w:val="19"/>
          <w:highlight w:val="green"/>
        </w:rPr>
        <w:t>coíbam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  <w:highlight w:val="cyan"/>
        </w:rPr>
        <w:t>a prática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de </w:t>
      </w:r>
      <w:r w:rsidRPr="000D6041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excessiva medicalização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e de </w:t>
      </w:r>
      <w:r w:rsidRPr="000D6041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contenção química arbitrária</w:t>
      </w:r>
      <w:r w:rsidRPr="000D6041">
        <w:rPr>
          <w:rFonts w:ascii="Book Antiqua" w:hAnsi="Book Antiqua"/>
          <w:b/>
          <w:bCs/>
          <w:sz w:val="19"/>
          <w:szCs w:val="19"/>
        </w:rPr>
        <w:t xml:space="preserve"> </w:t>
      </w:r>
      <w:r w:rsidRPr="000D6041">
        <w:rPr>
          <w:rFonts w:ascii="Book Antiqua" w:hAnsi="Book Antiqua"/>
          <w:b/>
          <w:bCs/>
          <w:sz w:val="19"/>
          <w:szCs w:val="19"/>
          <w:highlight w:val="yellow"/>
        </w:rPr>
        <w:t>de adolescentes</w:t>
      </w:r>
      <w:r w:rsidRPr="008420BC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="000D6041" w:rsidRP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(MPSC-20</w:t>
      </w:r>
      <w:r w:rsid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0D6041" w:rsidRPr="000D604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C299962" w14:textId="61E1C15F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Art. 7° Esta Resolução entra em vigor data de sua publicação.</w:t>
      </w:r>
    </w:p>
    <w:p w14:paraId="453219CA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98E7015" w14:textId="77777777" w:rsidR="008420BC" w:rsidRDefault="008420BC" w:rsidP="008420B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2D617709" w14:textId="0FDE6552" w:rsidR="008420BC" w:rsidRPr="008420BC" w:rsidRDefault="008420BC" w:rsidP="008420BC">
      <w:pPr>
        <w:spacing w:before="100" w:beforeAutospacing="1" w:after="100" w:afterAutospacing="1" w:line="240" w:lineRule="auto"/>
        <w:ind w:firstLine="567"/>
        <w:jc w:val="center"/>
        <w:rPr>
          <w:rFonts w:ascii="Book Antiqua" w:hAnsi="Book Antiqua"/>
          <w:sz w:val="19"/>
          <w:szCs w:val="19"/>
        </w:rPr>
      </w:pPr>
      <w:r w:rsidRPr="008420BC">
        <w:rPr>
          <w:rFonts w:ascii="Book Antiqua" w:hAnsi="Book Antiqua"/>
          <w:sz w:val="19"/>
          <w:szCs w:val="19"/>
        </w:rPr>
        <w:t>RODRIGO T</w:t>
      </w:r>
      <w:r>
        <w:rPr>
          <w:rFonts w:ascii="Book Antiqua" w:hAnsi="Book Antiqua"/>
          <w:sz w:val="19"/>
          <w:szCs w:val="19"/>
        </w:rPr>
        <w:t>O</w:t>
      </w:r>
      <w:r w:rsidRPr="008420BC">
        <w:rPr>
          <w:rFonts w:ascii="Book Antiqua" w:hAnsi="Book Antiqua"/>
          <w:sz w:val="19"/>
          <w:szCs w:val="19"/>
        </w:rPr>
        <w:t>RRES DE ARAÚJO LIMA</w:t>
      </w:r>
    </w:p>
    <w:sectPr w:rsidR="008420BC" w:rsidRPr="008420BC" w:rsidSect="008E4FEF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35"/>
    <w:rsid w:val="000D6041"/>
    <w:rsid w:val="00185435"/>
    <w:rsid w:val="005A1186"/>
    <w:rsid w:val="00670B5B"/>
    <w:rsid w:val="008420BC"/>
    <w:rsid w:val="008E4FEF"/>
    <w:rsid w:val="009019E3"/>
    <w:rsid w:val="00A62529"/>
    <w:rsid w:val="00FE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4CD2"/>
  <w15:chartTrackingRefBased/>
  <w15:docId w15:val="{9456BF97-2C0A-43D6-911D-4DFD965E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1266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</cp:revision>
  <dcterms:created xsi:type="dcterms:W3CDTF">2021-12-07T20:40:00Z</dcterms:created>
  <dcterms:modified xsi:type="dcterms:W3CDTF">2025-07-18T21:44:00Z</dcterms:modified>
</cp:coreProperties>
</file>