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DC633" w14:textId="42F7678B" w:rsidR="00021164" w:rsidRPr="00021164" w:rsidRDefault="00021164" w:rsidP="00021164">
      <w:pPr>
        <w:spacing w:before="100" w:beforeAutospacing="1" w:after="100" w:afterAutospacing="1" w:line="240" w:lineRule="auto"/>
        <w:jc w:val="center"/>
        <w:rPr>
          <w:rFonts w:ascii="Book Antiqua" w:hAnsi="Book Antiqua"/>
          <w:b/>
          <w:bCs/>
          <w:color w:val="FF0000"/>
          <w:sz w:val="19"/>
          <w:szCs w:val="19"/>
        </w:rPr>
      </w:pPr>
      <w:r w:rsidRPr="00021164">
        <w:rPr>
          <w:rFonts w:ascii="Book Antiqua" w:hAnsi="Book Antiqua"/>
          <w:b/>
          <w:bCs/>
          <w:color w:val="FF0000"/>
          <w:sz w:val="19"/>
          <w:szCs w:val="19"/>
        </w:rPr>
        <w:t>(Atualização em 07/12/2021: questões de concurso)</w:t>
      </w:r>
    </w:p>
    <w:p w14:paraId="7B2D37D9" w14:textId="5BE65452" w:rsidR="00021164" w:rsidRPr="00021164" w:rsidRDefault="00021164" w:rsidP="00021164">
      <w:pPr>
        <w:spacing w:before="100" w:beforeAutospacing="1" w:after="100" w:afterAutospacing="1" w:line="240" w:lineRule="auto"/>
        <w:jc w:val="center"/>
        <w:rPr>
          <w:rFonts w:ascii="Book Antiqua" w:hAnsi="Book Antiqua"/>
          <w:b/>
          <w:bCs/>
          <w:sz w:val="19"/>
          <w:szCs w:val="19"/>
        </w:rPr>
      </w:pPr>
      <w:r w:rsidRPr="00021164">
        <w:rPr>
          <w:rFonts w:ascii="Book Antiqua" w:hAnsi="Book Antiqua"/>
          <w:b/>
          <w:bCs/>
          <w:sz w:val="19"/>
          <w:szCs w:val="19"/>
        </w:rPr>
        <w:t>RESOLUÇÃO Nº 180, DE 20 DE OUTUBRO DE 2016</w:t>
      </w:r>
    </w:p>
    <w:p w14:paraId="6AFFBC30" w14:textId="5963778A" w:rsidR="00021164" w:rsidRPr="00021164" w:rsidRDefault="00021164" w:rsidP="00021164">
      <w:pPr>
        <w:spacing w:before="100" w:beforeAutospacing="1" w:after="100" w:afterAutospacing="1" w:line="240" w:lineRule="auto"/>
        <w:ind w:left="1985"/>
        <w:jc w:val="both"/>
        <w:rPr>
          <w:rFonts w:ascii="Book Antiqua" w:hAnsi="Book Antiqua"/>
          <w:sz w:val="19"/>
          <w:szCs w:val="19"/>
        </w:rPr>
      </w:pPr>
      <w:r w:rsidRPr="00021164">
        <w:rPr>
          <w:rFonts w:ascii="Book Antiqua" w:hAnsi="Book Antiqua"/>
          <w:sz w:val="19"/>
          <w:szCs w:val="19"/>
        </w:rPr>
        <w:t>Dispõe sobre a igualdade de direitos entre meninas e meninos nas políticas públicas de atenção, proteção e defesa de crianças e adolescentes.</w:t>
      </w:r>
    </w:p>
    <w:p w14:paraId="45847DF4"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O CONSELHO NACIONAL DOS DIREITOS DA CRIANÇA E DO ADOLESCENTE - CONANDA,</w:t>
      </w:r>
      <w:r>
        <w:rPr>
          <w:rFonts w:ascii="Book Antiqua" w:hAnsi="Book Antiqua"/>
          <w:sz w:val="19"/>
          <w:szCs w:val="19"/>
        </w:rPr>
        <w:t xml:space="preserve"> </w:t>
      </w:r>
      <w:r w:rsidRPr="00021164">
        <w:rPr>
          <w:rFonts w:ascii="Book Antiqua" w:hAnsi="Book Antiqua"/>
          <w:sz w:val="19"/>
          <w:szCs w:val="19"/>
        </w:rPr>
        <w:t xml:space="preserve">no uso de suas atribuições estabelecidas no art. 2º da Lei n° 8.242, de 12 de outubro de 1991 e no art. 2º do Decreto n° 5.089, de 20 de maio de 2004, </w:t>
      </w:r>
    </w:p>
    <w:p w14:paraId="2B6D10A7"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as desigualdades entre meninas e meninos são construídas social e culturalmente desde a infância e a adolescência, moldando concepções e comportamentos que muitas vezes desfavorecem as meninas e acarretam violações e violências em suas trajetórias de vida relacionadas ao fato de serem mulheres;</w:t>
      </w:r>
    </w:p>
    <w:p w14:paraId="152CE597"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 xml:space="preserve">Considerando que é dever da família, da sociedade e do Estado assegurar à criança e ao adolescente, com absoluta prioridade, o direito à vida, à saúde, à alimentação, à educação, ao esporte, à cultura, ao lazer, à profissionalização, à dignidade, ao respeito, à liberdade e à convivência familiar e comunitária, além de colocá-los a salvo de toda forma de negligência, discriminação, exploração, violência, crueldade e opressão, conforme disposto nos </w:t>
      </w:r>
      <w:proofErr w:type="spellStart"/>
      <w:r w:rsidRPr="00021164">
        <w:rPr>
          <w:rFonts w:ascii="Book Antiqua" w:hAnsi="Book Antiqua"/>
          <w:sz w:val="19"/>
          <w:szCs w:val="19"/>
        </w:rPr>
        <w:t>arts</w:t>
      </w:r>
      <w:proofErr w:type="spellEnd"/>
      <w:r w:rsidRPr="00021164">
        <w:rPr>
          <w:rFonts w:ascii="Book Antiqua" w:hAnsi="Book Antiqua"/>
          <w:sz w:val="19"/>
          <w:szCs w:val="19"/>
        </w:rPr>
        <w:t xml:space="preserve">. 217 e 227, caput, da Constituição Federal e nos </w:t>
      </w:r>
      <w:proofErr w:type="spellStart"/>
      <w:r w:rsidRPr="00021164">
        <w:rPr>
          <w:rFonts w:ascii="Book Antiqua" w:hAnsi="Book Antiqua"/>
          <w:sz w:val="19"/>
          <w:szCs w:val="19"/>
        </w:rPr>
        <w:t>arts</w:t>
      </w:r>
      <w:proofErr w:type="spellEnd"/>
      <w:r w:rsidRPr="00021164">
        <w:rPr>
          <w:rFonts w:ascii="Book Antiqua" w:hAnsi="Book Antiqua"/>
          <w:sz w:val="19"/>
          <w:szCs w:val="19"/>
        </w:rPr>
        <w:t>. 4º e 5º da Lei nº 8.069, de 13 de julho de 1990, Estatuto da Criança e do Adolescente - ECA;</w:t>
      </w:r>
    </w:p>
    <w:p w14:paraId="595B7222"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o Plano Decenal dos Direitos Humanos de Crianças e Adolescentes, especialmente as diretrizes 1, 2, 3 e 6, que dispõem sobre a promoção, proteção e defesa de direitos e o protagonismo e participação de crianças e adolescentes, levando-se em conta as suas diversidades caracterizadas por gênero, deficiência, orientação sexual, identidade de gênero, cultural, étnico-racial, religiosa, geracional, territorial, de nacionalidade e de opção política;</w:t>
      </w:r>
    </w:p>
    <w:p w14:paraId="361BB63B"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os direitos das meninas como uma das 12 áreas temáticas prioritárias para investimento dos países signatários da IV Conferência Mundial sobre as Mulheres (1995), dentre eles o Brasil, visando combater a discriminação contra as mulheres;</w:t>
      </w:r>
    </w:p>
    <w:p w14:paraId="0636706F"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os direitos das meninas afrodescendentes, sobretudo nas áreas de educação, direitos sexuais e reprodutivos, combate ao tráfico, violência sexual e empoderamento, estabelecidos pela III Conferência Mundial contra o Racismo, Discriminação Racial, Xenofobia e Intolerância Correlata (2001), da qual o Brasil é signatário;</w:t>
      </w:r>
    </w:p>
    <w:p w14:paraId="13515661"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o Objetivo 5 dos Objetivos de Desenvolvimento Sustentável (ODS), do qual o Brasil é signatário e que estabelece como meta e ações a igualdade de gênero e o empoderamento das meninas e mulheres;</w:t>
      </w:r>
    </w:p>
    <w:p w14:paraId="5AB7597E"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o Decreto 6.481, de 12 de junho de 2008, regulamenta que o trabalho infantil doméstico é uma das piores formas de trabalho infantil e que no Brasil</w:t>
      </w:r>
      <w:r>
        <w:rPr>
          <w:rFonts w:ascii="Book Antiqua" w:hAnsi="Book Antiqua"/>
          <w:sz w:val="19"/>
          <w:szCs w:val="19"/>
        </w:rPr>
        <w:t xml:space="preserve"> </w:t>
      </w:r>
      <w:r w:rsidRPr="00021164">
        <w:rPr>
          <w:rFonts w:ascii="Book Antiqua" w:hAnsi="Book Antiqua"/>
          <w:sz w:val="19"/>
          <w:szCs w:val="19"/>
        </w:rPr>
        <w:t>cerca de duzentos e quarenta e uma mil meninas entre 5 e 17 anos se encontram nessa situação, segundo dados da Pnad/IBGE (2011);</w:t>
      </w:r>
    </w:p>
    <w:p w14:paraId="12251395"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45% das denúncias relativas a violação de direitos contra crianças e adolescentes, num universo de 153.962 mil registros feitos pelo Disque</w:t>
      </w:r>
      <w:r w:rsidRPr="00021164">
        <w:rPr>
          <w:rFonts w:ascii="Book Antiqua" w:hAnsi="Book Antiqua"/>
          <w:sz w:val="19"/>
          <w:szCs w:val="19"/>
        </w:rPr>
        <w:t xml:space="preserve"> </w:t>
      </w:r>
      <w:r w:rsidRPr="00021164">
        <w:rPr>
          <w:rFonts w:ascii="Book Antiqua" w:hAnsi="Book Antiqua"/>
          <w:sz w:val="19"/>
          <w:szCs w:val="19"/>
        </w:rPr>
        <w:t>Direitos Humanos (Disque 100), no ano de 2015, se referiam a meninas, sobretudo na faixa entre 4 e 11 anos;</w:t>
      </w:r>
    </w:p>
    <w:p w14:paraId="049BA99A"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71% das denúncias relacionadas à violência sexual e registradas pelo Disque Direitos Humanos (Disque 100), entre 2012 e 2013, eram</w:t>
      </w:r>
      <w:r>
        <w:rPr>
          <w:rFonts w:ascii="Book Antiqua" w:hAnsi="Book Antiqua"/>
          <w:sz w:val="19"/>
          <w:szCs w:val="19"/>
        </w:rPr>
        <w:t xml:space="preserve"> </w:t>
      </w:r>
      <w:r w:rsidRPr="00021164">
        <w:rPr>
          <w:rFonts w:ascii="Book Antiqua" w:hAnsi="Book Antiqua"/>
          <w:sz w:val="19"/>
          <w:szCs w:val="19"/>
        </w:rPr>
        <w:t>relativas a meninas;</w:t>
      </w:r>
    </w:p>
    <w:p w14:paraId="03C0A4EA"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 xml:space="preserve">Considerando que das notificações de estupro contra pessoas do sexo feminino em 2014, segundo dados do SINAN/SVS/MS, 71,4 % se referiam a crianças e adolescentes de até 19 anos; </w:t>
      </w:r>
    </w:p>
    <w:p w14:paraId="3FAA80BE"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18,9% do registro de bebês nascidos vivos, em 2014, eram de mães entre 10 e 19 anos, segundo o IBGE, e que a gravidez na adolescência pode alterar o projeto de vida, sendo necessários investimentos para evitar problemas de saúde, sociais e emocionais que obstaculizem a trajetória nos estudos, na profissionalização e na inserção no mercado de trabalho;</w:t>
      </w:r>
    </w:p>
    <w:p w14:paraId="3CFCBEF8"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lastRenderedPageBreak/>
        <w:t>Considerando a Resolução nº 113, de 19 de abril de 2006, do CONANDA que dispõe sobre os parâmetros para a institucionalização do Sistema de Garantias dos Direitos da Criança e do Adolescente;</w:t>
      </w:r>
    </w:p>
    <w:p w14:paraId="57CBE4E8"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as políticas públicas devem ser concebidas e executadas visando à garantia dos direitos de todas as crianças e adolescentes, sobretudo daquelas em perfil de maior vulnerabilidade devido a condições específicas;</w:t>
      </w:r>
    </w:p>
    <w:p w14:paraId="1697619F" w14:textId="7777777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as crianças e adolescentes têm direitos à atenção e à proteção integrais, levando-se em conta suas especificidades, como a de gênero e que podem, em determinados contextos, desfavorecerem seu pleno desenvolvimento se não observadas e contempladas na formulação e execução das políticas públicas.</w:t>
      </w:r>
    </w:p>
    <w:p w14:paraId="5E55A04D" w14:textId="7CB93267" w:rsidR="00021164" w:rsidRDefault="00021164" w:rsidP="00021164">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Considerando que a igualdade de direitos entre meninas e meninos é garantida mediante concepções e práticas não discriminatórias devido às condições de gênero, resolve;</w:t>
      </w:r>
    </w:p>
    <w:p w14:paraId="67CF8B9B" w14:textId="77777777" w:rsidR="0009660E" w:rsidRPr="00021164" w:rsidRDefault="0009660E" w:rsidP="00021164">
      <w:pPr>
        <w:spacing w:before="100" w:beforeAutospacing="1" w:after="100" w:afterAutospacing="1" w:line="240" w:lineRule="auto"/>
        <w:ind w:firstLine="567"/>
        <w:jc w:val="both"/>
        <w:rPr>
          <w:rFonts w:ascii="Book Antiqua" w:hAnsi="Book Antiqua"/>
          <w:sz w:val="19"/>
          <w:szCs w:val="19"/>
        </w:rPr>
      </w:pPr>
    </w:p>
    <w:p w14:paraId="51585465" w14:textId="21A5C1A4" w:rsidR="00021164" w:rsidRPr="00021164" w:rsidRDefault="00021164" w:rsidP="0009660E">
      <w:pPr>
        <w:spacing w:before="100" w:beforeAutospacing="1" w:after="100" w:afterAutospacing="1" w:line="240" w:lineRule="auto"/>
        <w:ind w:firstLine="567"/>
        <w:jc w:val="both"/>
        <w:rPr>
          <w:rFonts w:ascii="Book Antiqua" w:hAnsi="Book Antiqua"/>
          <w:sz w:val="19"/>
          <w:szCs w:val="19"/>
        </w:rPr>
      </w:pPr>
      <w:r w:rsidRPr="0009660E">
        <w:rPr>
          <w:rFonts w:ascii="Book Antiqua" w:hAnsi="Book Antiqua"/>
          <w:b/>
          <w:bCs/>
          <w:sz w:val="19"/>
          <w:szCs w:val="19"/>
          <w:highlight w:val="magenta"/>
        </w:rPr>
        <w:t>Art. 1º</w:t>
      </w:r>
      <w:r w:rsidRPr="00021164">
        <w:rPr>
          <w:rFonts w:ascii="Book Antiqua" w:hAnsi="Book Antiqua"/>
          <w:sz w:val="19"/>
          <w:szCs w:val="19"/>
        </w:rPr>
        <w:t xml:space="preserve"> Esta resolução dispõe sobre a igualdade de direitos entre meninas e meninos, visando superar as situações que desfavoreçam o pleno desenvolvimento das meninas, bem como as violações e violências que as acometem devido a questões de gênero. </w:t>
      </w:r>
    </w:p>
    <w:p w14:paraId="44AA8C4B" w14:textId="77777777" w:rsidR="00021164" w:rsidRPr="00021164" w:rsidRDefault="00021164" w:rsidP="0009660E">
      <w:pPr>
        <w:spacing w:before="100" w:beforeAutospacing="1" w:after="100" w:afterAutospacing="1" w:line="240" w:lineRule="auto"/>
        <w:ind w:firstLine="567"/>
        <w:jc w:val="both"/>
        <w:rPr>
          <w:rFonts w:ascii="Book Antiqua" w:hAnsi="Book Antiqua"/>
          <w:sz w:val="19"/>
          <w:szCs w:val="19"/>
        </w:rPr>
      </w:pPr>
      <w:r w:rsidRPr="0009660E">
        <w:rPr>
          <w:rFonts w:ascii="Book Antiqua" w:hAnsi="Book Antiqua"/>
          <w:b/>
          <w:bCs/>
          <w:sz w:val="19"/>
          <w:szCs w:val="19"/>
          <w:highlight w:val="magenta"/>
        </w:rPr>
        <w:t>Parágrafo único</w:t>
      </w:r>
      <w:r w:rsidRPr="00021164">
        <w:rPr>
          <w:rFonts w:ascii="Book Antiqua" w:hAnsi="Book Antiqua"/>
          <w:sz w:val="19"/>
          <w:szCs w:val="19"/>
        </w:rPr>
        <w:t>. Para fins do disposto no caput, recomenda-se que:</w:t>
      </w:r>
    </w:p>
    <w:p w14:paraId="70BFDB38" w14:textId="0561475C" w:rsidR="00021164" w:rsidRPr="00021164" w:rsidRDefault="00021164" w:rsidP="0009660E">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I - os órgãos do Sistema de Garantia de Direitos de Crianças e Adolescentes contemplem, em suas diretrizes, posicionamentos, recomendações e ações, mecanismos que assegurem a igualdade de direitos entre meninas e meninos, com prioridade para iniciativas que visam proteger as meninas contra as discriminações, violações e violências de gênero.</w:t>
      </w:r>
    </w:p>
    <w:p w14:paraId="14E6F7D1" w14:textId="60C4FA9F" w:rsidR="00021164" w:rsidRPr="00021164" w:rsidRDefault="00021164" w:rsidP="0009660E">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II - os órgãos responsáveis pelas políticas públicas das áreas de Educação, Saúde, Assistência Social, Cultura, Esporte, proteção e defesa promovam capacitações para seus quadros funcionais sobre questões de gênero, visando qualificar os serviços ofertados de modo a garantir a igualdade de direitos entre meninas e meninos.</w:t>
      </w:r>
    </w:p>
    <w:p w14:paraId="7A7976E4" w14:textId="452EF4E2" w:rsidR="00D25B16" w:rsidRDefault="00021164" w:rsidP="0009660E">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 xml:space="preserve">III - </w:t>
      </w:r>
      <w:r w:rsidRPr="0009660E">
        <w:rPr>
          <w:rFonts w:ascii="Book Antiqua" w:hAnsi="Book Antiqua"/>
          <w:b/>
          <w:bCs/>
          <w:sz w:val="19"/>
          <w:szCs w:val="19"/>
        </w:rPr>
        <w:t>as políticas de educação ampliem e aprimorem programas de formação voltados para os profissionais de educação, visando com que o tema da igualdade de direitos entre meninas e meninos e o combate às discriminações de gênero possam</w:t>
      </w:r>
      <w:r w:rsidRPr="0009660E">
        <w:rPr>
          <w:rFonts w:ascii="Book Antiqua" w:hAnsi="Book Antiqua"/>
          <w:b/>
          <w:bCs/>
          <w:sz w:val="19"/>
          <w:szCs w:val="19"/>
        </w:rPr>
        <w:t xml:space="preserve"> </w:t>
      </w:r>
      <w:r w:rsidRPr="0009660E">
        <w:rPr>
          <w:rFonts w:ascii="Book Antiqua" w:hAnsi="Book Antiqua"/>
          <w:b/>
          <w:bCs/>
          <w:sz w:val="19"/>
          <w:szCs w:val="19"/>
        </w:rPr>
        <w:t>configurar nos projetos político-pedagógico das escolas de ensino básico</w:t>
      </w:r>
      <w:r w:rsidRPr="00021164">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09660E" w14:paraId="47E69266" w14:textId="77777777" w:rsidTr="0009660E">
        <w:tc>
          <w:tcPr>
            <w:tcW w:w="8494" w:type="dxa"/>
            <w:shd w:val="clear" w:color="auto" w:fill="CCFFFF"/>
          </w:tcPr>
          <w:p w14:paraId="3C5299E4" w14:textId="6DCCC043" w:rsidR="0009660E" w:rsidRPr="0009660E" w:rsidRDefault="0009660E" w:rsidP="0009660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09660E">
              <w:rPr>
                <w:rFonts w:ascii="Book Antiqua" w:hAnsi="Book Antiqua"/>
                <w:b/>
                <w:bCs/>
                <w:sz w:val="19"/>
                <w:szCs w:val="19"/>
                <w:highlight w:val="yellow"/>
              </w:rPr>
              <w:t>MPSC-2021-CESPE</w:t>
            </w:r>
            <w:r>
              <w:rPr>
                <w:rFonts w:ascii="Book Antiqua" w:hAnsi="Book Antiqua"/>
                <w:b/>
                <w:bCs/>
                <w:sz w:val="19"/>
                <w:szCs w:val="19"/>
              </w:rPr>
              <w:t>)</w:t>
            </w:r>
            <w:r>
              <w:rPr>
                <w:rFonts w:ascii="Book Antiqua" w:hAnsi="Book Antiqua"/>
                <w:sz w:val="19"/>
                <w:szCs w:val="19"/>
              </w:rPr>
              <w:t xml:space="preserve">: </w:t>
            </w:r>
            <w:r w:rsidRPr="0009660E">
              <w:rPr>
                <w:rFonts w:ascii="Book Antiqua" w:hAnsi="Book Antiqua"/>
                <w:sz w:val="19"/>
                <w:szCs w:val="19"/>
              </w:rPr>
              <w:t>De acordo com as resoluções emitidas pelo Conselho Nacional dos Direitos da Criança e do Adolescente (CONANDA), inclusive as emitidas em conjunto com outros colegiados, julgue o item subsequente</w:t>
            </w:r>
            <w:r>
              <w:rPr>
                <w:rFonts w:ascii="Book Antiqua" w:hAnsi="Book Antiqua"/>
                <w:sz w:val="19"/>
                <w:szCs w:val="19"/>
              </w:rPr>
              <w:t xml:space="preserve">: </w:t>
            </w:r>
            <w:r w:rsidRPr="0009660E">
              <w:rPr>
                <w:rFonts w:ascii="Book Antiqua" w:hAnsi="Book Antiqua"/>
                <w:sz w:val="19"/>
                <w:szCs w:val="19"/>
              </w:rPr>
              <w:t>As políticas de educação devem aperfeiçoar programas de formação destinados aos profissionais de educação para que a temática da igualdade de direitos entre meninos e meninas e o enfrentamento das discriminações de gênero sejam devidamente inseridos nos projetos político-pedagógicos das escolas de ensino básico.</w:t>
            </w:r>
            <w:r>
              <w:rPr>
                <w:rFonts w:ascii="Book Antiqua" w:hAnsi="Book Antiqua"/>
                <w:sz w:val="19"/>
                <w:szCs w:val="19"/>
              </w:rPr>
              <w:t xml:space="preserve"> </w:t>
            </w:r>
            <w:r>
              <w:rPr>
                <w:rFonts w:ascii="Book Antiqua" w:hAnsi="Book Antiqua"/>
                <w:b/>
                <w:bCs/>
                <w:sz w:val="19"/>
                <w:szCs w:val="19"/>
              </w:rPr>
              <w:t>BL: art. 1º, § único, III, Res. 180/16.</w:t>
            </w:r>
          </w:p>
        </w:tc>
      </w:tr>
    </w:tbl>
    <w:p w14:paraId="21A8F88C" w14:textId="0B1B0C35" w:rsidR="00021164" w:rsidRPr="00021164" w:rsidRDefault="00021164" w:rsidP="0009660E">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IV - as políticas de saúde sexual e reprodutiva de adolescentes sejam concebidas e executadas visando-se a igualdade de direitos e o enfrentamento das discriminações de gênero;</w:t>
      </w:r>
    </w:p>
    <w:p w14:paraId="42864E77" w14:textId="7138766D" w:rsidR="00021164" w:rsidRPr="00021164" w:rsidRDefault="00021164" w:rsidP="0009660E">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V - os serviços ofertados pelos órgãos integrantes do Poder Judiciário, Ministério Público da União, Ministério Público dos Estados, Defensoria Pública da União, Defensorias Públicas Estaduais, Advocacia Geral da União, procuradorias gerais dos estados, polícia civil, militar e federal, ouvidorias e conselhos tutelares, sobretudo</w:t>
      </w:r>
      <w:r>
        <w:rPr>
          <w:rFonts w:ascii="Book Antiqua" w:hAnsi="Book Antiqua"/>
          <w:sz w:val="19"/>
          <w:szCs w:val="19"/>
        </w:rPr>
        <w:t xml:space="preserve"> </w:t>
      </w:r>
      <w:r w:rsidRPr="00021164">
        <w:rPr>
          <w:rFonts w:ascii="Book Antiqua" w:hAnsi="Book Antiqua"/>
          <w:sz w:val="19"/>
          <w:szCs w:val="19"/>
        </w:rPr>
        <w:t>aqueles voltados para o enfrentamento das violências em geral, e a sexual em especial, contra meninas, sejam concebidos e executados visando-se a igualdade de direitos e o combate às discriminações de gênero.</w:t>
      </w:r>
    </w:p>
    <w:p w14:paraId="357D15DB" w14:textId="77777777" w:rsidR="00021164" w:rsidRPr="00021164" w:rsidRDefault="00021164" w:rsidP="0009660E">
      <w:pPr>
        <w:spacing w:before="100" w:beforeAutospacing="1" w:after="100" w:afterAutospacing="1" w:line="240" w:lineRule="auto"/>
        <w:ind w:firstLine="567"/>
        <w:jc w:val="both"/>
        <w:rPr>
          <w:rFonts w:ascii="Book Antiqua" w:hAnsi="Book Antiqua"/>
          <w:sz w:val="19"/>
          <w:szCs w:val="19"/>
        </w:rPr>
      </w:pPr>
      <w:r w:rsidRPr="00021164">
        <w:rPr>
          <w:rFonts w:ascii="Book Antiqua" w:hAnsi="Book Antiqua"/>
          <w:sz w:val="19"/>
          <w:szCs w:val="19"/>
        </w:rPr>
        <w:t>Art. 2º Esta Resolução entra em vigor na data de sua publicação.</w:t>
      </w:r>
    </w:p>
    <w:p w14:paraId="6B2F5076" w14:textId="77777777" w:rsidR="00021164" w:rsidRDefault="00021164" w:rsidP="0009660E">
      <w:pPr>
        <w:spacing w:before="100" w:beforeAutospacing="1" w:after="100" w:afterAutospacing="1" w:line="240" w:lineRule="auto"/>
        <w:ind w:firstLine="567"/>
        <w:rPr>
          <w:rFonts w:ascii="Book Antiqua" w:hAnsi="Book Antiqua"/>
          <w:sz w:val="19"/>
          <w:szCs w:val="19"/>
        </w:rPr>
      </w:pPr>
    </w:p>
    <w:p w14:paraId="1C24466C" w14:textId="1E2421BF" w:rsidR="00021164" w:rsidRPr="00021164" w:rsidRDefault="00021164" w:rsidP="00021164">
      <w:pPr>
        <w:spacing w:before="100" w:beforeAutospacing="1" w:after="100" w:afterAutospacing="1" w:line="240" w:lineRule="auto"/>
        <w:jc w:val="center"/>
        <w:rPr>
          <w:rFonts w:ascii="Book Antiqua" w:hAnsi="Book Antiqua"/>
          <w:sz w:val="19"/>
          <w:szCs w:val="19"/>
        </w:rPr>
      </w:pPr>
      <w:r w:rsidRPr="00021164">
        <w:rPr>
          <w:rFonts w:ascii="Book Antiqua" w:hAnsi="Book Antiqua"/>
          <w:sz w:val="19"/>
          <w:szCs w:val="19"/>
        </w:rPr>
        <w:lastRenderedPageBreak/>
        <w:t>FABIO JOSE GARCIA PAE</w:t>
      </w:r>
      <w:r w:rsidRPr="00021164">
        <w:rPr>
          <w:rFonts w:ascii="Book Antiqua" w:hAnsi="Book Antiqua"/>
          <w:sz w:val="19"/>
          <w:szCs w:val="19"/>
        </w:rPr>
        <w:t>S</w:t>
      </w:r>
    </w:p>
    <w:sectPr w:rsidR="00021164" w:rsidRPr="00021164" w:rsidSect="0009660E">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16"/>
    <w:rsid w:val="00021164"/>
    <w:rsid w:val="0009660E"/>
    <w:rsid w:val="00B342A7"/>
    <w:rsid w:val="00D25B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C486"/>
  <w15:chartTrackingRefBased/>
  <w15:docId w15:val="{5CC28DA6-0324-4CA9-8F61-78D73B55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96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1168</Words>
  <Characters>6310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2021-12-07T20:32:00Z</dcterms:created>
  <dcterms:modified xsi:type="dcterms:W3CDTF">2021-12-07T20:50:00Z</dcterms:modified>
</cp:coreProperties>
</file>