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0DA26" w14:textId="60AA61B1" w:rsidR="00F3408E" w:rsidRPr="00F3408E" w:rsidRDefault="00F3408E" w:rsidP="00F3408E">
      <w:pPr>
        <w:spacing w:before="100" w:beforeAutospacing="1" w:after="100" w:afterAutospacing="1" w:line="240" w:lineRule="auto"/>
        <w:jc w:val="center"/>
        <w:rPr>
          <w:rFonts w:ascii="Book Antiqua" w:hAnsi="Book Antiqua"/>
          <w:b/>
          <w:bCs/>
          <w:color w:val="FF0000"/>
          <w:sz w:val="19"/>
          <w:szCs w:val="19"/>
        </w:rPr>
      </w:pPr>
      <w:r w:rsidRPr="00F3408E">
        <w:rPr>
          <w:rFonts w:ascii="Book Antiqua" w:hAnsi="Book Antiqua"/>
          <w:b/>
          <w:bCs/>
          <w:color w:val="FF0000"/>
          <w:sz w:val="19"/>
          <w:szCs w:val="19"/>
        </w:rPr>
        <w:t xml:space="preserve">(Atualização em </w:t>
      </w:r>
      <w:r w:rsidR="0054568B">
        <w:rPr>
          <w:rFonts w:ascii="Book Antiqua" w:hAnsi="Book Antiqua"/>
          <w:b/>
          <w:bCs/>
          <w:color w:val="FF0000"/>
          <w:sz w:val="19"/>
          <w:szCs w:val="19"/>
        </w:rPr>
        <w:t>21/02/2025</w:t>
      </w:r>
      <w:r w:rsidRPr="00F3408E">
        <w:rPr>
          <w:rFonts w:ascii="Book Antiqua" w:hAnsi="Book Antiqua"/>
          <w:b/>
          <w:bCs/>
          <w:color w:val="FF0000"/>
          <w:sz w:val="19"/>
          <w:szCs w:val="19"/>
        </w:rPr>
        <w:t>: questões de concurso)</w:t>
      </w:r>
    </w:p>
    <w:p w14:paraId="6DC27FEA" w14:textId="3AFD0761" w:rsidR="00B77B76" w:rsidRPr="00F3408E" w:rsidRDefault="00B77B76" w:rsidP="00F3408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6" w:history="1">
        <w:r w:rsidRPr="00F3408E">
          <w:rPr>
            <w:rFonts w:ascii="Book Antiqua" w:eastAsia="Times New Roman" w:hAnsi="Book Antiqua" w:cs="Arial"/>
            <w:b/>
            <w:bCs/>
            <w:color w:val="0000FF"/>
            <w:sz w:val="19"/>
            <w:szCs w:val="19"/>
            <w:u w:val="single"/>
            <w:lang w:eastAsia="pt-BR"/>
          </w:rPr>
          <w:t>LEI Nº 7.444, DE 20 DE DEZEMBRO DE 1985.</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B77B76" w:rsidRPr="00F3408E" w14:paraId="5636BA8C" w14:textId="77777777" w:rsidTr="00F3408E">
        <w:trPr>
          <w:tblCellSpacing w:w="0" w:type="dxa"/>
        </w:trPr>
        <w:tc>
          <w:tcPr>
            <w:tcW w:w="1333" w:type="pct"/>
            <w:shd w:val="clear" w:color="auto" w:fill="auto"/>
            <w:vAlign w:val="center"/>
            <w:hideMark/>
          </w:tcPr>
          <w:p w14:paraId="59B21BDB" w14:textId="77777777" w:rsidR="00B77B76" w:rsidRPr="00F3408E" w:rsidRDefault="00B77B76" w:rsidP="00F3408E">
            <w:pPr>
              <w:spacing w:before="100" w:beforeAutospacing="1" w:after="100" w:afterAutospacing="1" w:line="240" w:lineRule="auto"/>
              <w:rPr>
                <w:rFonts w:ascii="Book Antiqua" w:eastAsia="Times New Roman" w:hAnsi="Book Antiqua" w:cs="Times New Roman"/>
                <w:color w:val="000000"/>
                <w:sz w:val="18"/>
                <w:szCs w:val="18"/>
                <w:lang w:eastAsia="pt-BR"/>
              </w:rPr>
            </w:pPr>
          </w:p>
        </w:tc>
        <w:tc>
          <w:tcPr>
            <w:tcW w:w="3667" w:type="pct"/>
            <w:shd w:val="clear" w:color="auto" w:fill="auto"/>
            <w:vAlign w:val="center"/>
            <w:hideMark/>
          </w:tcPr>
          <w:p w14:paraId="20E39779" w14:textId="77777777" w:rsidR="00B77B76" w:rsidRPr="00F3408E" w:rsidRDefault="00B77B76" w:rsidP="00F3408E">
            <w:pPr>
              <w:spacing w:before="100" w:beforeAutospacing="1" w:after="100" w:afterAutospacing="1" w:line="240" w:lineRule="auto"/>
              <w:ind w:left="2" w:hanging="2"/>
              <w:jc w:val="both"/>
              <w:rPr>
                <w:rFonts w:ascii="Book Antiqua" w:eastAsia="Times New Roman" w:hAnsi="Book Antiqua" w:cs="Times New Roman"/>
                <w:color w:val="000000"/>
                <w:sz w:val="18"/>
                <w:szCs w:val="18"/>
                <w:lang w:eastAsia="pt-BR"/>
              </w:rPr>
            </w:pPr>
            <w:r w:rsidRPr="00F3408E">
              <w:rPr>
                <w:rFonts w:ascii="Book Antiqua" w:eastAsia="Times New Roman" w:hAnsi="Book Antiqua" w:cs="Arial"/>
                <w:color w:val="800000"/>
                <w:sz w:val="18"/>
                <w:szCs w:val="18"/>
                <w:lang w:eastAsia="pt-BR"/>
              </w:rPr>
              <w:t>Dispõe sobre a implantarão do processamento eletrônico de dados no alistamento eleitoral e a revisão do eleitorado e dá outras providências</w:t>
            </w:r>
          </w:p>
        </w:tc>
      </w:tr>
    </w:tbl>
    <w:p w14:paraId="0C9F728A" w14:textId="77777777" w:rsidR="00B77B76" w:rsidRPr="00F3408E" w:rsidRDefault="00B77B76" w:rsidP="00F3408E">
      <w:pPr>
        <w:spacing w:before="100" w:beforeAutospacing="1" w:after="100" w:afterAutospacing="1" w:line="240" w:lineRule="auto"/>
        <w:rPr>
          <w:rFonts w:ascii="Book Antiqua" w:eastAsia="Times New Roman" w:hAnsi="Book Antiqua" w:cs="Times New Roman"/>
          <w:vanish/>
          <w:sz w:val="19"/>
          <w:szCs w:val="19"/>
          <w:lang w:eastAsia="pt-BR"/>
        </w:rPr>
      </w:pPr>
    </w:p>
    <w:tbl>
      <w:tblPr>
        <w:tblW w:w="0" w:type="auto"/>
        <w:tblCellSpacing w:w="0" w:type="dxa"/>
        <w:tblCellMar>
          <w:left w:w="0" w:type="dxa"/>
          <w:right w:w="0" w:type="dxa"/>
        </w:tblCellMar>
        <w:tblLook w:val="04A0" w:firstRow="1" w:lastRow="0" w:firstColumn="1" w:lastColumn="0" w:noHBand="0" w:noVBand="1"/>
      </w:tblPr>
      <w:tblGrid>
        <w:gridCol w:w="8504"/>
      </w:tblGrid>
      <w:tr w:rsidR="00B77B76" w:rsidRPr="00F3408E" w14:paraId="40DA70CD" w14:textId="77777777" w:rsidTr="00B77B76">
        <w:trPr>
          <w:tblCellSpacing w:w="0" w:type="dxa"/>
        </w:trPr>
        <w:tc>
          <w:tcPr>
            <w:tcW w:w="0" w:type="auto"/>
            <w:shd w:val="clear" w:color="auto" w:fill="FFFFFF"/>
            <w:vAlign w:val="center"/>
            <w:hideMark/>
          </w:tcPr>
          <w:p w14:paraId="5BF9DE44"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3408E">
              <w:rPr>
                <w:rFonts w:ascii="Book Antiqua" w:eastAsia="Times New Roman" w:hAnsi="Book Antiqua" w:cs="Arial"/>
                <w:b/>
                <w:bCs/>
                <w:color w:val="000000"/>
                <w:sz w:val="19"/>
                <w:szCs w:val="19"/>
                <w:lang w:eastAsia="pt-BR"/>
              </w:rPr>
              <w:t>O PRESIDENTE DA REPÚBLICA</w:t>
            </w:r>
            <w:r w:rsidRPr="00F3408E">
              <w:rPr>
                <w:rFonts w:ascii="Book Antiqua" w:eastAsia="Times New Roman" w:hAnsi="Book Antiqua" w:cs="Arial"/>
                <w:color w:val="000000"/>
                <w:sz w:val="19"/>
                <w:szCs w:val="19"/>
                <w:lang w:eastAsia="pt-BR"/>
              </w:rPr>
              <w:t xml:space="preserve"> Faço saber que o Congresso Nacional decreta e eu sanciono a seguinte Lei:</w:t>
            </w:r>
          </w:p>
          <w:p w14:paraId="1BD0B125"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0" w:name="art1"/>
            <w:bookmarkEnd w:id="0"/>
            <w:r w:rsidRPr="00F3408E">
              <w:rPr>
                <w:rFonts w:ascii="Book Antiqua" w:eastAsia="Times New Roman" w:hAnsi="Book Antiqua" w:cs="Arial"/>
                <w:color w:val="000000"/>
                <w:sz w:val="19"/>
                <w:szCs w:val="19"/>
                <w:lang w:eastAsia="pt-BR"/>
              </w:rPr>
              <w:t>Art. 1º - O alistamento eleitoral será feito mediante processamento eletrônico de dados.</w:t>
            </w:r>
          </w:p>
          <w:p w14:paraId="30289522"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3408E">
              <w:rPr>
                <w:rFonts w:ascii="Book Antiqua" w:eastAsia="Times New Roman" w:hAnsi="Book Antiqua" w:cs="Arial"/>
                <w:color w:val="000000"/>
                <w:sz w:val="19"/>
                <w:szCs w:val="19"/>
                <w:lang w:eastAsia="pt-BR"/>
              </w:rPr>
              <w:t>Parágrafo único - Em cada Zona Eleitoral, enquanto não for implantada o processamento eletrônico de dados, o alistamento continuará a ser efetuado na forma da legislação em vigor na data desta Lei.</w:t>
            </w:r>
          </w:p>
          <w:p w14:paraId="1FEE1823"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 w:name="art2"/>
            <w:bookmarkEnd w:id="1"/>
            <w:r w:rsidRPr="00F3408E">
              <w:rPr>
                <w:rFonts w:ascii="Book Antiqua" w:eastAsia="Times New Roman" w:hAnsi="Book Antiqua" w:cs="Arial"/>
                <w:color w:val="000000"/>
                <w:sz w:val="19"/>
                <w:szCs w:val="19"/>
                <w:lang w:eastAsia="pt-BR"/>
              </w:rPr>
              <w:t>Art. 2º - Ao adotar o sistema de que trata o artigo anterior, a Justiça Eleitoral procederá, em cada Zona, à revisão dos eleitores inscritos, bem como à conferência e à atualização dos respectivos registros, que constituirão, a seguir, cadastros mantidos em computador.</w:t>
            </w:r>
          </w:p>
          <w:p w14:paraId="0C20C7F1"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 w:name="art3"/>
            <w:bookmarkEnd w:id="2"/>
            <w:r w:rsidRPr="00F3408E">
              <w:rPr>
                <w:rFonts w:ascii="Book Antiqua" w:eastAsia="Times New Roman" w:hAnsi="Book Antiqua" w:cs="Arial"/>
                <w:b/>
                <w:bCs/>
                <w:color w:val="000000"/>
                <w:sz w:val="19"/>
                <w:szCs w:val="19"/>
                <w:highlight w:val="magenta"/>
                <w:lang w:eastAsia="pt-BR"/>
              </w:rPr>
              <w:t>Art. 3º</w:t>
            </w:r>
            <w:r w:rsidRPr="00F3408E">
              <w:rPr>
                <w:rFonts w:ascii="Book Antiqua" w:eastAsia="Times New Roman" w:hAnsi="Book Antiqua" w:cs="Arial"/>
                <w:b/>
                <w:bCs/>
                <w:color w:val="000000"/>
                <w:sz w:val="19"/>
                <w:szCs w:val="19"/>
                <w:lang w:eastAsia="pt-BR"/>
              </w:rPr>
              <w:t xml:space="preserve"> </w:t>
            </w:r>
            <w:r w:rsidRPr="00F3408E">
              <w:rPr>
                <w:rFonts w:ascii="Book Antiqua" w:eastAsia="Times New Roman" w:hAnsi="Book Antiqua" w:cs="Arial"/>
                <w:color w:val="000000"/>
                <w:sz w:val="19"/>
                <w:szCs w:val="19"/>
                <w:lang w:eastAsia="pt-BR"/>
              </w:rPr>
              <w:t>- A revisão do eleitorado prevista no art. 2º desta Lei far-se-á, de conformidade com instruções baixadas pelo Tribunal Superior Eleitoral, mediante a apresentação do título eleitoral pelos eleitores inscritos na Zona e preenchimento do formulário adotado para o alistamento de que trata o art. 1º.</w:t>
            </w:r>
          </w:p>
          <w:p w14:paraId="60A31821" w14:textId="080D15BD"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3408E">
              <w:rPr>
                <w:rFonts w:ascii="Book Antiqua" w:eastAsia="Times New Roman" w:hAnsi="Book Antiqua" w:cs="Arial"/>
                <w:b/>
                <w:bCs/>
                <w:color w:val="000000"/>
                <w:sz w:val="19"/>
                <w:szCs w:val="19"/>
                <w:highlight w:val="magenta"/>
                <w:lang w:eastAsia="pt-BR"/>
              </w:rPr>
              <w:t>§ 1º</w:t>
            </w:r>
            <w:r w:rsidRPr="00F3408E">
              <w:rPr>
                <w:rFonts w:ascii="Book Antiqua" w:eastAsia="Times New Roman" w:hAnsi="Book Antiqua" w:cs="Arial"/>
                <w:b/>
                <w:bCs/>
                <w:color w:val="000000"/>
                <w:sz w:val="19"/>
                <w:szCs w:val="19"/>
                <w:lang w:eastAsia="pt-BR"/>
              </w:rPr>
              <w:t xml:space="preserve"> - A revisão do eleitorado, que poderá realizar-se, simultaneamente, em mais de uma Zona ou em várias Circunscrições, será procedida, sempre, </w:t>
            </w:r>
            <w:r w:rsidRPr="00F3408E">
              <w:rPr>
                <w:rFonts w:ascii="Book Antiqua" w:eastAsia="Times New Roman" w:hAnsi="Book Antiqua" w:cs="Arial"/>
                <w:b/>
                <w:bCs/>
                <w:color w:val="000000"/>
                <w:sz w:val="19"/>
                <w:szCs w:val="19"/>
                <w:highlight w:val="cyan"/>
                <w:lang w:eastAsia="pt-BR"/>
              </w:rPr>
              <w:t>de ampla divulgação</w:t>
            </w:r>
            <w:r w:rsidRPr="00F3408E">
              <w:rPr>
                <w:rFonts w:ascii="Book Antiqua" w:eastAsia="Times New Roman" w:hAnsi="Book Antiqua" w:cs="Arial"/>
                <w:b/>
                <w:bCs/>
                <w:color w:val="000000"/>
                <w:sz w:val="19"/>
                <w:szCs w:val="19"/>
                <w:lang w:eastAsia="pt-BR"/>
              </w:rPr>
              <w:t>, processando-se em prazo marcado pela Justiça Eleitoral, não inferior a 30 (trinta) dias</w:t>
            </w:r>
            <w:r w:rsidRPr="00F3408E">
              <w:rPr>
                <w:rFonts w:ascii="Book Antiqua" w:eastAsia="Times New Roman" w:hAnsi="Book Antiqua" w:cs="Arial"/>
                <w:color w:val="000000"/>
                <w:sz w:val="19"/>
                <w:szCs w:val="19"/>
                <w:lang w:eastAsia="pt-BR"/>
              </w:rPr>
              <w:t>.</w:t>
            </w:r>
            <w:r w:rsidR="00F3408E">
              <w:rPr>
                <w:rFonts w:ascii="Book Antiqua" w:eastAsia="Times New Roman" w:hAnsi="Book Antiqua" w:cs="Arial"/>
                <w:color w:val="000000"/>
                <w:sz w:val="19"/>
                <w:szCs w:val="19"/>
                <w:lang w:eastAsia="pt-BR"/>
              </w:rPr>
              <w:t xml:space="preserve"> </w:t>
            </w:r>
            <w:r w:rsidR="00F3408E">
              <w:rPr>
                <w:rFonts w:ascii="Book Antiqua" w:eastAsia="Times New Roman" w:hAnsi="Book Antiqua" w:cs="Times New Roman"/>
                <w:b/>
                <w:color w:val="FF0000"/>
                <w:sz w:val="16"/>
                <w:szCs w:val="16"/>
                <w:u w:val="single"/>
                <w:lang w:eastAsia="pt-BR"/>
              </w:rPr>
              <w:t>(TJES-2023)</w:t>
            </w:r>
          </w:p>
          <w:p w14:paraId="6BE190F0"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3408E">
              <w:rPr>
                <w:rFonts w:ascii="Book Antiqua" w:eastAsia="Times New Roman" w:hAnsi="Book Antiqua" w:cs="Arial"/>
                <w:color w:val="000000"/>
                <w:sz w:val="19"/>
                <w:szCs w:val="19"/>
                <w:lang w:eastAsia="pt-BR"/>
              </w:rPr>
              <w:t>§ 2º - Sem prejuízo do disposto no § 1º deste artigo, a Justiça Eleitoral poderá fixar datas especiais e designar previamente locais para a apresentação dos eleitores inscritos.</w:t>
            </w:r>
          </w:p>
          <w:p w14:paraId="4782370E"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3408E">
              <w:rPr>
                <w:rFonts w:ascii="Book Antiqua" w:eastAsia="Times New Roman" w:hAnsi="Book Antiqua" w:cs="Arial"/>
                <w:color w:val="000000"/>
                <w:sz w:val="19"/>
                <w:szCs w:val="19"/>
                <w:lang w:eastAsia="pt-BR"/>
              </w:rPr>
              <w:t>§ 3º Ao proceder-se à revisão, ficam anistiados os débitos dos eleitores inscritos na Zona, em falta para com a Justiça Eleitoral.</w:t>
            </w:r>
          </w:p>
          <w:p w14:paraId="6986F544" w14:textId="7362C425" w:rsidR="00B77B76" w:rsidRPr="00F3408E" w:rsidRDefault="00B77B76" w:rsidP="00F3408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3408E">
              <w:rPr>
                <w:rFonts w:ascii="Book Antiqua" w:eastAsia="Times New Roman" w:hAnsi="Book Antiqua" w:cs="Arial"/>
                <w:b/>
                <w:bCs/>
                <w:color w:val="000000"/>
                <w:sz w:val="19"/>
                <w:szCs w:val="19"/>
                <w:highlight w:val="magenta"/>
                <w:lang w:eastAsia="pt-BR"/>
              </w:rPr>
              <w:t>§ 4º</w:t>
            </w:r>
            <w:r w:rsidRPr="00F3408E">
              <w:rPr>
                <w:rFonts w:ascii="Book Antiqua" w:eastAsia="Times New Roman" w:hAnsi="Book Antiqua" w:cs="Arial"/>
                <w:b/>
                <w:bCs/>
                <w:color w:val="000000"/>
                <w:sz w:val="19"/>
                <w:szCs w:val="19"/>
                <w:lang w:eastAsia="pt-BR"/>
              </w:rPr>
              <w:t xml:space="preserve"> - Em cada Zona, vencido o prazo de que trata o § 1º deste artigo, cancelar-se-ão as inscrições correspondentes aos títulos que não forem apresentados à revisão</w:t>
            </w:r>
            <w:r w:rsidRPr="00F3408E">
              <w:rPr>
                <w:rFonts w:ascii="Book Antiqua" w:eastAsia="Times New Roman" w:hAnsi="Book Antiqua" w:cs="Arial"/>
                <w:color w:val="000000"/>
                <w:sz w:val="19"/>
                <w:szCs w:val="19"/>
                <w:lang w:eastAsia="pt-BR"/>
              </w:rPr>
              <w:t>.</w:t>
            </w:r>
            <w:r w:rsidR="00F3408E">
              <w:rPr>
                <w:rFonts w:ascii="Book Antiqua" w:eastAsia="Times New Roman" w:hAnsi="Book Antiqua" w:cs="Arial"/>
                <w:color w:val="000000"/>
                <w:sz w:val="19"/>
                <w:szCs w:val="19"/>
                <w:lang w:eastAsia="pt-BR"/>
              </w:rPr>
              <w:t xml:space="preserve"> </w:t>
            </w:r>
            <w:r w:rsidR="00F3408E">
              <w:rPr>
                <w:rFonts w:ascii="Book Antiqua" w:eastAsia="Times New Roman" w:hAnsi="Book Antiqua" w:cs="Times New Roman"/>
                <w:b/>
                <w:color w:val="FF0000"/>
                <w:sz w:val="16"/>
                <w:szCs w:val="16"/>
                <w:u w:val="single"/>
                <w:lang w:eastAsia="pt-BR"/>
              </w:rPr>
              <w:t>(MPF-2022)</w:t>
            </w:r>
            <w:r w:rsidR="00F3408E">
              <w:rPr>
                <w:rFonts w:ascii="Book Antiqua" w:eastAsia="Times New Roman" w:hAnsi="Book Antiqua" w:cs="Times New Roman"/>
                <w:b/>
                <w:color w:val="FF0000"/>
                <w:sz w:val="16"/>
                <w:szCs w:val="16"/>
                <w:lang w:eastAsia="pt-BR"/>
              </w:rPr>
              <w:t xml:space="preserve"> </w:t>
            </w:r>
            <w:r w:rsidR="00F3408E">
              <w:rPr>
                <w:rFonts w:ascii="Book Antiqua" w:eastAsia="Times New Roman" w:hAnsi="Book Antiqua" w:cs="Times New Roman"/>
                <w:b/>
                <w:color w:val="FF0000"/>
                <w:sz w:val="16"/>
                <w:szCs w:val="16"/>
                <w:u w:val="single"/>
                <w:lang w:eastAsia="pt-BR"/>
              </w:rPr>
              <w:t>(TJES-2023)</w:t>
            </w:r>
          </w:p>
          <w:tbl>
            <w:tblPr>
              <w:tblStyle w:val="Tabelacomgrade"/>
              <w:tblW w:w="0" w:type="auto"/>
              <w:shd w:val="clear" w:color="auto" w:fill="CCFFFF"/>
              <w:tblLook w:val="04A0" w:firstRow="1" w:lastRow="0" w:firstColumn="1" w:lastColumn="0" w:noHBand="0" w:noVBand="1"/>
            </w:tblPr>
            <w:tblGrid>
              <w:gridCol w:w="8494"/>
            </w:tblGrid>
            <w:tr w:rsidR="00A17CBD" w:rsidRPr="00F3408E" w14:paraId="59CBC528" w14:textId="77777777" w:rsidTr="00A17CBD">
              <w:tc>
                <w:tcPr>
                  <w:tcW w:w="8494" w:type="dxa"/>
                  <w:shd w:val="clear" w:color="auto" w:fill="CCFFFF"/>
                </w:tcPr>
                <w:p w14:paraId="1E6D76E8" w14:textId="66EC2170" w:rsidR="00F3408E" w:rsidRPr="00B77042" w:rsidRDefault="00F3408E" w:rsidP="00F3408E">
                  <w:pPr>
                    <w:jc w:val="both"/>
                    <w:rPr>
                      <w:rFonts w:ascii="Book Antiqua" w:hAnsi="Book Antiqua"/>
                      <w:b/>
                      <w:bCs/>
                      <w:sz w:val="19"/>
                      <w:szCs w:val="19"/>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STF</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DOD</w:t>
                  </w:r>
                  <w:r>
                    <w:rPr>
                      <w:rFonts w:ascii="Book Antiqua" w:hAnsi="Book Antiqua"/>
                      <w:b/>
                      <w:i/>
                      <w:color w:val="FF0000"/>
                      <w:sz w:val="19"/>
                      <w:szCs w:val="19"/>
                    </w:rPr>
                    <w:t>: #</w:t>
                  </w:r>
                  <w:r w:rsidRPr="009D768B">
                    <w:rPr>
                      <w:rFonts w:ascii="Book Antiqua" w:hAnsi="Book Antiqua"/>
                      <w:b/>
                      <w:i/>
                      <w:color w:val="FF0000"/>
                      <w:sz w:val="19"/>
                      <w:szCs w:val="19"/>
                      <w:highlight w:val="green"/>
                    </w:rPr>
                    <w:t>MPF-2022</w:t>
                  </w:r>
                  <w:r>
                    <w:rPr>
                      <w:rFonts w:ascii="Book Antiqua" w:hAnsi="Book Antiqua"/>
                      <w:b/>
                      <w:i/>
                      <w:color w:val="FF0000"/>
                      <w:sz w:val="19"/>
                      <w:szCs w:val="19"/>
                    </w:rPr>
                    <w:t>: #</w:t>
                  </w:r>
                  <w:r w:rsidRPr="00F3408E">
                    <w:rPr>
                      <w:rFonts w:ascii="Book Antiqua" w:hAnsi="Book Antiqua"/>
                      <w:b/>
                      <w:i/>
                      <w:color w:val="FF0000"/>
                      <w:sz w:val="19"/>
                      <w:szCs w:val="19"/>
                      <w:highlight w:val="green"/>
                    </w:rPr>
                    <w:t>TJES-2023</w:t>
                  </w:r>
                  <w:r>
                    <w:rPr>
                      <w:rFonts w:ascii="Book Antiqua" w:hAnsi="Book Antiqua"/>
                      <w:b/>
                      <w:i/>
                      <w:color w:val="FF0000"/>
                      <w:sz w:val="19"/>
                      <w:szCs w:val="19"/>
                    </w:rPr>
                    <w:t>: #</w:t>
                  </w:r>
                  <w:r w:rsidRPr="00F3408E">
                    <w:rPr>
                      <w:rFonts w:ascii="Book Antiqua" w:hAnsi="Book Antiqua"/>
                      <w:b/>
                      <w:i/>
                      <w:color w:val="FF0000"/>
                      <w:sz w:val="19"/>
                      <w:szCs w:val="19"/>
                      <w:highlight w:val="green"/>
                    </w:rPr>
                    <w:t>FGV</w:t>
                  </w:r>
                  <w:r w:rsidRPr="00B77042">
                    <w:rPr>
                      <w:rFonts w:ascii="Book Antiqua" w:hAnsi="Book Antiqua"/>
                      <w:b/>
                      <w:sz w:val="19"/>
                      <w:szCs w:val="19"/>
                    </w:rPr>
                    <w:t>:</w:t>
                  </w:r>
                  <w:r>
                    <w:t xml:space="preserve"> </w:t>
                  </w:r>
                  <w:r w:rsidRPr="001F1884">
                    <w:rPr>
                      <w:rFonts w:ascii="Book Antiqua" w:hAnsi="Book Antiqua"/>
                      <w:b/>
                      <w:i/>
                      <w:iCs/>
                      <w:sz w:val="19"/>
                      <w:szCs w:val="19"/>
                      <w:u w:val="single"/>
                    </w:rPr>
                    <w:t>É válido o cancelamento do título do eleitor que não comparecer à revisão eleitoral</w:t>
                  </w:r>
                  <w:r>
                    <w:rPr>
                      <w:rFonts w:ascii="Book Antiqua" w:hAnsi="Book Antiqua"/>
                      <w:b/>
                      <w:sz w:val="19"/>
                      <w:szCs w:val="19"/>
                    </w:rPr>
                    <w:t>:</w:t>
                  </w:r>
                  <w:r w:rsidRPr="00B77042">
                    <w:rPr>
                      <w:rFonts w:ascii="Book Antiqua" w:hAnsi="Book Antiqua"/>
                      <w:sz w:val="19"/>
                      <w:szCs w:val="19"/>
                    </w:rPr>
                    <w:t xml:space="preserve"> </w:t>
                  </w:r>
                  <w:r w:rsidRPr="00B77042">
                    <w:rPr>
                      <w:rFonts w:ascii="Book Antiqua" w:hAnsi="Book Antiqua"/>
                      <w:b/>
                      <w:bCs/>
                      <w:sz w:val="19"/>
                      <w:szCs w:val="19"/>
                      <w:shd w:val="clear" w:color="auto" w:fill="F7CAAC" w:themeFill="accent2" w:themeFillTint="66"/>
                    </w:rPr>
                    <w:t>É válido</w:t>
                  </w:r>
                  <w:r w:rsidRPr="00B77042">
                    <w:rPr>
                      <w:rFonts w:ascii="Book Antiqua" w:hAnsi="Book Antiqua"/>
                      <w:b/>
                      <w:bCs/>
                      <w:sz w:val="19"/>
                      <w:szCs w:val="19"/>
                    </w:rPr>
                    <w:t xml:space="preserve"> o </w:t>
                  </w:r>
                  <w:r w:rsidRPr="00B77042">
                    <w:rPr>
                      <w:rFonts w:ascii="Book Antiqua" w:hAnsi="Book Antiqua"/>
                      <w:b/>
                      <w:bCs/>
                      <w:sz w:val="19"/>
                      <w:szCs w:val="19"/>
                      <w:highlight w:val="yellow"/>
                    </w:rPr>
                    <w:t>cancelamento do título do eleitor</w:t>
                  </w:r>
                  <w:r w:rsidRPr="00B77042">
                    <w:rPr>
                      <w:rFonts w:ascii="Book Antiqua" w:hAnsi="Book Antiqua"/>
                      <w:b/>
                      <w:bCs/>
                      <w:sz w:val="19"/>
                      <w:szCs w:val="19"/>
                    </w:rPr>
                    <w:t xml:space="preserve"> que, </w:t>
                  </w:r>
                  <w:r w:rsidRPr="00B77042">
                    <w:rPr>
                      <w:rFonts w:ascii="Book Antiqua" w:hAnsi="Book Antiqua"/>
                      <w:b/>
                      <w:bCs/>
                      <w:sz w:val="19"/>
                      <w:szCs w:val="19"/>
                      <w:shd w:val="clear" w:color="auto" w:fill="F7CAAC" w:themeFill="accent2" w:themeFillTint="66"/>
                    </w:rPr>
                    <w:t>convocado por edital</w:t>
                  </w:r>
                  <w:r w:rsidRPr="00B77042">
                    <w:rPr>
                      <w:rFonts w:ascii="Book Antiqua" w:hAnsi="Book Antiqua"/>
                      <w:b/>
                      <w:bCs/>
                      <w:sz w:val="19"/>
                      <w:szCs w:val="19"/>
                    </w:rPr>
                    <w:t xml:space="preserve">, </w:t>
                  </w:r>
                  <w:r w:rsidRPr="00B77042">
                    <w:rPr>
                      <w:rFonts w:ascii="Book Antiqua" w:hAnsi="Book Antiqua"/>
                      <w:b/>
                      <w:bCs/>
                      <w:sz w:val="19"/>
                      <w:szCs w:val="19"/>
                      <w:highlight w:val="yellow"/>
                    </w:rPr>
                    <w:t>não comparecer ao processo de revisão eleitoral</w:t>
                  </w:r>
                  <w:r w:rsidRPr="00B77042">
                    <w:rPr>
                      <w:rFonts w:ascii="Book Antiqua" w:hAnsi="Book Antiqua"/>
                      <w:b/>
                      <w:bCs/>
                      <w:sz w:val="19"/>
                      <w:szCs w:val="19"/>
                    </w:rPr>
                    <w:t xml:space="preserve">, em virtude do que dispõe o </w:t>
                  </w:r>
                  <w:r w:rsidRPr="00B77042">
                    <w:rPr>
                      <w:rFonts w:ascii="Book Antiqua" w:hAnsi="Book Antiqua"/>
                      <w:b/>
                      <w:bCs/>
                      <w:sz w:val="19"/>
                      <w:szCs w:val="19"/>
                      <w:highlight w:val="yellow"/>
                    </w:rPr>
                    <w:t>art. 14, caput, e § 1º da CF</w:t>
                  </w:r>
                  <w:r w:rsidRPr="00B77042">
                    <w:rPr>
                      <w:rFonts w:ascii="Book Antiqua" w:hAnsi="Book Antiqua"/>
                      <w:b/>
                      <w:bCs/>
                      <w:sz w:val="19"/>
                      <w:szCs w:val="19"/>
                    </w:rPr>
                    <w:t xml:space="preserve">. </w:t>
                  </w:r>
                  <w:r w:rsidRPr="00B77042">
                    <w:rPr>
                      <w:rFonts w:ascii="Book Antiqua" w:hAnsi="Book Antiqua"/>
                      <w:b/>
                      <w:bCs/>
                      <w:sz w:val="19"/>
                      <w:szCs w:val="19"/>
                      <w:shd w:val="clear" w:color="auto" w:fill="F7CAAC" w:themeFill="accent2" w:themeFillTint="66"/>
                    </w:rPr>
                    <w:t>São válidos</w:t>
                  </w:r>
                  <w:r w:rsidRPr="00B77042">
                    <w:rPr>
                      <w:rFonts w:ascii="Book Antiqua" w:hAnsi="Book Antiqua"/>
                      <w:b/>
                      <w:bCs/>
                      <w:sz w:val="19"/>
                      <w:szCs w:val="19"/>
                    </w:rPr>
                    <w:t xml:space="preserve"> o </w:t>
                  </w:r>
                  <w:r w:rsidRPr="00B77042">
                    <w:rPr>
                      <w:rFonts w:ascii="Book Antiqua" w:hAnsi="Book Antiqua"/>
                      <w:b/>
                      <w:bCs/>
                      <w:sz w:val="19"/>
                      <w:szCs w:val="19"/>
                      <w:highlight w:val="yellow"/>
                    </w:rPr>
                    <w:t>art. 3º, § 4º, da Lei 7.444/85</w:t>
                  </w:r>
                  <w:r w:rsidRPr="00B77042">
                    <w:rPr>
                      <w:rFonts w:ascii="Book Antiqua" w:hAnsi="Book Antiqua"/>
                      <w:b/>
                      <w:bCs/>
                      <w:sz w:val="19"/>
                      <w:szCs w:val="19"/>
                    </w:rPr>
                    <w:t xml:space="preserve"> e as </w:t>
                  </w:r>
                  <w:r w:rsidRPr="00B77042">
                    <w:rPr>
                      <w:rFonts w:ascii="Book Antiqua" w:hAnsi="Book Antiqua"/>
                      <w:b/>
                      <w:bCs/>
                      <w:sz w:val="19"/>
                      <w:szCs w:val="19"/>
                      <w:highlight w:val="yellow"/>
                    </w:rPr>
                    <w:t>Resoluções do TSE</w:t>
                  </w:r>
                  <w:r w:rsidRPr="00B77042">
                    <w:rPr>
                      <w:rFonts w:ascii="Book Antiqua" w:hAnsi="Book Antiqua"/>
                      <w:b/>
                      <w:bCs/>
                      <w:sz w:val="19"/>
                      <w:szCs w:val="19"/>
                    </w:rPr>
                    <w:t xml:space="preserve"> que preveem o cancelamento do título dos eleitores que não comparecerem à revisão eleitoral. </w:t>
                  </w:r>
                  <w:r w:rsidRPr="00B77042">
                    <w:rPr>
                      <w:rFonts w:ascii="Book Antiqua" w:hAnsi="Book Antiqua"/>
                      <w:bCs/>
                      <w:sz w:val="19"/>
                      <w:szCs w:val="19"/>
                    </w:rPr>
                    <w:t>STF. Plenário. ADPF 541 MC/DF, Rel. Min. Roberto Barroso, j. 26/9/18</w:t>
                  </w:r>
                  <w:r w:rsidRPr="00B77042">
                    <w:rPr>
                      <w:rFonts w:ascii="Book Antiqua" w:hAnsi="Book Antiqua"/>
                      <w:b/>
                      <w:bCs/>
                      <w:sz w:val="19"/>
                      <w:szCs w:val="19"/>
                    </w:rPr>
                    <w:t xml:space="preserve"> (Info 917)</w:t>
                  </w:r>
                </w:p>
                <w:tbl>
                  <w:tblPr>
                    <w:tblStyle w:val="Tabelacomgrade"/>
                    <w:tblW w:w="0" w:type="auto"/>
                    <w:tblLook w:val="04A0" w:firstRow="1" w:lastRow="0" w:firstColumn="1" w:lastColumn="0" w:noHBand="0" w:noVBand="1"/>
                  </w:tblPr>
                  <w:tblGrid>
                    <w:gridCol w:w="8268"/>
                  </w:tblGrid>
                  <w:tr w:rsidR="00F3408E" w14:paraId="1F7A8B1A" w14:textId="77777777" w:rsidTr="00601A68">
                    <w:tc>
                      <w:tcPr>
                        <w:tcW w:w="8836" w:type="dxa"/>
                        <w:shd w:val="clear" w:color="auto" w:fill="FFFFFF" w:themeFill="background1"/>
                      </w:tcPr>
                      <w:p w14:paraId="68776E68" w14:textId="77777777" w:rsidR="00F3408E" w:rsidRPr="001F1884" w:rsidRDefault="00F3408E" w:rsidP="00F3408E">
                        <w:pPr>
                          <w:jc w:val="both"/>
                          <w:rPr>
                            <w:rFonts w:ascii="Book Antiqua" w:hAnsi="Book Antiqua"/>
                            <w:i/>
                            <w:sz w:val="18"/>
                            <w:szCs w:val="18"/>
                          </w:rPr>
                        </w:pPr>
                        <w:r w:rsidRPr="001F1884">
                          <w:rPr>
                            <w:rFonts w:ascii="Book Antiqua" w:hAnsi="Book Antiqua"/>
                            <w:b/>
                            <w:i/>
                            <w:color w:val="FF0000"/>
                            <w:sz w:val="18"/>
                            <w:szCs w:val="18"/>
                          </w:rPr>
                          <w:t>#</w:t>
                        </w:r>
                        <w:r w:rsidRPr="001F1884">
                          <w:rPr>
                            <w:rFonts w:ascii="Book Antiqua" w:hAnsi="Book Antiqua"/>
                            <w:b/>
                            <w:i/>
                            <w:color w:val="FF0000"/>
                            <w:sz w:val="18"/>
                            <w:szCs w:val="18"/>
                            <w:highlight w:val="green"/>
                          </w:rPr>
                          <w:t>Observação sobre o julgado acima</w:t>
                        </w:r>
                        <w:r w:rsidRPr="001F1884">
                          <w:rPr>
                            <w:rFonts w:ascii="Book Antiqua" w:hAnsi="Book Antiqua"/>
                            <w:b/>
                            <w:i/>
                            <w:color w:val="FF0000"/>
                            <w:sz w:val="18"/>
                            <w:szCs w:val="18"/>
                          </w:rPr>
                          <w:t>: #</w:t>
                        </w:r>
                        <w:r w:rsidRPr="001F1884">
                          <w:rPr>
                            <w:rFonts w:ascii="Book Antiqua" w:hAnsi="Book Antiqua"/>
                            <w:b/>
                            <w:i/>
                            <w:color w:val="FF0000"/>
                            <w:sz w:val="18"/>
                            <w:szCs w:val="18"/>
                            <w:highlight w:val="green"/>
                          </w:rPr>
                          <w:t>DOD</w:t>
                        </w:r>
                        <w:r w:rsidRPr="001F1884">
                          <w:rPr>
                            <w:rFonts w:ascii="Book Antiqua" w:hAnsi="Book Antiqua"/>
                            <w:sz w:val="18"/>
                            <w:szCs w:val="18"/>
                          </w:rPr>
                          <w:t xml:space="preserve">: </w:t>
                        </w:r>
                        <w:r w:rsidRPr="001F1884">
                          <w:rPr>
                            <w:rFonts w:ascii="Book Antiqua" w:hAnsi="Book Antiqua"/>
                            <w:b/>
                            <w:i/>
                            <w:sz w:val="18"/>
                            <w:szCs w:val="18"/>
                            <w:u w:val="single"/>
                          </w:rPr>
                          <w:t>Se é válido condicionar o exercício do voto ao alistamento, é válido condicioná-lo à apresentação do título à revisão</w:t>
                        </w:r>
                        <w:r w:rsidRPr="001F1884">
                          <w:rPr>
                            <w:rFonts w:ascii="Book Antiqua" w:hAnsi="Book Antiqua"/>
                            <w:sz w:val="18"/>
                            <w:szCs w:val="18"/>
                          </w:rPr>
                          <w:t xml:space="preserve">: A </w:t>
                        </w:r>
                        <w:r w:rsidRPr="001F1884">
                          <w:rPr>
                            <w:rFonts w:ascii="Book Antiqua" w:hAnsi="Book Antiqua"/>
                            <w:b/>
                            <w:sz w:val="18"/>
                            <w:szCs w:val="18"/>
                          </w:rPr>
                          <w:t>revisão eleitoral</w:t>
                        </w:r>
                        <w:r w:rsidRPr="001F1884">
                          <w:rPr>
                            <w:rFonts w:ascii="Book Antiqua" w:hAnsi="Book Antiqua"/>
                            <w:sz w:val="18"/>
                            <w:szCs w:val="18"/>
                          </w:rPr>
                          <w:t xml:space="preserve"> se destina a </w:t>
                        </w:r>
                        <w:r w:rsidRPr="001F1884">
                          <w:rPr>
                            <w:rFonts w:ascii="Book Antiqua" w:hAnsi="Book Antiqua"/>
                            <w:b/>
                            <w:sz w:val="18"/>
                            <w:szCs w:val="18"/>
                          </w:rPr>
                          <w:t>manter a integridade e a atualização do alistamento</w:t>
                        </w:r>
                        <w:r w:rsidRPr="001F1884">
                          <w:rPr>
                            <w:rFonts w:ascii="Book Antiqua" w:hAnsi="Book Antiqua"/>
                            <w:sz w:val="18"/>
                            <w:szCs w:val="18"/>
                          </w:rPr>
                          <w:t xml:space="preserve">. O Min. Roberto Barroso construiu o seguinte raciocínio: </w:t>
                        </w:r>
                        <w:r w:rsidRPr="001F1884">
                          <w:rPr>
                            <w:rFonts w:ascii="Book Antiqua" w:hAnsi="Book Antiqua"/>
                            <w:i/>
                            <w:sz w:val="18"/>
                            <w:szCs w:val="18"/>
                          </w:rPr>
                          <w:t>“A CF autoriza, em seu art. 14, § 1º, que o voto seja condicionado ao alistamento eleitoral. Tanto o alistamento como a revisão eleitoral possuem o mesmo propósito e, portanto, devem receber o mesmo tratamento constitucional. Se é válido condicionar o exercício do voto ao alistamento, também é válido condicionar o exercício do voto à apresentação do título para revisão eleitoral.”</w:t>
                        </w:r>
                      </w:p>
                      <w:p w14:paraId="48D37A9A" w14:textId="77777777" w:rsidR="00F3408E" w:rsidRPr="001F1884" w:rsidRDefault="00F3408E" w:rsidP="00F3408E">
                        <w:pPr>
                          <w:jc w:val="both"/>
                          <w:rPr>
                            <w:rFonts w:ascii="Book Antiqua" w:hAnsi="Book Antiqua"/>
                            <w:b/>
                            <w:bCs/>
                            <w:sz w:val="18"/>
                            <w:szCs w:val="18"/>
                          </w:rPr>
                        </w:pPr>
                        <w:r w:rsidRPr="001F1884">
                          <w:rPr>
                            <w:rFonts w:ascii="Book Antiqua" w:hAnsi="Book Antiqua"/>
                            <w:b/>
                            <w:i/>
                            <w:color w:val="FF0000"/>
                            <w:sz w:val="18"/>
                            <w:szCs w:val="18"/>
                          </w:rPr>
                          <w:t>#</w:t>
                        </w:r>
                        <w:r w:rsidRPr="001F1884">
                          <w:rPr>
                            <w:rFonts w:ascii="Book Antiqua" w:hAnsi="Book Antiqua"/>
                            <w:b/>
                            <w:i/>
                            <w:color w:val="FF0000"/>
                            <w:sz w:val="18"/>
                            <w:szCs w:val="18"/>
                            <w:highlight w:val="green"/>
                          </w:rPr>
                          <w:t>Questão de concurso</w:t>
                        </w:r>
                        <w:r w:rsidRPr="001F1884">
                          <w:rPr>
                            <w:rFonts w:ascii="Book Antiqua" w:hAnsi="Book Antiqua"/>
                            <w:b/>
                            <w:bCs/>
                            <w:sz w:val="18"/>
                            <w:szCs w:val="18"/>
                          </w:rPr>
                          <w:t>:</w:t>
                        </w:r>
                      </w:p>
                      <w:p w14:paraId="74133238" w14:textId="77777777" w:rsidR="00F3408E" w:rsidRPr="001F1884" w:rsidRDefault="00F3408E" w:rsidP="00F3408E">
                        <w:pPr>
                          <w:jc w:val="both"/>
                          <w:rPr>
                            <w:rFonts w:ascii="Book Antiqua" w:hAnsi="Book Antiqua"/>
                            <w:b/>
                            <w:sz w:val="19"/>
                            <w:szCs w:val="19"/>
                          </w:rPr>
                        </w:pPr>
                        <w:r w:rsidRPr="001F1884">
                          <w:rPr>
                            <w:rFonts w:ascii="Book Antiqua" w:hAnsi="Book Antiqua"/>
                            <w:b/>
                            <w:sz w:val="18"/>
                            <w:szCs w:val="18"/>
                          </w:rPr>
                          <w:t>(</w:t>
                        </w:r>
                        <w:r w:rsidRPr="001F1884">
                          <w:rPr>
                            <w:rFonts w:ascii="Book Antiqua" w:hAnsi="Book Antiqua"/>
                            <w:b/>
                            <w:sz w:val="18"/>
                            <w:szCs w:val="18"/>
                            <w:highlight w:val="yellow"/>
                          </w:rPr>
                          <w:t>TJES-2023-FGV</w:t>
                        </w:r>
                        <w:r w:rsidRPr="001F1884">
                          <w:rPr>
                            <w:rFonts w:ascii="Book Antiqua" w:hAnsi="Book Antiqua"/>
                            <w:b/>
                            <w:sz w:val="18"/>
                            <w:szCs w:val="18"/>
                          </w:rPr>
                          <w:t>)</w:t>
                        </w:r>
                        <w:r w:rsidRPr="001F1884">
                          <w:rPr>
                            <w:rFonts w:ascii="Book Antiqua" w:hAnsi="Book Antiqua"/>
                            <w:bCs/>
                            <w:sz w:val="18"/>
                            <w:szCs w:val="18"/>
                          </w:rPr>
                          <w:t>: Caio teve seu título de eleitor cancelado em decorrência de não ter se apresentado ao procedimento de revisão eleitoral para o qual foi convocado. Considerando os termos do Art. 14, caput e seu parágrafo 1° da CF/88 e a jurisprudência do STF, é correto afirmar que</w:t>
                        </w:r>
                        <w:r>
                          <w:rPr>
                            <w:rFonts w:ascii="Book Antiqua" w:hAnsi="Book Antiqua"/>
                            <w:bCs/>
                            <w:sz w:val="18"/>
                            <w:szCs w:val="18"/>
                          </w:rPr>
                          <w:t xml:space="preserve"> </w:t>
                        </w:r>
                        <w:r w:rsidRPr="001F1884">
                          <w:rPr>
                            <w:rFonts w:ascii="Book Antiqua" w:hAnsi="Book Antiqua"/>
                            <w:bCs/>
                            <w:sz w:val="18"/>
                            <w:szCs w:val="18"/>
                          </w:rPr>
                          <w:t>é válido o cancelamento do título de eleitor que, convocado por edital, não comparece ao processo de revisão eleitoral</w:t>
                        </w:r>
                        <w:r>
                          <w:rPr>
                            <w:rFonts w:ascii="Book Antiqua" w:hAnsi="Book Antiqua"/>
                            <w:bCs/>
                            <w:sz w:val="18"/>
                            <w:szCs w:val="18"/>
                          </w:rPr>
                          <w:t xml:space="preserve">. </w:t>
                        </w:r>
                        <w:r>
                          <w:rPr>
                            <w:rFonts w:ascii="Book Antiqua" w:hAnsi="Book Antiqua"/>
                            <w:b/>
                            <w:sz w:val="18"/>
                            <w:szCs w:val="18"/>
                          </w:rPr>
                          <w:t>BL: Info 917, STF.</w:t>
                        </w:r>
                      </w:p>
                    </w:tc>
                  </w:tr>
                </w:tbl>
                <w:p w14:paraId="07DF5932" w14:textId="77777777" w:rsidR="00F3408E" w:rsidRDefault="00F3408E" w:rsidP="00F3408E">
                  <w:pPr>
                    <w:spacing w:before="100" w:beforeAutospacing="1" w:after="100" w:afterAutospacing="1"/>
                    <w:jc w:val="both"/>
                    <w:rPr>
                      <w:rFonts w:ascii="Book Antiqua" w:eastAsia="Times New Roman" w:hAnsi="Book Antiqua" w:cs="Times New Roman"/>
                      <w:b/>
                      <w:bCs/>
                      <w:color w:val="000000"/>
                      <w:sz w:val="19"/>
                      <w:szCs w:val="19"/>
                      <w:lang w:eastAsia="pt-BR"/>
                    </w:rPr>
                  </w:pPr>
                </w:p>
                <w:p w14:paraId="7DFC7970" w14:textId="4264998A" w:rsidR="00F3408E" w:rsidRPr="00F3408E" w:rsidRDefault="00F3408E" w:rsidP="00F3408E">
                  <w:pPr>
                    <w:spacing w:before="100" w:beforeAutospacing="1" w:after="100" w:afterAutospacing="1"/>
                    <w:jc w:val="both"/>
                    <w:rPr>
                      <w:rFonts w:ascii="Book Antiqua" w:eastAsia="Times New Roman" w:hAnsi="Book Antiqua" w:cs="Times New Roman"/>
                      <w:color w:val="000000"/>
                      <w:sz w:val="19"/>
                      <w:szCs w:val="19"/>
                      <w:lang w:eastAsia="pt-BR"/>
                    </w:rPr>
                  </w:pPr>
                </w:p>
              </w:tc>
            </w:tr>
          </w:tbl>
          <w:p w14:paraId="797C2218"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 w:name="art4"/>
            <w:bookmarkEnd w:id="3"/>
            <w:r w:rsidRPr="00F3408E">
              <w:rPr>
                <w:rFonts w:ascii="Book Antiqua" w:eastAsia="Times New Roman" w:hAnsi="Book Antiqua" w:cs="Arial"/>
                <w:color w:val="000000"/>
                <w:sz w:val="19"/>
                <w:szCs w:val="19"/>
                <w:lang w:eastAsia="pt-BR"/>
              </w:rPr>
              <w:lastRenderedPageBreak/>
              <w:t>Art. 4º - Para a conferência e atualização dos registros eleitorais a que se refere o art. 2º desta Lei, a Justiça Eleitoral poderá utilizar, também, informações pertinentes, constantes de cadastros de qualquer natureza, mantidos por órgãos federais, estaduais ou municipais.</w:t>
            </w:r>
          </w:p>
          <w:p w14:paraId="2A34DE3E"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3408E">
              <w:rPr>
                <w:rFonts w:ascii="Book Antiqua" w:eastAsia="Times New Roman" w:hAnsi="Book Antiqua" w:cs="Arial"/>
                <w:color w:val="000000"/>
                <w:sz w:val="19"/>
                <w:szCs w:val="19"/>
                <w:lang w:eastAsia="pt-BR"/>
              </w:rPr>
              <w:t>Parágrafo único - Os órgãos aludidos neste artigo ficam obrigados a fornecer à Justiça Eleitoral, gratuitamente, as informações solicitadas.</w:t>
            </w:r>
          </w:p>
          <w:p w14:paraId="493EBD2D"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 w:name="art5"/>
            <w:bookmarkEnd w:id="4"/>
            <w:r w:rsidRPr="00F3408E">
              <w:rPr>
                <w:rFonts w:ascii="Book Antiqua" w:eastAsia="Times New Roman" w:hAnsi="Book Antiqua" w:cs="Arial"/>
                <w:color w:val="000000"/>
                <w:sz w:val="19"/>
                <w:szCs w:val="19"/>
                <w:lang w:eastAsia="pt-BR"/>
              </w:rPr>
              <w:t>Art. 5º - Para o alistamento, na forma do art. 1º desta Lei, o alistando apresentará em Cartório, ou em local previamente designado, requerimento em formulário que obedecerá a modelo aprovado pelo Tribunal Superior Eleitoral.</w:t>
            </w:r>
          </w:p>
          <w:p w14:paraId="06EC3A39"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3408E">
              <w:rPr>
                <w:rFonts w:ascii="Book Antiqua" w:eastAsia="Times New Roman" w:hAnsi="Book Antiqua" w:cs="Arial"/>
                <w:color w:val="000000"/>
                <w:sz w:val="19"/>
                <w:szCs w:val="19"/>
                <w:lang w:eastAsia="pt-BR"/>
              </w:rPr>
              <w:t>§ 1º - O escrivão, o funcionário ou o preparador, recebendo o formulário e os documentos, datará o requerimento determinará que o alistando nele aponha sua assinatura, ou, se não souber assinar, a impressão digital de seu polegar direito, atestando, a seguir, terem sido a assinatura ou a impressão digital lançadas na sua presença.</w:t>
            </w:r>
          </w:p>
          <w:p w14:paraId="2F824C23"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3408E">
              <w:rPr>
                <w:rFonts w:ascii="Book Antiqua" w:eastAsia="Times New Roman" w:hAnsi="Book Antiqua" w:cs="Arial"/>
                <w:color w:val="000000"/>
                <w:sz w:val="19"/>
                <w:szCs w:val="19"/>
                <w:lang w:eastAsia="pt-BR"/>
              </w:rPr>
              <w:t>§ 2º - O requerimento de inscrição será instruído com um dos seguintes documentos:</w:t>
            </w:r>
          </w:p>
          <w:p w14:paraId="34AFB3BB"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3408E">
              <w:rPr>
                <w:rFonts w:ascii="Book Antiqua" w:eastAsia="Times New Roman" w:hAnsi="Book Antiqua" w:cs="Arial"/>
                <w:color w:val="000000"/>
                <w:sz w:val="19"/>
                <w:szCs w:val="19"/>
                <w:lang w:eastAsia="pt-BR"/>
              </w:rPr>
              <w:t xml:space="preserve">I - </w:t>
            </w:r>
            <w:proofErr w:type="gramStart"/>
            <w:r w:rsidRPr="00F3408E">
              <w:rPr>
                <w:rFonts w:ascii="Book Antiqua" w:eastAsia="Times New Roman" w:hAnsi="Book Antiqua" w:cs="Arial"/>
                <w:color w:val="000000"/>
                <w:sz w:val="19"/>
                <w:szCs w:val="19"/>
                <w:lang w:eastAsia="pt-BR"/>
              </w:rPr>
              <w:t>carteira</w:t>
            </w:r>
            <w:proofErr w:type="gramEnd"/>
            <w:r w:rsidRPr="00F3408E">
              <w:rPr>
                <w:rFonts w:ascii="Book Antiqua" w:eastAsia="Times New Roman" w:hAnsi="Book Antiqua" w:cs="Arial"/>
                <w:color w:val="000000"/>
                <w:sz w:val="19"/>
                <w:szCs w:val="19"/>
                <w:lang w:eastAsia="pt-BR"/>
              </w:rPr>
              <w:t xml:space="preserve"> de identidade, expedida por órgão oficial competente;</w:t>
            </w:r>
          </w:p>
          <w:p w14:paraId="538EDEAE"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3408E">
              <w:rPr>
                <w:rFonts w:ascii="Book Antiqua" w:eastAsia="Times New Roman" w:hAnsi="Book Antiqua" w:cs="Arial"/>
                <w:color w:val="000000"/>
                <w:sz w:val="19"/>
                <w:szCs w:val="19"/>
                <w:lang w:eastAsia="pt-BR"/>
              </w:rPr>
              <w:t xml:space="preserve">II - </w:t>
            </w:r>
            <w:proofErr w:type="gramStart"/>
            <w:r w:rsidRPr="00F3408E">
              <w:rPr>
                <w:rFonts w:ascii="Book Antiqua" w:eastAsia="Times New Roman" w:hAnsi="Book Antiqua" w:cs="Arial"/>
                <w:color w:val="000000"/>
                <w:sz w:val="19"/>
                <w:szCs w:val="19"/>
                <w:lang w:eastAsia="pt-BR"/>
              </w:rPr>
              <w:t>certificado</w:t>
            </w:r>
            <w:proofErr w:type="gramEnd"/>
            <w:r w:rsidRPr="00F3408E">
              <w:rPr>
                <w:rFonts w:ascii="Book Antiqua" w:eastAsia="Times New Roman" w:hAnsi="Book Antiqua" w:cs="Arial"/>
                <w:color w:val="000000"/>
                <w:sz w:val="19"/>
                <w:szCs w:val="19"/>
                <w:lang w:eastAsia="pt-BR"/>
              </w:rPr>
              <w:t xml:space="preserve"> de quitação do serviço militar;</w:t>
            </w:r>
          </w:p>
          <w:p w14:paraId="2B019992"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3408E">
              <w:rPr>
                <w:rFonts w:ascii="Book Antiqua" w:eastAsia="Times New Roman" w:hAnsi="Book Antiqua" w:cs="Arial"/>
                <w:color w:val="000000"/>
                <w:sz w:val="19"/>
                <w:szCs w:val="19"/>
                <w:lang w:eastAsia="pt-BR"/>
              </w:rPr>
              <w:t>III - carteira emitida pelos órgãos criados por lei federal, controladores do exercício profissional;</w:t>
            </w:r>
          </w:p>
          <w:p w14:paraId="776D4024"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3408E">
              <w:rPr>
                <w:rFonts w:ascii="Book Antiqua" w:eastAsia="Times New Roman" w:hAnsi="Book Antiqua" w:cs="Arial"/>
                <w:color w:val="000000"/>
                <w:sz w:val="19"/>
                <w:szCs w:val="19"/>
                <w:lang w:eastAsia="pt-BR"/>
              </w:rPr>
              <w:t xml:space="preserve">IV - </w:t>
            </w:r>
            <w:proofErr w:type="gramStart"/>
            <w:r w:rsidRPr="00F3408E">
              <w:rPr>
                <w:rFonts w:ascii="Book Antiqua" w:eastAsia="Times New Roman" w:hAnsi="Book Antiqua" w:cs="Arial"/>
                <w:color w:val="000000"/>
                <w:sz w:val="19"/>
                <w:szCs w:val="19"/>
                <w:lang w:eastAsia="pt-BR"/>
              </w:rPr>
              <w:t>certidão</w:t>
            </w:r>
            <w:proofErr w:type="gramEnd"/>
            <w:r w:rsidRPr="00F3408E">
              <w:rPr>
                <w:rFonts w:ascii="Book Antiqua" w:eastAsia="Times New Roman" w:hAnsi="Book Antiqua" w:cs="Arial"/>
                <w:color w:val="000000"/>
                <w:sz w:val="19"/>
                <w:szCs w:val="19"/>
                <w:lang w:eastAsia="pt-BR"/>
              </w:rPr>
              <w:t xml:space="preserve"> de idade, extraída do Registro Civil;</w:t>
            </w:r>
          </w:p>
          <w:p w14:paraId="35429792"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3408E">
              <w:rPr>
                <w:rFonts w:ascii="Book Antiqua" w:eastAsia="Times New Roman" w:hAnsi="Book Antiqua" w:cs="Arial"/>
                <w:color w:val="000000"/>
                <w:sz w:val="19"/>
                <w:szCs w:val="19"/>
                <w:lang w:eastAsia="pt-BR"/>
              </w:rPr>
              <w:t xml:space="preserve">V - </w:t>
            </w:r>
            <w:proofErr w:type="gramStart"/>
            <w:r w:rsidRPr="00F3408E">
              <w:rPr>
                <w:rFonts w:ascii="Book Antiqua" w:eastAsia="Times New Roman" w:hAnsi="Book Antiqua" w:cs="Arial"/>
                <w:color w:val="000000"/>
                <w:sz w:val="19"/>
                <w:szCs w:val="19"/>
                <w:lang w:eastAsia="pt-BR"/>
              </w:rPr>
              <w:t>instrumento</w:t>
            </w:r>
            <w:proofErr w:type="gramEnd"/>
            <w:r w:rsidRPr="00F3408E">
              <w:rPr>
                <w:rFonts w:ascii="Book Antiqua" w:eastAsia="Times New Roman" w:hAnsi="Book Antiqua" w:cs="Arial"/>
                <w:color w:val="000000"/>
                <w:sz w:val="19"/>
                <w:szCs w:val="19"/>
                <w:lang w:eastAsia="pt-BR"/>
              </w:rPr>
              <w:t xml:space="preserve"> público do qual se infira, por direito, ter o requerente a idade mínima de 18 (dezoito) anos e do qual constem, também, os demais elementos necessários à sua qualificação;</w:t>
            </w:r>
          </w:p>
          <w:p w14:paraId="56BD847E"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3408E">
              <w:rPr>
                <w:rFonts w:ascii="Book Antiqua" w:eastAsia="Times New Roman" w:hAnsi="Book Antiqua" w:cs="Arial"/>
                <w:color w:val="000000"/>
                <w:sz w:val="19"/>
                <w:szCs w:val="19"/>
                <w:lang w:eastAsia="pt-BR"/>
              </w:rPr>
              <w:t xml:space="preserve">VI - </w:t>
            </w:r>
            <w:proofErr w:type="gramStart"/>
            <w:r w:rsidRPr="00F3408E">
              <w:rPr>
                <w:rFonts w:ascii="Book Antiqua" w:eastAsia="Times New Roman" w:hAnsi="Book Antiqua" w:cs="Arial"/>
                <w:color w:val="000000"/>
                <w:sz w:val="19"/>
                <w:szCs w:val="19"/>
                <w:lang w:eastAsia="pt-BR"/>
              </w:rPr>
              <w:t>documento</w:t>
            </w:r>
            <w:proofErr w:type="gramEnd"/>
            <w:r w:rsidRPr="00F3408E">
              <w:rPr>
                <w:rFonts w:ascii="Book Antiqua" w:eastAsia="Times New Roman" w:hAnsi="Book Antiqua" w:cs="Arial"/>
                <w:color w:val="000000"/>
                <w:sz w:val="19"/>
                <w:szCs w:val="19"/>
                <w:lang w:eastAsia="pt-BR"/>
              </w:rPr>
              <w:t xml:space="preserve"> do qual se infira a nacionalidade brasileira, originaria ou adquirida, do requerente.</w:t>
            </w:r>
          </w:p>
          <w:p w14:paraId="3F90C86A"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3408E">
              <w:rPr>
                <w:rFonts w:ascii="Book Antiqua" w:eastAsia="Times New Roman" w:hAnsi="Book Antiqua" w:cs="Arial"/>
                <w:color w:val="000000"/>
                <w:sz w:val="19"/>
                <w:szCs w:val="19"/>
                <w:lang w:eastAsia="pt-BR"/>
              </w:rPr>
              <w:t>§ 3º - Será devolvido o requerimento que não contenha os dados constantes do modelo oficial, na mesma ordem, em caracteres inequívocos.</w:t>
            </w:r>
          </w:p>
          <w:p w14:paraId="306560E7"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3408E">
              <w:rPr>
                <w:rFonts w:ascii="Book Antiqua" w:eastAsia="Times New Roman" w:hAnsi="Book Antiqua" w:cs="Arial"/>
                <w:color w:val="000000"/>
                <w:sz w:val="19"/>
                <w:szCs w:val="19"/>
                <w:lang w:eastAsia="pt-BR"/>
              </w:rPr>
              <w:t>§ 4º - Para o alistamento, na forma deste artigo, é dispensada a apresentação de fotografia do alistando.</w:t>
            </w:r>
          </w:p>
          <w:p w14:paraId="3C4341F4"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 w:name="art6"/>
            <w:bookmarkEnd w:id="5"/>
            <w:r w:rsidRPr="00F3408E">
              <w:rPr>
                <w:rFonts w:ascii="Book Antiqua" w:eastAsia="Times New Roman" w:hAnsi="Book Antiqua" w:cs="Arial"/>
                <w:color w:val="000000"/>
                <w:sz w:val="19"/>
                <w:szCs w:val="19"/>
                <w:lang w:eastAsia="pt-BR"/>
              </w:rPr>
              <w:t>Art. 6º - Implantado o sistema previsto no art. 1º desta Lei, o título eleitoral será emitido por computador.</w:t>
            </w:r>
          </w:p>
          <w:p w14:paraId="7B4604C7"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3408E">
              <w:rPr>
                <w:rFonts w:ascii="Book Antiqua" w:eastAsia="Times New Roman" w:hAnsi="Book Antiqua" w:cs="Arial"/>
                <w:color w:val="000000"/>
                <w:sz w:val="19"/>
                <w:szCs w:val="19"/>
                <w:lang w:eastAsia="pt-BR"/>
              </w:rPr>
              <w:t>§ 1º - O Tribunal Superior Eleitoral aprovará o modelo do título e definirá o procedimento a ser adotado, na Justiça Eleitoral, para sua expedição.</w:t>
            </w:r>
          </w:p>
          <w:p w14:paraId="48325003"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3408E">
              <w:rPr>
                <w:rFonts w:ascii="Book Antiqua" w:eastAsia="Times New Roman" w:hAnsi="Book Antiqua" w:cs="Arial"/>
                <w:color w:val="000000"/>
                <w:sz w:val="19"/>
                <w:szCs w:val="19"/>
                <w:lang w:eastAsia="pt-BR"/>
              </w:rPr>
              <w:t>§ 2º - Aos eleitores inscritos, em cada Zona, após a revisão e conferência de seu registro. na conformidade do art. 3º e parágrafos desta Lei, será expedido nova título eleitoral, na forma deste artigo.</w:t>
            </w:r>
          </w:p>
          <w:p w14:paraId="4D345789"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 w:name="art7"/>
            <w:bookmarkEnd w:id="6"/>
            <w:r w:rsidRPr="00F3408E">
              <w:rPr>
                <w:rFonts w:ascii="Book Antiqua" w:eastAsia="Times New Roman" w:hAnsi="Book Antiqua" w:cs="Arial"/>
                <w:color w:val="000000"/>
                <w:sz w:val="19"/>
                <w:szCs w:val="19"/>
                <w:lang w:eastAsia="pt-BR"/>
              </w:rPr>
              <w:t>Art. 7º - A Justiça Eleitoral executará os serviços previstos nesta Lei, atendidas as condições e peculiaridades locais, diretamente ou mediante convênio ou contrato.</w:t>
            </w:r>
          </w:p>
          <w:p w14:paraId="6C0EF171"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3408E">
              <w:rPr>
                <w:rFonts w:ascii="Book Antiqua" w:eastAsia="Times New Roman" w:hAnsi="Book Antiqua" w:cs="Arial"/>
                <w:color w:val="000000"/>
                <w:sz w:val="19"/>
                <w:szCs w:val="19"/>
                <w:lang w:eastAsia="pt-BR"/>
              </w:rPr>
              <w:t>Parágrafo único - Os convênios ou contratos de que cuida este artigo somente poderão ser ajustados com entidades da Administração Direta ou Indireta da União, dos Estados, do Distrito Federal ou dos Municípios, ou com empresas cujo capital seja exclusivamente nacional.</w:t>
            </w:r>
          </w:p>
          <w:p w14:paraId="1451719E"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 w:name="art8"/>
            <w:bookmarkEnd w:id="7"/>
            <w:r w:rsidRPr="00F3408E">
              <w:rPr>
                <w:rFonts w:ascii="Book Antiqua" w:eastAsia="Times New Roman" w:hAnsi="Book Antiqua" w:cs="Arial"/>
                <w:color w:val="000000"/>
                <w:sz w:val="19"/>
                <w:szCs w:val="19"/>
                <w:lang w:eastAsia="pt-BR"/>
              </w:rPr>
              <w:t xml:space="preserve">Art. 8º - Para a implantação do alistamento mediante processamento de dados e revisão do eleitorado nos termos desta lei, a Justiça Eleitoral poderá requisitar servidores federais, estaduais ou </w:t>
            </w:r>
            <w:r w:rsidRPr="00F3408E">
              <w:rPr>
                <w:rFonts w:ascii="Book Antiqua" w:eastAsia="Times New Roman" w:hAnsi="Book Antiqua" w:cs="Arial"/>
                <w:color w:val="000000"/>
                <w:sz w:val="19"/>
                <w:szCs w:val="19"/>
                <w:lang w:eastAsia="pt-BR"/>
              </w:rPr>
              <w:lastRenderedPageBreak/>
              <w:t>municipais, bem como utilizar instalações e serviços de órgãos da União, dos Estados, do Distrito Federal, dos Territórios e Municípios.</w:t>
            </w:r>
          </w:p>
          <w:p w14:paraId="13806DBA"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8" w:name="art9"/>
            <w:bookmarkEnd w:id="8"/>
            <w:r w:rsidRPr="00F3408E">
              <w:rPr>
                <w:rFonts w:ascii="Book Antiqua" w:eastAsia="Times New Roman" w:hAnsi="Book Antiqua" w:cs="Arial"/>
                <w:color w:val="000000"/>
                <w:sz w:val="19"/>
                <w:szCs w:val="19"/>
                <w:lang w:eastAsia="pt-BR"/>
              </w:rPr>
              <w:t>Art. 9º O Tribunal Superior Eleitoral baixará as instruções necessárias à execução desta Lei, especialmente, para definir:</w:t>
            </w:r>
          </w:p>
          <w:p w14:paraId="40FE3C4E"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3408E">
              <w:rPr>
                <w:rFonts w:ascii="Book Antiqua" w:eastAsia="Times New Roman" w:hAnsi="Book Antiqua" w:cs="Arial"/>
                <w:color w:val="000000"/>
                <w:sz w:val="19"/>
                <w:szCs w:val="19"/>
                <w:lang w:eastAsia="pt-BR"/>
              </w:rPr>
              <w:t>I - a administração e a utilização dos cadastros eleitorais em computador, exclusivamente, pela Justiça Eleitoral;</w:t>
            </w:r>
          </w:p>
          <w:p w14:paraId="745C5DF7"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3408E">
              <w:rPr>
                <w:rFonts w:ascii="Book Antiqua" w:eastAsia="Times New Roman" w:hAnsi="Book Antiqua" w:cs="Arial"/>
                <w:color w:val="000000"/>
                <w:sz w:val="19"/>
                <w:szCs w:val="19"/>
                <w:lang w:eastAsia="pt-BR"/>
              </w:rPr>
              <w:t xml:space="preserve">II - </w:t>
            </w:r>
            <w:proofErr w:type="gramStart"/>
            <w:r w:rsidRPr="00F3408E">
              <w:rPr>
                <w:rFonts w:ascii="Book Antiqua" w:eastAsia="Times New Roman" w:hAnsi="Book Antiqua" w:cs="Arial"/>
                <w:color w:val="000000"/>
                <w:sz w:val="19"/>
                <w:szCs w:val="19"/>
                <w:lang w:eastAsia="pt-BR"/>
              </w:rPr>
              <w:t>a</w:t>
            </w:r>
            <w:proofErr w:type="gramEnd"/>
            <w:r w:rsidRPr="00F3408E">
              <w:rPr>
                <w:rFonts w:ascii="Book Antiqua" w:eastAsia="Times New Roman" w:hAnsi="Book Antiqua" w:cs="Arial"/>
                <w:color w:val="000000"/>
                <w:sz w:val="19"/>
                <w:szCs w:val="19"/>
                <w:lang w:eastAsia="pt-BR"/>
              </w:rPr>
              <w:t xml:space="preserve"> forma de solicitação e de utilização de informações constantes de cadastras mantidos por órgãos federais, estaduais ou municipais, visando resguardar sua privacidade;</w:t>
            </w:r>
          </w:p>
          <w:p w14:paraId="168DC093"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3408E">
              <w:rPr>
                <w:rFonts w:ascii="Book Antiqua" w:eastAsia="Times New Roman" w:hAnsi="Book Antiqua" w:cs="Arial"/>
                <w:color w:val="000000"/>
                <w:sz w:val="19"/>
                <w:szCs w:val="19"/>
                <w:lang w:eastAsia="pt-BR"/>
              </w:rPr>
              <w:t>III - as condições gerais para a execução direta ou mediante convênio ou contrato, dos serviços de alistamento, revisão do eleitorado, conferência e atualização dos registros eleitorais, inclusive de coleta de informações e transporte de documentos eleitorais, quando necessário, das Zonas Eleitorais até os Centros de Processamento de Dados;</w:t>
            </w:r>
          </w:p>
          <w:p w14:paraId="572173FC"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3408E">
              <w:rPr>
                <w:rFonts w:ascii="Book Antiqua" w:eastAsia="Times New Roman" w:hAnsi="Book Antiqua" w:cs="Arial"/>
                <w:color w:val="000000"/>
                <w:sz w:val="19"/>
                <w:szCs w:val="19"/>
                <w:lang w:eastAsia="pt-BR"/>
              </w:rPr>
              <w:t xml:space="preserve">IV - o acompanhamento e a fiscalização </w:t>
            </w:r>
            <w:proofErr w:type="gramStart"/>
            <w:r w:rsidRPr="00F3408E">
              <w:rPr>
                <w:rFonts w:ascii="Book Antiqua" w:eastAsia="Times New Roman" w:hAnsi="Book Antiqua" w:cs="Arial"/>
                <w:color w:val="000000"/>
                <w:sz w:val="19"/>
                <w:szCs w:val="19"/>
                <w:lang w:eastAsia="pt-BR"/>
              </w:rPr>
              <w:t>pelos partido</w:t>
            </w:r>
            <w:proofErr w:type="gramEnd"/>
            <w:r w:rsidRPr="00F3408E">
              <w:rPr>
                <w:rFonts w:ascii="Book Antiqua" w:eastAsia="Times New Roman" w:hAnsi="Book Antiqua" w:cs="Arial"/>
                <w:color w:val="000000"/>
                <w:sz w:val="19"/>
                <w:szCs w:val="19"/>
                <w:lang w:eastAsia="pt-BR"/>
              </w:rPr>
              <w:t xml:space="preserve"> políticos, da execução dos serviços de que trata este Lei;</w:t>
            </w:r>
          </w:p>
          <w:p w14:paraId="396B674F"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3408E">
              <w:rPr>
                <w:rFonts w:ascii="Book Antiqua" w:eastAsia="Times New Roman" w:hAnsi="Book Antiqua" w:cs="Arial"/>
                <w:color w:val="000000"/>
                <w:sz w:val="19"/>
                <w:szCs w:val="19"/>
                <w:lang w:eastAsia="pt-BR"/>
              </w:rPr>
              <w:t>V - a programação e o calendário de execução dos serviços;</w:t>
            </w:r>
          </w:p>
          <w:p w14:paraId="68671697"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3408E">
              <w:rPr>
                <w:rFonts w:ascii="Book Antiqua" w:eastAsia="Times New Roman" w:hAnsi="Book Antiqua" w:cs="Arial"/>
                <w:color w:val="000000"/>
                <w:sz w:val="19"/>
                <w:szCs w:val="19"/>
                <w:lang w:eastAsia="pt-BR"/>
              </w:rPr>
              <w:t xml:space="preserve">VI - </w:t>
            </w:r>
            <w:proofErr w:type="gramStart"/>
            <w:r w:rsidRPr="00F3408E">
              <w:rPr>
                <w:rFonts w:ascii="Book Antiqua" w:eastAsia="Times New Roman" w:hAnsi="Book Antiqua" w:cs="Arial"/>
                <w:color w:val="000000"/>
                <w:sz w:val="19"/>
                <w:szCs w:val="19"/>
                <w:lang w:eastAsia="pt-BR"/>
              </w:rPr>
              <w:t>a</w:t>
            </w:r>
            <w:proofErr w:type="gramEnd"/>
            <w:r w:rsidRPr="00F3408E">
              <w:rPr>
                <w:rFonts w:ascii="Book Antiqua" w:eastAsia="Times New Roman" w:hAnsi="Book Antiqua" w:cs="Arial"/>
                <w:color w:val="000000"/>
                <w:sz w:val="19"/>
                <w:szCs w:val="19"/>
                <w:lang w:eastAsia="pt-BR"/>
              </w:rPr>
              <w:t xml:space="preserve"> forma de divulgação do alistamento eleitoral e da revisão do eleitorado, em cada Zona e Circunscrição, atendidas as peculiaridades locais;</w:t>
            </w:r>
          </w:p>
          <w:p w14:paraId="55DA9757"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3408E">
              <w:rPr>
                <w:rFonts w:ascii="Book Antiqua" w:eastAsia="Times New Roman" w:hAnsi="Book Antiqua" w:cs="Arial"/>
                <w:color w:val="000000"/>
                <w:sz w:val="19"/>
                <w:szCs w:val="19"/>
                <w:lang w:eastAsia="pt-BR"/>
              </w:rPr>
              <w:t>VII - qualquer outra especificação necessária à execução dos serviços de que trata esta Lei.</w:t>
            </w:r>
          </w:p>
          <w:p w14:paraId="3DECC171"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9" w:name="art10"/>
            <w:bookmarkEnd w:id="9"/>
            <w:r w:rsidRPr="00F3408E">
              <w:rPr>
                <w:rFonts w:ascii="Book Antiqua" w:eastAsia="Times New Roman" w:hAnsi="Book Antiqua" w:cs="Arial"/>
                <w:color w:val="000000"/>
                <w:sz w:val="19"/>
                <w:szCs w:val="19"/>
                <w:lang w:eastAsia="pt-BR"/>
              </w:rPr>
              <w:t>Art. 10 - Fica o Poder Executivo autorizado a abrir, para a Justiça Eleitoral, à disposição do Tribunal Superior Eleitoral, o crédito especial de Cr$ 600.000.000.000 (seiscentos bilhões de cruzeiros), destinado a atender às despesas decorrentes desta Lei.</w:t>
            </w:r>
          </w:p>
          <w:p w14:paraId="3EC5E7EA"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0" w:name="art11"/>
            <w:bookmarkEnd w:id="10"/>
            <w:r w:rsidRPr="00F3408E">
              <w:rPr>
                <w:rFonts w:ascii="Book Antiqua" w:eastAsia="Times New Roman" w:hAnsi="Book Antiqua" w:cs="Arial"/>
                <w:color w:val="000000"/>
                <w:sz w:val="19"/>
                <w:szCs w:val="19"/>
                <w:lang w:eastAsia="pt-BR"/>
              </w:rPr>
              <w:t>Art. 11 - Esta Lei entra em vigor na data de sua publicação.</w:t>
            </w:r>
          </w:p>
          <w:p w14:paraId="495ECA02"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1" w:name="art12"/>
            <w:bookmarkEnd w:id="11"/>
            <w:r w:rsidRPr="00F3408E">
              <w:rPr>
                <w:rFonts w:ascii="Book Antiqua" w:eastAsia="Times New Roman" w:hAnsi="Book Antiqua" w:cs="Arial"/>
                <w:color w:val="000000"/>
                <w:sz w:val="19"/>
                <w:szCs w:val="19"/>
                <w:lang w:eastAsia="pt-BR"/>
              </w:rPr>
              <w:t xml:space="preserve">Art. 12 - Revogam-se as disposições em contrário, especialmente o </w:t>
            </w:r>
            <w:hyperlink r:id="rId7" w:anchor="art2§2" w:history="1">
              <w:r w:rsidRPr="00F3408E">
                <w:rPr>
                  <w:rFonts w:ascii="Book Antiqua" w:eastAsia="Times New Roman" w:hAnsi="Book Antiqua" w:cs="Arial"/>
                  <w:color w:val="0000FF"/>
                  <w:sz w:val="19"/>
                  <w:szCs w:val="19"/>
                  <w:u w:val="single"/>
                  <w:lang w:eastAsia="pt-BR"/>
                </w:rPr>
                <w:t>§ 2º do art. 2º da Lei nº 6.996, de 7 de junho de 1932.</w:t>
              </w:r>
            </w:hyperlink>
          </w:p>
          <w:p w14:paraId="54788BF0" w14:textId="77777777" w:rsidR="00B77B76" w:rsidRPr="00F3408E" w:rsidRDefault="00B77B76" w:rsidP="00F3408E">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3408E">
              <w:rPr>
                <w:rFonts w:ascii="Book Antiqua" w:eastAsia="Times New Roman" w:hAnsi="Book Antiqua" w:cs="Arial"/>
                <w:color w:val="000000"/>
                <w:sz w:val="19"/>
                <w:szCs w:val="19"/>
                <w:lang w:eastAsia="pt-BR"/>
              </w:rPr>
              <w:t>Brasília, em 20 de dezembro de 1985; 164º da Independência e 97º da República.</w:t>
            </w:r>
          </w:p>
          <w:p w14:paraId="2F9D4E87" w14:textId="77777777" w:rsidR="00B77B76" w:rsidRPr="00F3408E" w:rsidRDefault="00B77B76" w:rsidP="00F3408E">
            <w:pPr>
              <w:spacing w:before="100" w:beforeAutospacing="1" w:after="100" w:afterAutospacing="1" w:line="240" w:lineRule="auto"/>
              <w:rPr>
                <w:rFonts w:ascii="Book Antiqua" w:eastAsia="Times New Roman" w:hAnsi="Book Antiqua" w:cs="Times New Roman"/>
                <w:color w:val="000000"/>
                <w:sz w:val="19"/>
                <w:szCs w:val="19"/>
                <w:lang w:eastAsia="pt-BR"/>
              </w:rPr>
            </w:pPr>
            <w:r w:rsidRPr="00F3408E">
              <w:rPr>
                <w:rFonts w:ascii="Book Antiqua" w:eastAsia="Times New Roman" w:hAnsi="Book Antiqua" w:cs="Arial"/>
                <w:color w:val="000000"/>
                <w:sz w:val="19"/>
                <w:szCs w:val="19"/>
                <w:lang w:eastAsia="pt-BR"/>
              </w:rPr>
              <w:t>JOSÉ SARNEY</w:t>
            </w:r>
            <w:r w:rsidRPr="00F3408E">
              <w:rPr>
                <w:rFonts w:ascii="Book Antiqua" w:eastAsia="Times New Roman" w:hAnsi="Book Antiqua" w:cs="Arial"/>
                <w:color w:val="000000"/>
                <w:sz w:val="19"/>
                <w:szCs w:val="19"/>
                <w:lang w:eastAsia="pt-BR"/>
              </w:rPr>
              <w:br/>
            </w:r>
            <w:r w:rsidRPr="00F3408E">
              <w:rPr>
                <w:rFonts w:ascii="Book Antiqua" w:eastAsia="Times New Roman" w:hAnsi="Book Antiqua" w:cs="Arial"/>
                <w:i/>
                <w:iCs/>
                <w:color w:val="000000"/>
                <w:sz w:val="19"/>
                <w:szCs w:val="19"/>
                <w:lang w:eastAsia="pt-BR"/>
              </w:rPr>
              <w:t>Fernando Lyra</w:t>
            </w:r>
          </w:p>
        </w:tc>
      </w:tr>
    </w:tbl>
    <w:p w14:paraId="1726478F" w14:textId="77777777" w:rsidR="00B77B76" w:rsidRPr="00F3408E" w:rsidRDefault="00B77B76" w:rsidP="00F3408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3408E">
        <w:rPr>
          <w:rFonts w:ascii="Book Antiqua" w:eastAsia="Times New Roman" w:hAnsi="Book Antiqua" w:cs="Arial"/>
          <w:color w:val="FF0000"/>
          <w:sz w:val="19"/>
          <w:szCs w:val="19"/>
          <w:lang w:eastAsia="pt-BR"/>
        </w:rPr>
        <w:lastRenderedPageBreak/>
        <w:t>Este texto não substitui o publicado no DOU de 23.12.1985</w:t>
      </w:r>
    </w:p>
    <w:p w14:paraId="7E4ACA77" w14:textId="29A0C9D5" w:rsidR="00FF61F9" w:rsidRPr="00F3408E" w:rsidRDefault="00FF61F9" w:rsidP="00F3408E">
      <w:pPr>
        <w:spacing w:before="100" w:beforeAutospacing="1" w:after="100" w:afterAutospacing="1" w:line="240" w:lineRule="auto"/>
        <w:rPr>
          <w:rFonts w:ascii="Book Antiqua" w:eastAsia="Times New Roman" w:hAnsi="Book Antiqua" w:cs="Times New Roman"/>
          <w:color w:val="000000"/>
          <w:sz w:val="19"/>
          <w:szCs w:val="19"/>
          <w:lang w:eastAsia="pt-BR"/>
        </w:rPr>
      </w:pPr>
    </w:p>
    <w:sectPr w:rsidR="00FF61F9" w:rsidRPr="00F3408E" w:rsidSect="0054568B">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12D41" w14:textId="77777777" w:rsidR="00E838E4" w:rsidRDefault="00E838E4" w:rsidP="00B77B76">
      <w:pPr>
        <w:spacing w:after="0" w:line="240" w:lineRule="auto"/>
      </w:pPr>
      <w:r>
        <w:separator/>
      </w:r>
    </w:p>
  </w:endnote>
  <w:endnote w:type="continuationSeparator" w:id="0">
    <w:p w14:paraId="19279AF3" w14:textId="77777777" w:rsidR="00E838E4" w:rsidRDefault="00E838E4" w:rsidP="00B77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6E174" w14:textId="77777777" w:rsidR="00E838E4" w:rsidRDefault="00E838E4" w:rsidP="00B77B76">
      <w:pPr>
        <w:spacing w:after="0" w:line="240" w:lineRule="auto"/>
      </w:pPr>
      <w:r>
        <w:separator/>
      </w:r>
    </w:p>
  </w:footnote>
  <w:footnote w:type="continuationSeparator" w:id="0">
    <w:p w14:paraId="445588ED" w14:textId="77777777" w:rsidR="00E838E4" w:rsidRDefault="00E838E4" w:rsidP="00B77B7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FAF"/>
    <w:rsid w:val="00062785"/>
    <w:rsid w:val="000F4812"/>
    <w:rsid w:val="00461FAF"/>
    <w:rsid w:val="0054568B"/>
    <w:rsid w:val="00863DA1"/>
    <w:rsid w:val="009A31FF"/>
    <w:rsid w:val="00A17CBD"/>
    <w:rsid w:val="00B77B76"/>
    <w:rsid w:val="00E838E4"/>
    <w:rsid w:val="00F3408E"/>
    <w:rsid w:val="00FF61F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B5F0C8"/>
  <w15:chartTrackingRefBased/>
  <w15:docId w15:val="{75CDC928-D224-4357-938C-5DEE6D0C7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77B7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77B76"/>
  </w:style>
  <w:style w:type="paragraph" w:styleId="Rodap">
    <w:name w:val="footer"/>
    <w:basedOn w:val="Normal"/>
    <w:link w:val="RodapChar"/>
    <w:uiPriority w:val="99"/>
    <w:unhideWhenUsed/>
    <w:rsid w:val="00B77B76"/>
    <w:pPr>
      <w:tabs>
        <w:tab w:val="center" w:pos="4252"/>
        <w:tab w:val="right" w:pos="8504"/>
      </w:tabs>
      <w:spacing w:after="0" w:line="240" w:lineRule="auto"/>
    </w:pPr>
  </w:style>
  <w:style w:type="character" w:customStyle="1" w:styleId="RodapChar">
    <w:name w:val="Rodapé Char"/>
    <w:basedOn w:val="Fontepargpadro"/>
    <w:link w:val="Rodap"/>
    <w:uiPriority w:val="99"/>
    <w:rsid w:val="00B77B76"/>
  </w:style>
  <w:style w:type="table" w:styleId="Tabelacomgrade">
    <w:name w:val="Table Grid"/>
    <w:basedOn w:val="Tabelanormal"/>
    <w:uiPriority w:val="39"/>
    <w:rsid w:val="00A17C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425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planalto.gov.br/ccivil_03/leis/1980-1988/L6996.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legislacao.planalto.gov.br/legisla/legislacao.nsf/Viw_Identificacao/lei%207.444-1985?OpenDocument"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1362</Words>
  <Characters>7357</Characters>
  <Application>Microsoft Office Word</Application>
  <DocSecurity>0</DocSecurity>
  <Lines>61</Lines>
  <Paragraphs>17</Paragraphs>
  <ScaleCrop>false</ScaleCrop>
  <Company/>
  <LinksUpToDate>false</LinksUpToDate>
  <CharactersWithSpaces>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13</cp:revision>
  <dcterms:created xsi:type="dcterms:W3CDTF">2019-02-22T13:11:00Z</dcterms:created>
  <dcterms:modified xsi:type="dcterms:W3CDTF">2025-02-21T15:31:00Z</dcterms:modified>
</cp:coreProperties>
</file>