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E52689" w14:textId="77777777" w:rsidR="00667C4F" w:rsidRPr="00667C4F" w:rsidRDefault="00667C4F" w:rsidP="00667C4F">
      <w:pPr>
        <w:spacing w:before="100" w:beforeAutospacing="1" w:after="100" w:afterAutospacing="1" w:line="240" w:lineRule="auto"/>
        <w:jc w:val="center"/>
        <w:rPr>
          <w:rFonts w:ascii="Book Antiqua" w:eastAsia="Times New Roman" w:hAnsi="Book Antiqua" w:cs="Times New Roman"/>
          <w:color w:val="000000"/>
          <w:lang w:eastAsia="pt-BR"/>
        </w:rPr>
      </w:pPr>
      <w:r w:rsidRPr="00667C4F">
        <w:rPr>
          <w:rFonts w:ascii="Book Antiqua" w:eastAsia="Times New Roman" w:hAnsi="Book Antiqua" w:cs="Arial"/>
          <w:b/>
          <w:bCs/>
          <w:color w:val="000080"/>
          <w:u w:val="single"/>
          <w:lang w:eastAsia="pt-BR"/>
        </w:rPr>
        <w:t>RESOLUÇÃO Nº 21.009, DE 5 DE MARÇO DE 2002.</w:t>
      </w:r>
    </w:p>
    <w:p w14:paraId="40041349" w14:textId="77777777" w:rsidR="00667C4F" w:rsidRPr="00667C4F" w:rsidRDefault="00667C4F" w:rsidP="00667C4F">
      <w:pPr>
        <w:spacing w:before="100" w:beforeAutospacing="1" w:after="100" w:afterAutospacing="1" w:line="240" w:lineRule="auto"/>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667C4F" w:rsidRPr="00667C4F" w14:paraId="0A599D14" w14:textId="77777777" w:rsidTr="00667C4F">
        <w:trPr>
          <w:tblCellSpacing w:w="0" w:type="dxa"/>
        </w:trPr>
        <w:tc>
          <w:tcPr>
            <w:tcW w:w="2500" w:type="pct"/>
            <w:shd w:val="clear" w:color="auto" w:fill="auto"/>
            <w:vAlign w:val="center"/>
            <w:hideMark/>
          </w:tcPr>
          <w:p w14:paraId="7764B63A" w14:textId="77777777" w:rsidR="00667C4F" w:rsidRPr="00667C4F" w:rsidRDefault="00667C4F" w:rsidP="00667C4F">
            <w:pPr>
              <w:spacing w:before="100" w:beforeAutospacing="1" w:after="100" w:afterAutospacing="1" w:line="240" w:lineRule="auto"/>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tc>
        <w:tc>
          <w:tcPr>
            <w:tcW w:w="2500" w:type="pct"/>
            <w:shd w:val="clear" w:color="auto" w:fill="auto"/>
            <w:vAlign w:val="center"/>
            <w:hideMark/>
          </w:tcPr>
          <w:p w14:paraId="6DAFBFAF" w14:textId="77777777" w:rsidR="00667C4F" w:rsidRPr="00667C4F" w:rsidRDefault="00667C4F" w:rsidP="00667C4F">
            <w:pPr>
              <w:spacing w:before="100" w:beforeAutospacing="1" w:after="100" w:afterAutospacing="1" w:line="240" w:lineRule="auto"/>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800000"/>
                <w:lang w:eastAsia="pt-BR"/>
              </w:rPr>
              <w:t>Estabelece normas relativas ao exercício da jurisdição eleitoral em primeiro grau.</w:t>
            </w:r>
          </w:p>
        </w:tc>
      </w:tr>
    </w:tbl>
    <w:p w14:paraId="2AEBCF86" w14:textId="77777777" w:rsidR="00667C4F" w:rsidRPr="00667C4F" w:rsidRDefault="00667C4F" w:rsidP="00667C4F">
      <w:pPr>
        <w:spacing w:before="100" w:beforeAutospacing="1" w:after="100" w:afterAutospacing="1" w:line="240" w:lineRule="auto"/>
        <w:jc w:val="right"/>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3385178E"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 xml:space="preserve">O TRIBUNAL SUPERIOR ELEITORAL, no exercício de suas atribuições e considerando a necessidade de regulamentar os critérios concernentes às designações de juízes eleitorais de primeiro grau, resolve: </w:t>
      </w:r>
    </w:p>
    <w:p w14:paraId="13E56E31"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t>Art. 1º</w:t>
      </w:r>
      <w:r w:rsidRPr="00667C4F">
        <w:rPr>
          <w:rFonts w:ascii="Book Antiqua" w:eastAsia="Times New Roman" w:hAnsi="Book Antiqua" w:cs="Arial"/>
          <w:color w:val="000000"/>
          <w:lang w:eastAsia="pt-BR"/>
        </w:rPr>
        <w:t xml:space="preserve"> A jurisdição em cada uma das zonas eleitorais em que houver mais de uma vara será exercida, pelo período de dois anos, por juiz de direito da respectiva comarca, em efetivo exercício </w:t>
      </w:r>
      <w:hyperlink r:id="rId6" w:anchor="art32" w:history="1">
        <w:r w:rsidRPr="00667C4F">
          <w:rPr>
            <w:rFonts w:ascii="Book Antiqua" w:eastAsia="Times New Roman" w:hAnsi="Book Antiqua" w:cs="Arial"/>
            <w:color w:val="0000FF"/>
            <w:u w:val="single"/>
            <w:lang w:eastAsia="pt-BR"/>
          </w:rPr>
          <w:t>(CE, art. 32)</w:t>
        </w:r>
      </w:hyperlink>
      <w:r w:rsidRPr="00667C4F">
        <w:rPr>
          <w:rFonts w:ascii="Book Antiqua" w:eastAsia="Times New Roman" w:hAnsi="Book Antiqua" w:cs="Arial"/>
          <w:color w:val="000000"/>
          <w:lang w:eastAsia="pt-BR"/>
        </w:rPr>
        <w:t>.</w:t>
      </w:r>
    </w:p>
    <w:p w14:paraId="63C10BD7"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t>Art. 2º</w:t>
      </w:r>
      <w:r w:rsidRPr="00667C4F">
        <w:rPr>
          <w:rFonts w:ascii="Book Antiqua" w:eastAsia="Times New Roman" w:hAnsi="Book Antiqua" w:cs="Arial"/>
          <w:color w:val="000000"/>
          <w:lang w:eastAsia="pt-BR"/>
        </w:rPr>
        <w:t xml:space="preserve"> Nas faltas, férias ou impedimentos do titular, a jurisdição eleitoral será exercida pelo substituto, de acordo com a tabela do Judiciário estadual.</w:t>
      </w:r>
    </w:p>
    <w:p w14:paraId="7FF0203A"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 1º Poderá o Tribunal Regional Eleitoral, declinando motivo relevante, atribuir o exercício da substituição a outro juiz de direito que não o da tabela do Judiciário estadual.</w:t>
      </w:r>
    </w:p>
    <w:p w14:paraId="3A114B34"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 2º Nas capitais, os juízes eleitorais serão substituídos uns pelos outros, mediante designação do Tribunal Regional Eleitoral.</w:t>
      </w:r>
    </w:p>
    <w:p w14:paraId="447EE6BA" w14:textId="4062E6A6" w:rsidR="00667C4F" w:rsidRDefault="00667C4F" w:rsidP="00667C4F">
      <w:pPr>
        <w:spacing w:before="100" w:beforeAutospacing="1" w:after="100" w:afterAutospacing="1" w:line="240" w:lineRule="auto"/>
        <w:ind w:firstLine="1701"/>
        <w:jc w:val="both"/>
        <w:rPr>
          <w:rFonts w:ascii="Book Antiqua" w:eastAsia="Times New Roman" w:hAnsi="Book Antiqua" w:cs="Arial"/>
          <w:color w:val="000000"/>
          <w:lang w:eastAsia="pt-BR"/>
        </w:rPr>
      </w:pPr>
      <w:bookmarkStart w:id="0" w:name="art3"/>
      <w:r w:rsidRPr="00667C4F">
        <w:rPr>
          <w:rFonts w:ascii="Book Antiqua" w:eastAsia="Times New Roman" w:hAnsi="Book Antiqua" w:cs="Arial"/>
          <w:b/>
          <w:bCs/>
          <w:color w:val="000000"/>
          <w:highlight w:val="magenta"/>
          <w:lang w:eastAsia="pt-BR"/>
        </w:rPr>
        <w:t>Art. 3</w:t>
      </w:r>
      <w:bookmarkEnd w:id="0"/>
      <w:r w:rsidRPr="00667C4F">
        <w:rPr>
          <w:rFonts w:ascii="Book Antiqua" w:eastAsia="Times New Roman" w:hAnsi="Book Antiqua" w:cs="Arial"/>
          <w:b/>
          <w:bCs/>
          <w:color w:val="000000"/>
          <w:highlight w:val="magenta"/>
          <w:lang w:eastAsia="pt-BR"/>
        </w:rPr>
        <w:t>º</w:t>
      </w:r>
      <w:r w:rsidRPr="00667C4F">
        <w:rPr>
          <w:rFonts w:ascii="Book Antiqua" w:eastAsia="Times New Roman" w:hAnsi="Book Antiqua" w:cs="Arial"/>
          <w:color w:val="000000"/>
          <w:lang w:eastAsia="pt-BR"/>
        </w:rPr>
        <w:t xml:space="preserve"> Nas comarcas com mais de uma vara, caberá ao Tribunal Regional Eleitoral designar o juiz de direito que exercerá as funções de juiz eleitoral.</w:t>
      </w:r>
    </w:p>
    <w:tbl>
      <w:tblPr>
        <w:tblStyle w:val="Tabelacomgrade"/>
        <w:tblW w:w="0" w:type="auto"/>
        <w:shd w:val="clear" w:color="auto" w:fill="CCFFFF"/>
        <w:tblLook w:val="04A0" w:firstRow="1" w:lastRow="0" w:firstColumn="1" w:lastColumn="0" w:noHBand="0" w:noVBand="1"/>
      </w:tblPr>
      <w:tblGrid>
        <w:gridCol w:w="8494"/>
      </w:tblGrid>
      <w:tr w:rsidR="00667C4F" w14:paraId="365900E7" w14:textId="77777777" w:rsidTr="00667C4F">
        <w:tc>
          <w:tcPr>
            <w:tcW w:w="8494" w:type="dxa"/>
            <w:shd w:val="clear" w:color="auto" w:fill="CCFFFF"/>
          </w:tcPr>
          <w:p w14:paraId="3700D786" w14:textId="41C07057" w:rsidR="00667C4F" w:rsidRPr="00667C4F" w:rsidRDefault="00667C4F" w:rsidP="00667C4F">
            <w:pPr>
              <w:spacing w:before="100" w:beforeAutospacing="1" w:after="100" w:afterAutospacing="1"/>
              <w:jc w:val="both"/>
              <w:rPr>
                <w:rFonts w:ascii="Book Antiqua" w:eastAsia="Times New Roman" w:hAnsi="Book Antiqua" w:cs="Times New Roman"/>
                <w:b/>
                <w:color w:val="000000"/>
                <w:lang w:eastAsia="pt-BR"/>
              </w:rPr>
            </w:pPr>
            <w:bookmarkStart w:id="1" w:name="_GoBack"/>
            <w:r>
              <w:rPr>
                <w:rFonts w:ascii="Book Antiqua" w:eastAsia="Times New Roman" w:hAnsi="Book Antiqua" w:cs="Times New Roman"/>
                <w:b/>
                <w:color w:val="000000"/>
                <w:lang w:eastAsia="pt-BR"/>
              </w:rPr>
              <w:t>(</w:t>
            </w:r>
            <w:r w:rsidRPr="00667C4F">
              <w:rPr>
                <w:rFonts w:ascii="Book Antiqua" w:eastAsia="Times New Roman" w:hAnsi="Book Antiqua" w:cs="Times New Roman"/>
                <w:b/>
                <w:color w:val="000000"/>
                <w:highlight w:val="yellow"/>
                <w:lang w:eastAsia="pt-BR"/>
              </w:rPr>
              <w:t>TJMG-2018-Consulplan</w:t>
            </w:r>
            <w:r>
              <w:rPr>
                <w:rFonts w:ascii="Book Antiqua" w:eastAsia="Times New Roman" w:hAnsi="Book Antiqua" w:cs="Times New Roman"/>
                <w:b/>
                <w:color w:val="000000"/>
                <w:lang w:eastAsia="pt-BR"/>
              </w:rPr>
              <w:t>)</w:t>
            </w:r>
            <w:r>
              <w:rPr>
                <w:rFonts w:ascii="Book Antiqua" w:eastAsia="Times New Roman" w:hAnsi="Book Antiqua" w:cs="Times New Roman"/>
                <w:color w:val="000000"/>
                <w:lang w:eastAsia="pt-BR"/>
              </w:rPr>
              <w:t xml:space="preserve">: </w:t>
            </w:r>
            <w:r w:rsidRPr="00667C4F">
              <w:rPr>
                <w:rFonts w:ascii="Book Antiqua" w:eastAsia="Times New Roman" w:hAnsi="Book Antiqua" w:cs="Times New Roman"/>
                <w:color w:val="000000"/>
                <w:lang w:eastAsia="pt-BR"/>
              </w:rPr>
              <w:t>No primeiro grau de jurisdição a Justiça Eleitoral fica a cargo do Juiz de Direito designado pelo Tribunal Regional Eleitoral (Resolução TSE 21.009/02).</w:t>
            </w:r>
            <w:r>
              <w:rPr>
                <w:rFonts w:ascii="Book Antiqua" w:eastAsia="Times New Roman" w:hAnsi="Book Antiqua" w:cs="Times New Roman"/>
                <w:color w:val="000000"/>
                <w:lang w:eastAsia="pt-BR"/>
              </w:rPr>
              <w:t xml:space="preserve"> </w:t>
            </w:r>
            <w:r>
              <w:rPr>
                <w:rFonts w:ascii="Book Antiqua" w:eastAsia="Times New Roman" w:hAnsi="Book Antiqua" w:cs="Times New Roman"/>
                <w:b/>
                <w:color w:val="000000"/>
                <w:lang w:eastAsia="pt-BR"/>
              </w:rPr>
              <w:t>BL: art. 3º da Res. 21.009/02.</w:t>
            </w:r>
          </w:p>
        </w:tc>
      </w:tr>
    </w:tbl>
    <w:bookmarkEnd w:id="1"/>
    <w:p w14:paraId="161BF554"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Arial"/>
          <w:color w:val="000000"/>
          <w:lang w:eastAsia="pt-BR"/>
        </w:rPr>
      </w:pPr>
      <w:r w:rsidRPr="00667C4F">
        <w:rPr>
          <w:rFonts w:ascii="Book Antiqua" w:eastAsia="Times New Roman" w:hAnsi="Book Antiqua" w:cs="Arial"/>
          <w:color w:val="000000"/>
          <w:lang w:eastAsia="pt-BR"/>
        </w:rPr>
        <w:t xml:space="preserve">§ 1º Na designação, será observada a antiguidade, apurada entre os juízes que não </w:t>
      </w:r>
      <w:proofErr w:type="spellStart"/>
      <w:r w:rsidRPr="00667C4F">
        <w:rPr>
          <w:rFonts w:ascii="Book Antiqua" w:eastAsia="Times New Roman" w:hAnsi="Book Antiqua" w:cs="Arial"/>
          <w:color w:val="000000"/>
          <w:lang w:eastAsia="pt-BR"/>
        </w:rPr>
        <w:t>hajam</w:t>
      </w:r>
      <w:proofErr w:type="spellEnd"/>
      <w:r w:rsidRPr="00667C4F">
        <w:rPr>
          <w:rFonts w:ascii="Book Antiqua" w:eastAsia="Times New Roman" w:hAnsi="Book Antiqua" w:cs="Arial"/>
          <w:color w:val="000000"/>
          <w:lang w:eastAsia="pt-BR"/>
        </w:rPr>
        <w:t xml:space="preserve"> exercido a titularidade de zona eleitoral, salvo impossibilidade. (redação dada pela </w:t>
      </w:r>
      <w:hyperlink r:id="rId7" w:history="1">
        <w:r w:rsidRPr="00667C4F">
          <w:rPr>
            <w:rFonts w:ascii="Book Antiqua" w:eastAsia="Times New Roman" w:hAnsi="Book Antiqua" w:cs="Arial"/>
            <w:color w:val="0000FF"/>
            <w:u w:val="single"/>
            <w:lang w:eastAsia="pt-BR"/>
          </w:rPr>
          <w:t>Resolução 22.197/2006</w:t>
        </w:r>
      </w:hyperlink>
      <w:r w:rsidRPr="00667C4F">
        <w:rPr>
          <w:rFonts w:ascii="Book Antiqua" w:eastAsia="Times New Roman" w:hAnsi="Book Antiqua" w:cs="Arial"/>
          <w:color w:val="000000"/>
          <w:lang w:eastAsia="pt-BR"/>
        </w:rPr>
        <w:t>).</w:t>
      </w:r>
    </w:p>
    <w:p w14:paraId="499F4E5D"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 2º O Tribunal poderá, excepcionalmente, pelo voto de cinco (5) dos seus membros, afastar o critério indicado no parágrafo anterior (§ 1º) por conveniência objetiva do serviço eleitoral e no interesse da administração judiciária. Nesse caso, o critério para a escolha será o merecimento do magistrado, aferido pela operosidade e eficiência no exercício das jurisdições eleitoral e comum, segundo dados colhidos pelos tribunais regionais eleitorais e pelos tribunais de justiça dos respectivos estados.</w:t>
      </w:r>
    </w:p>
    <w:p w14:paraId="7F8E1E1F"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 3º A designação do juiz eleitoral, salvo nas comarcas de uma só vara, dependerá de inscrição do interessado no respectivo Tribunal Regional.</w:t>
      </w:r>
    </w:p>
    <w:p w14:paraId="0A269163"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Arial"/>
          <w:color w:val="000000"/>
          <w:lang w:eastAsia="pt-BR"/>
        </w:rPr>
      </w:pPr>
      <w:r w:rsidRPr="00667C4F">
        <w:rPr>
          <w:rFonts w:ascii="Book Antiqua" w:eastAsia="Times New Roman" w:hAnsi="Book Antiqua" w:cs="Arial"/>
          <w:color w:val="000000"/>
          <w:lang w:eastAsia="pt-BR"/>
        </w:rPr>
        <w:t xml:space="preserve">Art. 3º-A Os tribunais regionais eleitorais terão o prazo de 30 (trinta) dias para promoverem as designações de magistrados titulares para o exercício das funções nas zonas eleitorais vagas, contados da data em que se verificar a vacância, salvo impossibilidade devidamente justificada. </w:t>
      </w:r>
      <w:hyperlink r:id="rId8" w:history="1">
        <w:r w:rsidRPr="00667C4F">
          <w:rPr>
            <w:rFonts w:ascii="Book Antiqua" w:eastAsia="Times New Roman" w:hAnsi="Book Antiqua" w:cs="Arial"/>
            <w:color w:val="0000FF"/>
            <w:u w:val="single"/>
            <w:lang w:eastAsia="pt-BR"/>
          </w:rPr>
          <w:t>(Incluído pela Resolução nº 23.449/2015)</w:t>
        </w:r>
      </w:hyperlink>
    </w:p>
    <w:p w14:paraId="04A43BD7"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lastRenderedPageBreak/>
        <w:t>Art. 4º</w:t>
      </w:r>
      <w:r w:rsidRPr="00667C4F">
        <w:rPr>
          <w:rFonts w:ascii="Book Antiqua" w:eastAsia="Times New Roman" w:hAnsi="Book Antiqua" w:cs="Arial"/>
          <w:color w:val="000000"/>
          <w:lang w:eastAsia="pt-BR"/>
        </w:rPr>
        <w:t xml:space="preserve"> O juiz eleitoral, ao assumir a jurisdição, comunicará ao Tribunal Regional Eleitoral o termo inicial, para os devidos fins. E os tribunais regionais eleitorais deverão comunicar ao Tribunal Superior Eleitoral as designações e reconduções dos juízes eleitorais, informando as datas de início e fim do biênio.</w:t>
      </w:r>
    </w:p>
    <w:p w14:paraId="2B98556A"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t>Art. 5º</w:t>
      </w:r>
      <w:r w:rsidRPr="00667C4F">
        <w:rPr>
          <w:rFonts w:ascii="Book Antiqua" w:eastAsia="Times New Roman" w:hAnsi="Book Antiqua" w:cs="Arial"/>
          <w:color w:val="000000"/>
          <w:lang w:eastAsia="pt-BR"/>
        </w:rPr>
        <w:t xml:space="preserve"> Não poderá servir como juiz eleitoral o cônjuge, parente </w:t>
      </w:r>
      <w:proofErr w:type="spellStart"/>
      <w:r w:rsidRPr="00667C4F">
        <w:rPr>
          <w:rFonts w:ascii="Book Antiqua" w:eastAsia="Times New Roman" w:hAnsi="Book Antiqua" w:cs="Arial"/>
          <w:color w:val="000000"/>
          <w:lang w:eastAsia="pt-BR"/>
        </w:rPr>
        <w:t>consangüíneo</w:t>
      </w:r>
      <w:proofErr w:type="spellEnd"/>
      <w:r w:rsidRPr="00667C4F">
        <w:rPr>
          <w:rFonts w:ascii="Book Antiqua" w:eastAsia="Times New Roman" w:hAnsi="Book Antiqua" w:cs="Arial"/>
          <w:color w:val="000000"/>
          <w:lang w:eastAsia="pt-BR"/>
        </w:rPr>
        <w:t xml:space="preserve"> ou afim, até o segundo grau, de candidato a cargo eletivo registrado na circunscrição, durante o período entre o registro de candidaturas até apuração final da eleição </w:t>
      </w:r>
      <w:hyperlink r:id="rId9" w:anchor="art14" w:history="1">
        <w:r w:rsidRPr="00667C4F">
          <w:rPr>
            <w:rFonts w:ascii="Book Antiqua" w:eastAsia="Times New Roman" w:hAnsi="Book Antiqua" w:cs="Arial"/>
            <w:color w:val="0000FF"/>
            <w:u w:val="single"/>
            <w:lang w:eastAsia="pt-BR"/>
          </w:rPr>
          <w:t>(CE, art. 14, § 3º)</w:t>
        </w:r>
      </w:hyperlink>
      <w:r w:rsidRPr="00667C4F">
        <w:rPr>
          <w:rFonts w:ascii="Book Antiqua" w:eastAsia="Times New Roman" w:hAnsi="Book Antiqua" w:cs="Arial"/>
          <w:color w:val="000000"/>
          <w:lang w:eastAsia="pt-BR"/>
        </w:rPr>
        <w:t>.</w:t>
      </w:r>
    </w:p>
    <w:p w14:paraId="0E1180BA"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t>Art. 6º</w:t>
      </w:r>
      <w:r w:rsidRPr="00667C4F">
        <w:rPr>
          <w:rFonts w:ascii="Book Antiqua" w:eastAsia="Times New Roman" w:hAnsi="Book Antiqua" w:cs="Arial"/>
          <w:color w:val="000000"/>
          <w:lang w:eastAsia="pt-BR"/>
        </w:rPr>
        <w:t xml:space="preserve"> Não se farão alterações na jurisdição eleitoral, prorrogando-se automaticamente o exercício do titular, entre três (3) meses antes e dois (2) meses após as eleições. </w:t>
      </w:r>
    </w:p>
    <w:p w14:paraId="50842268"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t xml:space="preserve">Art. 7º </w:t>
      </w:r>
      <w:r w:rsidRPr="00667C4F">
        <w:rPr>
          <w:rFonts w:ascii="Book Antiqua" w:eastAsia="Times New Roman" w:hAnsi="Book Antiqua" w:cs="Arial"/>
          <w:color w:val="000000"/>
          <w:lang w:eastAsia="pt-BR"/>
        </w:rPr>
        <w:t>Havendo mais de uma vara na comarca e estando a titularidade da zona ocupada há mais de dois (2) anos pelo mesmo juiz, o Tribunal Regional Eleitoral providenciará a designação e posse do novo titular.</w:t>
      </w:r>
    </w:p>
    <w:p w14:paraId="7828CA84"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b/>
          <w:bCs/>
          <w:color w:val="000000"/>
          <w:lang w:eastAsia="pt-BR"/>
        </w:rPr>
        <w:t>Art. 8º</w:t>
      </w:r>
      <w:r w:rsidRPr="00667C4F">
        <w:rPr>
          <w:rFonts w:ascii="Book Antiqua" w:eastAsia="Times New Roman" w:hAnsi="Book Antiqua" w:cs="Arial"/>
          <w:color w:val="000000"/>
          <w:lang w:eastAsia="pt-BR"/>
        </w:rPr>
        <w:t xml:space="preserve"> Esta resolução entra em vigor na data de sua publicação, revogadas as disposições em contrário.</w:t>
      </w:r>
    </w:p>
    <w:p w14:paraId="4FEE28E2"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Sala de Sessões do Tribunal Superior Eleitoral.</w:t>
      </w:r>
    </w:p>
    <w:p w14:paraId="7EA3348C"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5623E5E1"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Brasília, 5 de março de 2002.</w:t>
      </w:r>
    </w:p>
    <w:p w14:paraId="3A36CEDE"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63AAE43A"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Ministro NELSON JOBIM, presidente</w:t>
      </w:r>
    </w:p>
    <w:p w14:paraId="2E026D26"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2E2209BF"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Ministro SÁLVIO DE FIGUEIREDO TEIXEIRA, relator</w:t>
      </w:r>
    </w:p>
    <w:p w14:paraId="6ADCAE0A"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2F0DA4AE"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Ministro SEPÚLVEDA PERTENCE</w:t>
      </w:r>
    </w:p>
    <w:p w14:paraId="3973622E"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1A8A56AE"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Ministra ELLEN GRACIE</w:t>
      </w:r>
    </w:p>
    <w:p w14:paraId="482C0E21"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5D26D550"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Ministro GARCIA VIEIRA</w:t>
      </w:r>
    </w:p>
    <w:p w14:paraId="35D24949"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5F524C96"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t>Ministro LUIZ CARLOS MADEIRA</w:t>
      </w:r>
    </w:p>
    <w:p w14:paraId="7350F2E0"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03827A28"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Arial"/>
          <w:color w:val="000000"/>
          <w:lang w:eastAsia="pt-BR"/>
        </w:rPr>
        <w:lastRenderedPageBreak/>
        <w:t>Ministro CAPUTO BASTOS</w:t>
      </w:r>
    </w:p>
    <w:p w14:paraId="3F9510E5" w14:textId="77777777" w:rsidR="00667C4F" w:rsidRPr="00667C4F" w:rsidRDefault="00667C4F" w:rsidP="00667C4F">
      <w:pPr>
        <w:spacing w:before="100" w:beforeAutospacing="1" w:after="100" w:afterAutospacing="1" w:line="240" w:lineRule="auto"/>
        <w:ind w:firstLine="1701"/>
        <w:jc w:val="both"/>
        <w:rPr>
          <w:rFonts w:ascii="Book Antiqua" w:eastAsia="Times New Roman" w:hAnsi="Book Antiqua" w:cs="Times New Roman"/>
          <w:color w:val="000000"/>
          <w:lang w:eastAsia="pt-BR"/>
        </w:rPr>
      </w:pPr>
      <w:r w:rsidRPr="00667C4F">
        <w:rPr>
          <w:rFonts w:ascii="Book Antiqua" w:eastAsia="Times New Roman" w:hAnsi="Book Antiqua" w:cs="Times New Roman"/>
          <w:color w:val="000000"/>
          <w:lang w:eastAsia="pt-BR"/>
        </w:rPr>
        <w:t> </w:t>
      </w:r>
    </w:p>
    <w:p w14:paraId="54B5FC27" w14:textId="77777777" w:rsidR="00667C4F" w:rsidRPr="00667C4F" w:rsidRDefault="00667C4F" w:rsidP="00667C4F">
      <w:pPr>
        <w:spacing w:before="100" w:beforeAutospacing="1" w:after="100" w:afterAutospacing="1" w:line="240" w:lineRule="auto"/>
        <w:rPr>
          <w:rFonts w:ascii="Book Antiqua" w:eastAsia="Times New Roman" w:hAnsi="Book Antiqua" w:cs="Times New Roman"/>
          <w:color w:val="000000"/>
          <w:lang w:eastAsia="pt-BR"/>
        </w:rPr>
      </w:pPr>
      <w:r w:rsidRPr="00667C4F">
        <w:rPr>
          <w:rFonts w:ascii="Book Antiqua" w:eastAsia="Times New Roman" w:hAnsi="Book Antiqua" w:cs="Arial"/>
          <w:color w:val="FF0000"/>
          <w:lang w:eastAsia="pt-BR"/>
        </w:rPr>
        <w:t xml:space="preserve">Este texto não substitui o publicado no </w:t>
      </w:r>
      <w:hyperlink r:id="rId10" w:history="1">
        <w:r w:rsidRPr="00667C4F">
          <w:rPr>
            <w:rFonts w:ascii="Book Antiqua" w:eastAsia="Times New Roman" w:hAnsi="Book Antiqua" w:cs="Arial"/>
            <w:color w:val="0000FF"/>
            <w:u w:val="single"/>
            <w:lang w:eastAsia="pt-BR"/>
          </w:rPr>
          <w:t>DJ - Diário da Justiça, Seção 1, nº 50, de 15.3.2002, p.182.</w:t>
        </w:r>
      </w:hyperlink>
    </w:p>
    <w:p w14:paraId="1709CC6C" w14:textId="77777777" w:rsidR="001070FE" w:rsidRPr="00667C4F" w:rsidRDefault="001070FE" w:rsidP="00667C4F">
      <w:pPr>
        <w:spacing w:before="100" w:beforeAutospacing="1" w:after="100" w:afterAutospacing="1" w:line="240" w:lineRule="auto"/>
        <w:jc w:val="both"/>
        <w:rPr>
          <w:rFonts w:ascii="Book Antiqua" w:hAnsi="Book Antiqua"/>
        </w:rPr>
      </w:pPr>
    </w:p>
    <w:sectPr w:rsidR="001070FE" w:rsidRPr="00667C4F" w:rsidSect="00667C4F">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868F10" w14:textId="77777777" w:rsidR="004778B6" w:rsidRDefault="004778B6" w:rsidP="00667C4F">
      <w:pPr>
        <w:spacing w:after="0" w:line="240" w:lineRule="auto"/>
      </w:pPr>
      <w:r>
        <w:separator/>
      </w:r>
    </w:p>
  </w:endnote>
  <w:endnote w:type="continuationSeparator" w:id="0">
    <w:p w14:paraId="760062C8" w14:textId="77777777" w:rsidR="004778B6" w:rsidRDefault="004778B6" w:rsidP="00667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C0654" w14:textId="77777777" w:rsidR="004778B6" w:rsidRDefault="004778B6" w:rsidP="00667C4F">
      <w:pPr>
        <w:spacing w:after="0" w:line="240" w:lineRule="auto"/>
      </w:pPr>
      <w:r>
        <w:separator/>
      </w:r>
    </w:p>
  </w:footnote>
  <w:footnote w:type="continuationSeparator" w:id="0">
    <w:p w14:paraId="4230C3F8" w14:textId="77777777" w:rsidR="004778B6" w:rsidRDefault="004778B6" w:rsidP="00667C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708"/>
    <w:rsid w:val="001070FE"/>
    <w:rsid w:val="004778B6"/>
    <w:rsid w:val="00667C4F"/>
    <w:rsid w:val="00F347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165D7"/>
  <w15:chartTrackingRefBased/>
  <w15:docId w15:val="{018D2BE5-32E8-4C7A-BF4F-E70B1004B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67C4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7C4F"/>
  </w:style>
  <w:style w:type="paragraph" w:styleId="Rodap">
    <w:name w:val="footer"/>
    <w:basedOn w:val="Normal"/>
    <w:link w:val="RodapChar"/>
    <w:uiPriority w:val="99"/>
    <w:unhideWhenUsed/>
    <w:rsid w:val="00667C4F"/>
    <w:pPr>
      <w:tabs>
        <w:tab w:val="center" w:pos="4252"/>
        <w:tab w:val="right" w:pos="8504"/>
      </w:tabs>
      <w:spacing w:after="0" w:line="240" w:lineRule="auto"/>
    </w:pPr>
  </w:style>
  <w:style w:type="character" w:customStyle="1" w:styleId="RodapChar">
    <w:name w:val="Rodapé Char"/>
    <w:basedOn w:val="Fontepargpadro"/>
    <w:link w:val="Rodap"/>
    <w:uiPriority w:val="99"/>
    <w:rsid w:val="00667C4F"/>
  </w:style>
  <w:style w:type="table" w:styleId="Tabelacomgrade">
    <w:name w:val="Table Grid"/>
    <w:basedOn w:val="Tabelanormal"/>
    <w:uiPriority w:val="39"/>
    <w:rsid w:val="0066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316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se.jus.br/legislacao-tse/res/2015/RES234492015.htm" TargetMode="External"/><Relationship Id="rId3" Type="http://schemas.openxmlformats.org/officeDocument/2006/relationships/webSettings" Target="webSettings.xml"/><Relationship Id="rId7" Type="http://schemas.openxmlformats.org/officeDocument/2006/relationships/hyperlink" Target="http://www.tse.jus.br/legislacao-tse/res/2006/RES221972006.ht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l4737.ht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tse.jus.br/legislacao-tse/res/2002/PO-RES210092002.pdf" TargetMode="External"/><Relationship Id="rId4" Type="http://schemas.openxmlformats.org/officeDocument/2006/relationships/footnotes" Target="footnotes.xml"/><Relationship Id="rId9" Type="http://schemas.openxmlformats.org/officeDocument/2006/relationships/hyperlink" Target="http://www.planalto.gov.br/ccivil_03/leis/l473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688</Words>
  <Characters>3718</Characters>
  <Application>Microsoft Office Word</Application>
  <DocSecurity>0</DocSecurity>
  <Lines>30</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2018-10-22T17:06:00Z</dcterms:created>
  <dcterms:modified xsi:type="dcterms:W3CDTF">2018-10-22T17:10:00Z</dcterms:modified>
</cp:coreProperties>
</file>