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6DE7E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5A2378">
        <w:rPr>
          <w:rFonts w:ascii="Book Antiqua" w:hAnsi="Book Antiqua"/>
          <w:b/>
          <w:bCs/>
          <w:sz w:val="19"/>
          <w:szCs w:val="19"/>
        </w:rPr>
        <w:t>RESOLUÇÃO Nº 23.478, DE 10 DE MAIO DE 2016.</w:t>
      </w:r>
    </w:p>
    <w:p w14:paraId="76625C24" w14:textId="77777777" w:rsidR="005A2378" w:rsidRPr="005A2378" w:rsidRDefault="005A2378" w:rsidP="005A2378">
      <w:pPr>
        <w:spacing w:before="100" w:beforeAutospacing="1" w:after="100" w:afterAutospacing="1" w:line="240" w:lineRule="auto"/>
        <w:ind w:left="212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Estabelece diretrizes gerais para a aplicação da Lei nº 13.105, de 16 de março de 2015 - Novo Código de Processo Civil -, no âmbito da Justiça Eleitoral.</w:t>
      </w:r>
    </w:p>
    <w:p w14:paraId="3C2D7D99" w14:textId="77777777" w:rsidR="005A2378" w:rsidRDefault="005A2378" w:rsidP="005A2378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3675BF26" w14:textId="192F0708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O Tribunal Superior Eleitoral, no uso das atribuições que lhe confere o </w:t>
      </w:r>
      <w:hyperlink r:id="rId4" w:anchor="art23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23, inciso IX, do Código Eleitoral </w:t>
        </w:r>
      </w:hyperlink>
      <w:r w:rsidRPr="005A2378">
        <w:rPr>
          <w:rFonts w:ascii="Book Antiqua" w:hAnsi="Book Antiqua"/>
          <w:sz w:val="19"/>
          <w:szCs w:val="19"/>
        </w:rPr>
        <w:t>, considerando a necessidade de disciplinar a aplicabilidade da </w:t>
      </w:r>
      <w:hyperlink r:id="rId5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Lei nº 13.105/2015 </w:t>
        </w:r>
      </w:hyperlink>
      <w:r w:rsidRPr="005A2378">
        <w:rPr>
          <w:rFonts w:ascii="Book Antiqua" w:hAnsi="Book Antiqua"/>
          <w:sz w:val="19"/>
          <w:szCs w:val="19"/>
        </w:rPr>
        <w:t>, no âmbito da Justiça Eleitoral, resolve expedir a seguinte resolução:</w:t>
      </w:r>
    </w:p>
    <w:p w14:paraId="5E32E833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CAPÍTULO I</w:t>
      </w:r>
    </w:p>
    <w:p w14:paraId="6202CCBC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DISPOSIÇÕES GERAIS</w:t>
      </w:r>
    </w:p>
    <w:p w14:paraId="20752AD4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1º A presente resolução dispõe sobre a aplicabilidade, no âmbito da Justiça Eleitoral, do </w:t>
      </w:r>
      <w:hyperlink r:id="rId6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Novo Código de Processo Civil - Lei nº 13.105 </w:t>
        </w:r>
      </w:hyperlink>
      <w:r w:rsidRPr="005A2378">
        <w:rPr>
          <w:rFonts w:ascii="Book Antiqua" w:hAnsi="Book Antiqua"/>
          <w:sz w:val="19"/>
          <w:szCs w:val="19"/>
        </w:rPr>
        <w:t>, de 16 de março de 2015 , que entrou em vigor no dia 18 de março de 2016.</w:t>
      </w:r>
    </w:p>
    <w:p w14:paraId="49F8DB62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Parágrafo único. As disposições contidas nesta Resolução não impedem que outras sejam estipuladas a partir da verificação de sua necessidade.</w:t>
      </w:r>
    </w:p>
    <w:p w14:paraId="6B052CAB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bookmarkStart w:id="0" w:name="art2"/>
      <w:bookmarkEnd w:id="0"/>
      <w:r w:rsidRPr="005A2378">
        <w:rPr>
          <w:rFonts w:ascii="Book Antiqua" w:hAnsi="Book Antiqua"/>
          <w:sz w:val="19"/>
          <w:szCs w:val="19"/>
        </w:rPr>
        <w:t>Art. 2º Em razão da especialidade da matéria, as ações, os procedimentos e os recursos eleitorais permanecem regidos pelas normas específicas previstas na legislação eleitoral e nas instruções do Tribunal Superior Eleitoral.</w:t>
      </w:r>
    </w:p>
    <w:p w14:paraId="408F95CE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Parágrafo único. A aplicação das regras do Novo Código de Processo Civil tem caráter supletivo e subsidiário em relação aos feitos que tramitam na Justiça Eleitoral, desde que haja compatibilidade sistêmica.</w:t>
      </w:r>
    </w:p>
    <w:p w14:paraId="5F72D913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3º Aplicam-se aos processos eleitorais o contido nos </w:t>
      </w:r>
      <w:proofErr w:type="spellStart"/>
      <w:r w:rsidRPr="005A2378">
        <w:rPr>
          <w:rFonts w:ascii="Book Antiqua" w:hAnsi="Book Antiqua"/>
          <w:sz w:val="19"/>
          <w:szCs w:val="19"/>
        </w:rPr>
        <w:fldChar w:fldCharType="begin"/>
      </w:r>
      <w:r w:rsidRPr="005A2378">
        <w:rPr>
          <w:rFonts w:ascii="Book Antiqua" w:hAnsi="Book Antiqua"/>
          <w:sz w:val="19"/>
          <w:szCs w:val="19"/>
        </w:rPr>
        <w:instrText>HYPERLINK "http://www.planalto.gov.br/ccivil_03/_ato2015-2018/2015/lei/l13105.htm" \l "art9"</w:instrText>
      </w:r>
      <w:r w:rsidRPr="005A2378">
        <w:rPr>
          <w:rFonts w:ascii="Book Antiqua" w:hAnsi="Book Antiqua"/>
          <w:sz w:val="19"/>
          <w:szCs w:val="19"/>
        </w:rPr>
      </w:r>
      <w:r w:rsidRPr="005A2378">
        <w:rPr>
          <w:rFonts w:ascii="Book Antiqua" w:hAnsi="Book Antiqua"/>
          <w:sz w:val="19"/>
          <w:szCs w:val="19"/>
        </w:rPr>
        <w:fldChar w:fldCharType="separate"/>
      </w:r>
      <w:r w:rsidRPr="005A2378">
        <w:rPr>
          <w:rStyle w:val="Hyperlink"/>
          <w:rFonts w:ascii="Book Antiqua" w:hAnsi="Book Antiqua"/>
          <w:sz w:val="19"/>
          <w:szCs w:val="19"/>
        </w:rPr>
        <w:t>arts</w:t>
      </w:r>
      <w:proofErr w:type="spellEnd"/>
      <w:r w:rsidRPr="005A2378">
        <w:rPr>
          <w:rStyle w:val="Hyperlink"/>
          <w:rFonts w:ascii="Book Antiqua" w:hAnsi="Book Antiqua"/>
          <w:sz w:val="19"/>
          <w:szCs w:val="19"/>
        </w:rPr>
        <w:t>. 9º </w:t>
      </w:r>
      <w:r w:rsidRPr="005A2378">
        <w:rPr>
          <w:rFonts w:ascii="Book Antiqua" w:hAnsi="Book Antiqua"/>
          <w:sz w:val="19"/>
          <w:szCs w:val="19"/>
        </w:rPr>
        <w:fldChar w:fldCharType="end"/>
      </w:r>
      <w:r w:rsidRPr="005A2378">
        <w:rPr>
          <w:rFonts w:ascii="Book Antiqua" w:hAnsi="Book Antiqua"/>
          <w:sz w:val="19"/>
          <w:szCs w:val="19"/>
        </w:rPr>
        <w:t>e </w:t>
      </w:r>
      <w:hyperlink r:id="rId7" w:anchor="art10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10 do Novo Código de Processo Civil </w:t>
        </w:r>
      </w:hyperlink>
      <w:hyperlink r:id="rId8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(Lei nº 13.105/2015) </w:t>
        </w:r>
      </w:hyperlink>
      <w:r w:rsidRPr="005A2378">
        <w:rPr>
          <w:rFonts w:ascii="Book Antiqua" w:hAnsi="Book Antiqua"/>
          <w:sz w:val="19"/>
          <w:szCs w:val="19"/>
        </w:rPr>
        <w:t>.</w:t>
      </w:r>
    </w:p>
    <w:p w14:paraId="53FE948E" w14:textId="5605F645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bookmarkStart w:id="1" w:name="art4"/>
      <w:bookmarkEnd w:id="1"/>
      <w:r w:rsidRPr="005A2378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5A2378">
        <w:rPr>
          <w:rFonts w:ascii="Book Antiqua" w:hAnsi="Book Antiqua"/>
          <w:b/>
          <w:bCs/>
          <w:sz w:val="19"/>
          <w:szCs w:val="19"/>
        </w:rPr>
        <w:t xml:space="preserve"> Os feitos eleitorais são gratuitos, não incidindo custas, preparo ou honorários</w:t>
      </w:r>
      <w:r w:rsidRPr="005A2378">
        <w:rPr>
          <w:rFonts w:ascii="Book Antiqua" w:hAnsi="Book Antiqua"/>
          <w:sz w:val="19"/>
          <w:szCs w:val="19"/>
        </w:rPr>
        <w:t> </w:t>
      </w:r>
      <w:hyperlink r:id="rId9" w:anchor="art1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(Lei nº 9.265/96, art. 1º) </w:t>
        </w:r>
      </w:hyperlink>
      <w:r w:rsidRPr="005A2378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(TJDFT-2023)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2378" w14:paraId="2DE5DAA4" w14:textId="77777777" w:rsidTr="005A2378">
        <w:tc>
          <w:tcPr>
            <w:tcW w:w="8494" w:type="dxa"/>
            <w:shd w:val="clear" w:color="auto" w:fill="CCFFFF"/>
          </w:tcPr>
          <w:p w14:paraId="5AD16393" w14:textId="48D7A2C4" w:rsidR="005A2378" w:rsidRDefault="005A2378" w:rsidP="005A2378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#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2E26F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TSE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DFT-2023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proofErr w:type="gramStart"/>
            <w:r w:rsidRPr="00D33180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:</w:t>
            </w:r>
            <w:r w:rsidRPr="005A2378"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5A2378">
              <w:rPr>
                <w:rFonts w:ascii="Book Antiqua" w:hAnsi="Book Antiqua"/>
                <w:sz w:val="19"/>
                <w:szCs w:val="19"/>
              </w:rPr>
              <w:t>“</w:t>
            </w:r>
            <w:proofErr w:type="gramEnd"/>
            <w:r w:rsidRPr="005A2378">
              <w:rPr>
                <w:rFonts w:ascii="Book Antiqua" w:hAnsi="Book Antiqua"/>
                <w:sz w:val="19"/>
                <w:szCs w:val="19"/>
              </w:rPr>
              <w:t xml:space="preserve">[...] 1. No processo eleitoral não há falar em gratuidade de justiça, porquanto não há custas processuais e tampouco condenação em honorários advocatícios em razão de sucumbência. [...]" (Ac. de 12.5.2015 no </w:t>
            </w:r>
            <w:proofErr w:type="spellStart"/>
            <w:r w:rsidRPr="005A2378">
              <w:rPr>
                <w:rFonts w:ascii="Book Antiqua" w:hAnsi="Book Antiqua"/>
                <w:sz w:val="19"/>
                <w:szCs w:val="19"/>
              </w:rPr>
              <w:t>AgR-AI</w:t>
            </w:r>
            <w:proofErr w:type="spellEnd"/>
            <w:r w:rsidRPr="005A2378">
              <w:rPr>
                <w:rFonts w:ascii="Book Antiqua" w:hAnsi="Book Antiqua"/>
                <w:sz w:val="19"/>
                <w:szCs w:val="19"/>
              </w:rPr>
              <w:t xml:space="preserve"> nº 148675, rel. Min. Luciana </w:t>
            </w:r>
            <w:proofErr w:type="spellStart"/>
            <w:r w:rsidRPr="005A2378">
              <w:rPr>
                <w:rFonts w:ascii="Book Antiqua" w:hAnsi="Book Antiqua"/>
                <w:sz w:val="19"/>
                <w:szCs w:val="19"/>
              </w:rPr>
              <w:t>Lóssio</w:t>
            </w:r>
            <w:proofErr w:type="spellEnd"/>
            <w:r w:rsidRPr="005A2378">
              <w:rPr>
                <w:rFonts w:ascii="Book Antiqua" w:hAnsi="Book Antiqua"/>
                <w:sz w:val="19"/>
                <w:szCs w:val="19"/>
              </w:rPr>
              <w:t>.)</w:t>
            </w:r>
          </w:p>
        </w:tc>
      </w:tr>
    </w:tbl>
    <w:p w14:paraId="6895DF94" w14:textId="7EAC3EB9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 xml:space="preserve">Art. 5º Não se aplica aos feitos eleitorais o instituto do Amicus </w:t>
      </w:r>
      <w:proofErr w:type="spellStart"/>
      <w:r w:rsidRPr="005A2378">
        <w:rPr>
          <w:rFonts w:ascii="Book Antiqua" w:hAnsi="Book Antiqua"/>
          <w:sz w:val="19"/>
          <w:szCs w:val="19"/>
        </w:rPr>
        <w:t>Curiae</w:t>
      </w:r>
      <w:proofErr w:type="spellEnd"/>
      <w:r w:rsidRPr="005A2378">
        <w:rPr>
          <w:rFonts w:ascii="Book Antiqua" w:hAnsi="Book Antiqua"/>
          <w:sz w:val="19"/>
          <w:szCs w:val="19"/>
        </w:rPr>
        <w:t xml:space="preserve"> de que trata o </w:t>
      </w:r>
      <w:hyperlink r:id="rId10" w:anchor="art138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138 da Lei nº 13.105 </w:t>
        </w:r>
      </w:hyperlink>
      <w:r w:rsidRPr="005A2378">
        <w:rPr>
          <w:rFonts w:ascii="Book Antiqua" w:hAnsi="Book Antiqua"/>
          <w:sz w:val="19"/>
          <w:szCs w:val="19"/>
        </w:rPr>
        <w:t>, de 2015.</w:t>
      </w:r>
    </w:p>
    <w:p w14:paraId="58AF225B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6º Não se aplicam aos feitos eleitorais as regras relativas à conciliação ou mediação previstas nos </w:t>
      </w:r>
      <w:proofErr w:type="spellStart"/>
      <w:r w:rsidRPr="005A2378">
        <w:rPr>
          <w:rFonts w:ascii="Book Antiqua" w:hAnsi="Book Antiqua"/>
          <w:sz w:val="19"/>
          <w:szCs w:val="19"/>
        </w:rPr>
        <w:fldChar w:fldCharType="begin"/>
      </w:r>
      <w:r w:rsidRPr="005A2378">
        <w:rPr>
          <w:rFonts w:ascii="Book Antiqua" w:hAnsi="Book Antiqua"/>
          <w:sz w:val="19"/>
          <w:szCs w:val="19"/>
        </w:rPr>
        <w:instrText>HYPERLINK "http://www.planalto.gov.br/ccivil_03/_ato2015-2018/2015/lei/l13105.htm" \l "art165"</w:instrText>
      </w:r>
      <w:r w:rsidRPr="005A2378">
        <w:rPr>
          <w:rFonts w:ascii="Book Antiqua" w:hAnsi="Book Antiqua"/>
          <w:sz w:val="19"/>
          <w:szCs w:val="19"/>
        </w:rPr>
      </w:r>
      <w:r w:rsidRPr="005A2378">
        <w:rPr>
          <w:rFonts w:ascii="Book Antiqua" w:hAnsi="Book Antiqua"/>
          <w:sz w:val="19"/>
          <w:szCs w:val="19"/>
        </w:rPr>
        <w:fldChar w:fldCharType="separate"/>
      </w:r>
      <w:r w:rsidRPr="005A2378">
        <w:rPr>
          <w:rStyle w:val="Hyperlink"/>
          <w:rFonts w:ascii="Book Antiqua" w:hAnsi="Book Antiqua"/>
          <w:sz w:val="19"/>
          <w:szCs w:val="19"/>
        </w:rPr>
        <w:t>arts</w:t>
      </w:r>
      <w:proofErr w:type="spellEnd"/>
      <w:r w:rsidRPr="005A2378">
        <w:rPr>
          <w:rStyle w:val="Hyperlink"/>
          <w:rFonts w:ascii="Book Antiqua" w:hAnsi="Book Antiqua"/>
          <w:sz w:val="19"/>
          <w:szCs w:val="19"/>
        </w:rPr>
        <w:t>. 165 </w:t>
      </w:r>
      <w:r w:rsidRPr="005A2378">
        <w:rPr>
          <w:rFonts w:ascii="Book Antiqua" w:hAnsi="Book Antiqua"/>
          <w:sz w:val="19"/>
          <w:szCs w:val="19"/>
        </w:rPr>
        <w:fldChar w:fldCharType="end"/>
      </w:r>
      <w:r w:rsidRPr="005A2378">
        <w:rPr>
          <w:rFonts w:ascii="Book Antiqua" w:hAnsi="Book Antiqua"/>
          <w:sz w:val="19"/>
          <w:szCs w:val="19"/>
        </w:rPr>
        <w:t>e seguintes do Novo Código de Processo Civil.</w:t>
      </w:r>
    </w:p>
    <w:p w14:paraId="51C5E4FC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CAPÍTULO II</w:t>
      </w:r>
    </w:p>
    <w:p w14:paraId="2FEE6EEA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DOS PRAZOS</w:t>
      </w:r>
    </w:p>
    <w:p w14:paraId="6921D8E7" w14:textId="3FA25556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bookmarkStart w:id="2" w:name="art7"/>
      <w:bookmarkEnd w:id="2"/>
      <w:r w:rsidRPr="005A2378">
        <w:rPr>
          <w:rFonts w:ascii="Book Antiqua" w:hAnsi="Book Antiqua"/>
          <w:b/>
          <w:bCs/>
          <w:sz w:val="19"/>
          <w:szCs w:val="19"/>
          <w:highlight w:val="magenta"/>
        </w:rPr>
        <w:t>Art. 7º</w:t>
      </w:r>
      <w:r w:rsidRPr="005A2378">
        <w:rPr>
          <w:rFonts w:ascii="Book Antiqua" w:hAnsi="Book Antiqua"/>
          <w:b/>
          <w:bCs/>
          <w:sz w:val="19"/>
          <w:szCs w:val="19"/>
        </w:rPr>
        <w:t xml:space="preserve"> O disposto no </w:t>
      </w:r>
      <w:hyperlink r:id="rId11" w:anchor="art219" w:history="1">
        <w:r w:rsidRPr="005A2378">
          <w:rPr>
            <w:rStyle w:val="Hyperlink"/>
            <w:rFonts w:ascii="Book Antiqua" w:hAnsi="Book Antiqua"/>
            <w:b/>
            <w:bCs/>
            <w:sz w:val="19"/>
            <w:szCs w:val="19"/>
          </w:rPr>
          <w:t>art. 219 do Novo Código de Processo Civil </w:t>
        </w:r>
      </w:hyperlink>
      <w:r w:rsidRPr="005A2378">
        <w:rPr>
          <w:rFonts w:ascii="Book Antiqua" w:hAnsi="Book Antiqua"/>
          <w:b/>
          <w:bCs/>
          <w:sz w:val="19"/>
          <w:szCs w:val="19"/>
        </w:rPr>
        <w:t>não se aplica aos feitos eleitorais</w:t>
      </w:r>
      <w:r w:rsidRPr="005A2378">
        <w:rPr>
          <w:rFonts w:ascii="Book Antiqua" w:hAnsi="Book Antiqua"/>
          <w:sz w:val="19"/>
          <w:szCs w:val="19"/>
        </w:rPr>
        <w:t>.</w:t>
      </w:r>
      <w:r w:rsidR="00C15A57">
        <w:rPr>
          <w:rFonts w:ascii="Book Antiqua" w:hAnsi="Book Antiqua"/>
          <w:sz w:val="19"/>
          <w:szCs w:val="19"/>
        </w:rPr>
        <w:t xml:space="preserve"> </w:t>
      </w:r>
      <w:r w:rsidR="00C15A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(MPAC-2022)</w:t>
      </w:r>
      <w:r>
        <w:rPr>
          <w:rFonts w:ascii="Book Antiqua" w:hAnsi="Book Antiqua"/>
          <w:sz w:val="19"/>
          <w:szCs w:val="19"/>
        </w:rPr>
        <w:t xml:space="preserve"> </w:t>
      </w:r>
      <w:r w:rsidRPr="004128B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(TJDFT-2023)</w:t>
      </w:r>
    </w:p>
    <w:p w14:paraId="528B0436" w14:textId="7E3A8DFB" w:rsid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5A2378">
        <w:rPr>
          <w:rFonts w:ascii="Book Antiqua" w:hAnsi="Book Antiqua"/>
          <w:b/>
          <w:bCs/>
          <w:sz w:val="19"/>
          <w:szCs w:val="19"/>
          <w:highlight w:val="magenta"/>
        </w:rPr>
        <w:t>§ 1º</w:t>
      </w:r>
      <w:r w:rsidRPr="005A2378">
        <w:rPr>
          <w:rFonts w:ascii="Book Antiqua" w:hAnsi="Book Antiqua"/>
          <w:b/>
          <w:bCs/>
          <w:sz w:val="19"/>
          <w:szCs w:val="19"/>
        </w:rPr>
        <w:t xml:space="preserve"> Os prazos processuais, </w:t>
      </w:r>
      <w:r w:rsidRPr="005A2378">
        <w:rPr>
          <w:rFonts w:ascii="Book Antiqua" w:hAnsi="Book Antiqua"/>
          <w:b/>
          <w:bCs/>
          <w:sz w:val="19"/>
          <w:szCs w:val="19"/>
          <w:highlight w:val="yellow"/>
        </w:rPr>
        <w:t>durante o período definido no calendário eleitoral</w:t>
      </w:r>
      <w:r w:rsidRPr="005A2378">
        <w:rPr>
          <w:rFonts w:ascii="Book Antiqua" w:hAnsi="Book Antiqua"/>
          <w:b/>
          <w:bCs/>
          <w:sz w:val="19"/>
          <w:szCs w:val="19"/>
        </w:rPr>
        <w:t>, serão computados na forma do </w:t>
      </w:r>
      <w:hyperlink r:id="rId12" w:anchor="art16" w:history="1">
        <w:r w:rsidRPr="005A2378">
          <w:rPr>
            <w:rStyle w:val="Hyperlink"/>
            <w:rFonts w:ascii="Book Antiqua" w:hAnsi="Book Antiqua"/>
            <w:b/>
            <w:bCs/>
            <w:sz w:val="19"/>
            <w:szCs w:val="19"/>
          </w:rPr>
          <w:t>art. 16 da Lei Complementar nº 64 </w:t>
        </w:r>
      </w:hyperlink>
      <w:r w:rsidRPr="005A2378">
        <w:rPr>
          <w:rFonts w:ascii="Book Antiqua" w:hAnsi="Book Antiqua"/>
          <w:b/>
          <w:bCs/>
          <w:sz w:val="19"/>
          <w:szCs w:val="19"/>
        </w:rPr>
        <w:t>, de 1990, não se suspendendo nos fins de semana ou feriados</w:t>
      </w:r>
      <w:r w:rsidRPr="005A2378">
        <w:rPr>
          <w:rFonts w:ascii="Book Antiqua" w:hAnsi="Book Antiqua"/>
          <w:sz w:val="19"/>
          <w:szCs w:val="19"/>
        </w:rPr>
        <w:t>.</w:t>
      </w:r>
      <w:r w:rsidR="00C15A57">
        <w:rPr>
          <w:rFonts w:ascii="Book Antiqua" w:hAnsi="Book Antiqua"/>
          <w:sz w:val="19"/>
          <w:szCs w:val="19"/>
        </w:rPr>
        <w:t xml:space="preserve"> </w:t>
      </w:r>
      <w:r w:rsidR="00C15A5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(MPAC-2022)</w:t>
      </w:r>
      <w:r>
        <w:rPr>
          <w:rFonts w:ascii="Book Antiqua" w:hAnsi="Book Antiqua"/>
          <w:sz w:val="19"/>
          <w:szCs w:val="19"/>
        </w:rPr>
        <w:t xml:space="preserve"> </w:t>
      </w:r>
      <w:r w:rsidRPr="004128B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(TJDFT-2023)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62BD1" w14:paraId="7252BD00" w14:textId="77777777" w:rsidTr="00B56057">
        <w:tc>
          <w:tcPr>
            <w:tcW w:w="8494" w:type="dxa"/>
            <w:shd w:val="clear" w:color="auto" w:fill="CCFFFF"/>
          </w:tcPr>
          <w:p w14:paraId="04B36C69" w14:textId="05926381" w:rsidR="00062BD1" w:rsidRDefault="00062BD1" w:rsidP="00B56057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lastRenderedPageBreak/>
              <w:t>#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2E26F5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TSE</w:t>
            </w:r>
            <w:r w:rsidR="00C15A5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="00C15A57" w:rsidRPr="00C15A57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MPAC-2022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TJ</w:t>
            </w:r>
            <w:r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DFT-2023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lang w:eastAsia="pt-BR"/>
              </w:rPr>
              <w:t>: #</w:t>
            </w:r>
            <w:r w:rsidRPr="00D33180">
              <w:rPr>
                <w:rFonts w:ascii="Book Antiqua" w:eastAsia="Times New Roman" w:hAnsi="Book Antiqua" w:cs="Times New Roman"/>
                <w:b/>
                <w:i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proofErr w:type="gramStart"/>
            <w:r w:rsidRPr="00D33180">
              <w:rPr>
                <w:rFonts w:ascii="Book Antiqua" w:eastAsia="Times New Roman" w:hAnsi="Book Antiqua" w:cs="Times New Roman"/>
                <w:b/>
                <w:i/>
                <w:sz w:val="19"/>
                <w:szCs w:val="19"/>
                <w:lang w:eastAsia="pt-BR"/>
              </w:rPr>
              <w:t>:</w:t>
            </w:r>
            <w:r w:rsidRPr="005A2378"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2BD1">
              <w:rPr>
                <w:rFonts w:ascii="Book Antiqua" w:hAnsi="Book Antiqua"/>
                <w:sz w:val="19"/>
                <w:szCs w:val="19"/>
              </w:rPr>
              <w:t>“</w:t>
            </w:r>
            <w:proofErr w:type="gramEnd"/>
            <w:r w:rsidRPr="00062BD1">
              <w:rPr>
                <w:rFonts w:ascii="Book Antiqua" w:hAnsi="Book Antiqua"/>
                <w:sz w:val="19"/>
                <w:szCs w:val="19"/>
              </w:rPr>
              <w:t xml:space="preserve">[...] 1. O cômputo do prazo recursal previsto no art. 219 do Código de Processo Civil, que estabelece a contagem de prazos em dias úteis, não se aplica ao processo eleitoral, nos termos do art. 7º da Res.–TSE 23.478/2016. </w:t>
            </w:r>
            <w:proofErr w:type="gramStart"/>
            <w:r w:rsidRPr="00062BD1">
              <w:rPr>
                <w:rFonts w:ascii="Book Antiqua" w:hAnsi="Book Antiqua"/>
                <w:sz w:val="19"/>
                <w:szCs w:val="19"/>
              </w:rPr>
              <w:t>[...]”(</w:t>
            </w:r>
            <w:proofErr w:type="gramEnd"/>
            <w:r w:rsidRPr="00062BD1">
              <w:rPr>
                <w:rFonts w:ascii="Book Antiqua" w:hAnsi="Book Antiqua"/>
                <w:sz w:val="19"/>
                <w:szCs w:val="19"/>
              </w:rPr>
              <w:t xml:space="preserve">Ac. de 9.12.2021 no </w:t>
            </w:r>
            <w:proofErr w:type="spellStart"/>
            <w:r w:rsidRPr="00062BD1">
              <w:rPr>
                <w:rFonts w:ascii="Book Antiqua" w:hAnsi="Book Antiqua"/>
                <w:sz w:val="19"/>
                <w:szCs w:val="19"/>
              </w:rPr>
              <w:t>AgR-AREspE</w:t>
            </w:r>
            <w:proofErr w:type="spellEnd"/>
            <w:r w:rsidRPr="00062BD1">
              <w:rPr>
                <w:rFonts w:ascii="Book Antiqua" w:hAnsi="Book Antiqua"/>
                <w:sz w:val="19"/>
                <w:szCs w:val="19"/>
              </w:rPr>
              <w:t xml:space="preserve"> nº 060013953, rel. Min. Alexandre de Moraes.)</w:t>
            </w:r>
          </w:p>
        </w:tc>
      </w:tr>
    </w:tbl>
    <w:p w14:paraId="3A2D73D8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§ 2º Os prazos processuais, fora do período definido no calendário eleitoral, serão computados na forma do </w:t>
      </w:r>
      <w:hyperlink r:id="rId13" w:anchor="art224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224 </w:t>
        </w:r>
      </w:hyperlink>
      <w:r w:rsidRPr="005A2378">
        <w:rPr>
          <w:rFonts w:ascii="Book Antiqua" w:hAnsi="Book Antiqua"/>
          <w:sz w:val="19"/>
          <w:szCs w:val="19"/>
        </w:rPr>
        <w:t>do Novo Código de Processo Civil.</w:t>
      </w:r>
    </w:p>
    <w:p w14:paraId="7CC1F257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§ 3º Sempre que a lei eleitoral não fixar prazo especial, o recurso deverá ser interposto no prazo de 3 (três) dias, a teor do </w:t>
      </w:r>
      <w:hyperlink r:id="rId14" w:anchor="art258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258 do Código Eleitoral </w:t>
        </w:r>
      </w:hyperlink>
      <w:r w:rsidRPr="005A2378">
        <w:rPr>
          <w:rFonts w:ascii="Book Antiqua" w:hAnsi="Book Antiqua"/>
          <w:sz w:val="19"/>
          <w:szCs w:val="19"/>
        </w:rPr>
        <w:t>, não se aplicando os prazos previstos no Novo Código de Processo Civil.</w:t>
      </w:r>
    </w:p>
    <w:p w14:paraId="377B01BF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8º O prazo de 30 (trinta) dias de que trata o </w:t>
      </w:r>
      <w:hyperlink r:id="rId15" w:anchor="art178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178 do Novo Código de Processo Civil </w:t>
        </w:r>
      </w:hyperlink>
      <w:r w:rsidRPr="005A2378">
        <w:rPr>
          <w:rFonts w:ascii="Book Antiqua" w:hAnsi="Book Antiqua"/>
          <w:sz w:val="19"/>
          <w:szCs w:val="19"/>
        </w:rPr>
        <w:t>não se aplica na Justiça Eleitoral.</w:t>
      </w:r>
    </w:p>
    <w:p w14:paraId="04FEC5E5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9º Durante o período previsto no calendário eleitoral </w:t>
      </w:r>
      <w:hyperlink r:id="rId16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(Lei Complementar nº 64/90) </w:t>
        </w:r>
      </w:hyperlink>
      <w:r w:rsidRPr="005A2378">
        <w:rPr>
          <w:rFonts w:ascii="Book Antiqua" w:hAnsi="Book Antiqua"/>
          <w:sz w:val="19"/>
          <w:szCs w:val="19"/>
        </w:rPr>
        <w:t>não se aplica o prazo previsto no </w:t>
      </w:r>
      <w:hyperlink r:id="rId17" w:anchor="art234%C2%A72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234, § 2º </w:t>
        </w:r>
      </w:hyperlink>
      <w:r w:rsidRPr="005A2378">
        <w:rPr>
          <w:rFonts w:ascii="Book Antiqua" w:hAnsi="Book Antiqua"/>
          <w:sz w:val="19"/>
          <w:szCs w:val="19"/>
        </w:rPr>
        <w:t>, do Novo Código de Processo Civil (três dias), podendo a autoridade judiciária determinar a imediata busca e apreensão dos autos se, intimado, o advogado não os devolver.</w:t>
      </w:r>
    </w:p>
    <w:p w14:paraId="3CFA9CF0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10. A suspensão dos prazos processuais entre os dias 20 de dezembro e 20 de janeiro de que trata o </w:t>
      </w:r>
      <w:hyperlink r:id="rId18" w:anchor="art220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220 do Novo Código de Processo Civil </w:t>
        </w:r>
      </w:hyperlink>
      <w:r w:rsidRPr="005A2378">
        <w:rPr>
          <w:rFonts w:ascii="Book Antiqua" w:hAnsi="Book Antiqua"/>
          <w:sz w:val="19"/>
          <w:szCs w:val="19"/>
        </w:rPr>
        <w:t>aplica-se no âmbito dos cartórios eleitorais e dos tribunais regionais eleitorais.</w:t>
      </w:r>
    </w:p>
    <w:p w14:paraId="7563663F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CAPÍTULO III</w:t>
      </w:r>
    </w:p>
    <w:p w14:paraId="01566E89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DOS ATOS PROCESSUAIS</w:t>
      </w:r>
    </w:p>
    <w:p w14:paraId="6BDB23C1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11. Na Justiça Eleitoral não é admitida a autocomposição, não sendo aplicáveis as regras dos </w:t>
      </w:r>
      <w:proofErr w:type="spellStart"/>
      <w:r w:rsidRPr="005A2378">
        <w:rPr>
          <w:rFonts w:ascii="Book Antiqua" w:hAnsi="Book Antiqua"/>
          <w:sz w:val="19"/>
          <w:szCs w:val="19"/>
        </w:rPr>
        <w:fldChar w:fldCharType="begin"/>
      </w:r>
      <w:r w:rsidRPr="005A2378">
        <w:rPr>
          <w:rFonts w:ascii="Book Antiqua" w:hAnsi="Book Antiqua"/>
          <w:sz w:val="19"/>
          <w:szCs w:val="19"/>
        </w:rPr>
        <w:instrText>HYPERLINK "http://www.planalto.gov.br/ccivil_03/_ato2015-2018/2015/lei/l13105.htm" \l "art190"</w:instrText>
      </w:r>
      <w:r w:rsidRPr="005A2378">
        <w:rPr>
          <w:rFonts w:ascii="Book Antiqua" w:hAnsi="Book Antiqua"/>
          <w:sz w:val="19"/>
          <w:szCs w:val="19"/>
        </w:rPr>
      </w:r>
      <w:r w:rsidRPr="005A2378">
        <w:rPr>
          <w:rFonts w:ascii="Book Antiqua" w:hAnsi="Book Antiqua"/>
          <w:sz w:val="19"/>
          <w:szCs w:val="19"/>
        </w:rPr>
        <w:fldChar w:fldCharType="separate"/>
      </w:r>
      <w:r w:rsidRPr="005A2378">
        <w:rPr>
          <w:rStyle w:val="Hyperlink"/>
          <w:rFonts w:ascii="Book Antiqua" w:hAnsi="Book Antiqua"/>
          <w:sz w:val="19"/>
          <w:szCs w:val="19"/>
        </w:rPr>
        <w:t>arts</w:t>
      </w:r>
      <w:proofErr w:type="spellEnd"/>
      <w:r w:rsidRPr="005A2378">
        <w:rPr>
          <w:rStyle w:val="Hyperlink"/>
          <w:rFonts w:ascii="Book Antiqua" w:hAnsi="Book Antiqua"/>
          <w:sz w:val="19"/>
          <w:szCs w:val="19"/>
        </w:rPr>
        <w:t>. 190 </w:t>
      </w:r>
      <w:r w:rsidRPr="005A2378">
        <w:rPr>
          <w:rFonts w:ascii="Book Antiqua" w:hAnsi="Book Antiqua"/>
          <w:sz w:val="19"/>
          <w:szCs w:val="19"/>
        </w:rPr>
        <w:fldChar w:fldCharType="end"/>
      </w:r>
      <w:r w:rsidRPr="005A2378">
        <w:rPr>
          <w:rFonts w:ascii="Book Antiqua" w:hAnsi="Book Antiqua"/>
          <w:sz w:val="19"/>
          <w:szCs w:val="19"/>
        </w:rPr>
        <w:t>e </w:t>
      </w:r>
      <w:hyperlink r:id="rId19" w:anchor="art191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191 do Novo Código de Processo Civil </w:t>
        </w:r>
      </w:hyperlink>
      <w:r w:rsidRPr="005A2378">
        <w:rPr>
          <w:rFonts w:ascii="Book Antiqua" w:hAnsi="Book Antiqua"/>
          <w:sz w:val="19"/>
          <w:szCs w:val="19"/>
        </w:rPr>
        <w:t>.</w:t>
      </w:r>
    </w:p>
    <w:p w14:paraId="50F7A6D6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12. As disposições previstas no </w:t>
      </w:r>
      <w:hyperlink r:id="rId20" w:anchor="art203%C2%A74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artigo 203, § 4º, do Novo Código de Processo Civil </w:t>
        </w:r>
      </w:hyperlink>
      <w:r w:rsidRPr="005A2378">
        <w:rPr>
          <w:rFonts w:ascii="Book Antiqua" w:hAnsi="Book Antiqua"/>
          <w:sz w:val="19"/>
          <w:szCs w:val="19"/>
        </w:rPr>
        <w:t>são aplicáveis aos feitos eleitorais.</w:t>
      </w:r>
    </w:p>
    <w:p w14:paraId="47C8518F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13. A regra do </w:t>
      </w:r>
      <w:hyperlink r:id="rId21" w:anchor="art205%C2%A73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205, § 3º </w:t>
        </w:r>
      </w:hyperlink>
      <w:r w:rsidRPr="005A2378">
        <w:rPr>
          <w:rFonts w:ascii="Book Antiqua" w:hAnsi="Book Antiqua"/>
          <w:sz w:val="19"/>
          <w:szCs w:val="19"/>
        </w:rPr>
        <w:t>, do Novo Código de Processo Civil não se aplica aos processos que tramitem durante o período previsto no calendário eleitoral para os quais seja admitida a publicação em cartório, sessão ou a utilização de edital eletrônico </w:t>
      </w:r>
      <w:hyperlink r:id="rId22" w:anchor="art8" w:history="1">
        <w:r w:rsidRPr="005A2378">
          <w:rPr>
            <w:rStyle w:val="Hyperlink"/>
            <w:rFonts w:ascii="Book Antiqua" w:hAnsi="Book Antiqua"/>
            <w:sz w:val="19"/>
            <w:szCs w:val="19"/>
          </w:rPr>
          <w:t xml:space="preserve">(LC nº 64/90, </w:t>
        </w:r>
        <w:proofErr w:type="spellStart"/>
        <w:r w:rsidRPr="005A2378">
          <w:rPr>
            <w:rStyle w:val="Hyperlink"/>
            <w:rFonts w:ascii="Book Antiqua" w:hAnsi="Book Antiqua"/>
            <w:sz w:val="19"/>
            <w:szCs w:val="19"/>
          </w:rPr>
          <w:t>arts</w:t>
        </w:r>
        <w:proofErr w:type="spellEnd"/>
        <w:r w:rsidRPr="005A2378">
          <w:rPr>
            <w:rStyle w:val="Hyperlink"/>
            <w:rFonts w:ascii="Book Antiqua" w:hAnsi="Book Antiqua"/>
            <w:sz w:val="19"/>
            <w:szCs w:val="19"/>
          </w:rPr>
          <w:t>. 8º </w:t>
        </w:r>
      </w:hyperlink>
      <w:r w:rsidRPr="005A2378">
        <w:rPr>
          <w:rFonts w:ascii="Book Antiqua" w:hAnsi="Book Antiqua"/>
          <w:sz w:val="19"/>
          <w:szCs w:val="19"/>
        </w:rPr>
        <w:t>, </w:t>
      </w:r>
      <w:hyperlink r:id="rId23" w:anchor="art9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9º </w:t>
        </w:r>
      </w:hyperlink>
      <w:r w:rsidRPr="005A2378">
        <w:rPr>
          <w:rFonts w:ascii="Book Antiqua" w:hAnsi="Book Antiqua"/>
          <w:sz w:val="19"/>
          <w:szCs w:val="19"/>
        </w:rPr>
        <w:t>e </w:t>
      </w:r>
      <w:hyperlink r:id="rId24" w:anchor="art11%C2%A72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11, § 2º </w:t>
        </w:r>
      </w:hyperlink>
      <w:r w:rsidRPr="005A2378">
        <w:rPr>
          <w:rFonts w:ascii="Book Antiqua" w:hAnsi="Book Antiqua"/>
          <w:sz w:val="19"/>
          <w:szCs w:val="19"/>
        </w:rPr>
        <w:t>; </w:t>
      </w:r>
      <w:hyperlink r:id="rId25" w:anchor="art94%C2%A75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Lei nº 9.504/97, art. 94, § 5º) </w:t>
        </w:r>
      </w:hyperlink>
      <w:r w:rsidRPr="005A2378">
        <w:rPr>
          <w:rFonts w:ascii="Book Antiqua" w:hAnsi="Book Antiqua"/>
          <w:sz w:val="19"/>
          <w:szCs w:val="19"/>
        </w:rPr>
        <w:t>.</w:t>
      </w:r>
    </w:p>
    <w:p w14:paraId="6AEDB16A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CAPÍTULO IV</w:t>
      </w:r>
    </w:p>
    <w:p w14:paraId="3BBC20E0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DA TUTELA PROVISÓRIA</w:t>
      </w:r>
    </w:p>
    <w:p w14:paraId="3B460479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14. Os pedidos autônomos de tutela provisória serão autuados em classe própria.</w:t>
      </w:r>
    </w:p>
    <w:p w14:paraId="08265A4C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Parágrafo único. Os pedidos apresentados de forma incidental em relação a feitos em tramitação serão encaminhados à autoridade judiciária competente, que determinará a sua juntada aos autos principais ou adotará as providências que entender cabíveis.</w:t>
      </w:r>
    </w:p>
    <w:p w14:paraId="4262BBE6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CAPÍTULO V</w:t>
      </w:r>
    </w:p>
    <w:p w14:paraId="60CF396C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DOS PROCURADORES</w:t>
      </w:r>
    </w:p>
    <w:p w14:paraId="08DAE065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15. Durante o período definido no calendário eleitoral, a carga dos autos para obtenção de cópias no curso de prazo comum às partes, prevista no </w:t>
      </w:r>
      <w:hyperlink r:id="rId26" w:anchor="art107%C2%A73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107, § 3º </w:t>
        </w:r>
      </w:hyperlink>
      <w:r w:rsidRPr="005A2378">
        <w:rPr>
          <w:rFonts w:ascii="Book Antiqua" w:hAnsi="Book Antiqua"/>
          <w:sz w:val="19"/>
          <w:szCs w:val="19"/>
        </w:rPr>
        <w:t xml:space="preserve">, do Novo Código de Processo </w:t>
      </w:r>
      <w:r w:rsidRPr="005A2378">
        <w:rPr>
          <w:rFonts w:ascii="Book Antiqua" w:hAnsi="Book Antiqua"/>
          <w:sz w:val="19"/>
          <w:szCs w:val="19"/>
        </w:rPr>
        <w:lastRenderedPageBreak/>
        <w:t>Civil, será automaticamente permitida pela serventia pelo prazo de 2 (duas) horas, cabendo à autoridade judiciária decidir sobre eventual pedido de extensão até o limite de 6 (seis) horas.</w:t>
      </w:r>
    </w:p>
    <w:p w14:paraId="4FDF3558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CAPÍTULO VI</w:t>
      </w:r>
    </w:p>
    <w:p w14:paraId="410E42B7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DA ORDEM DOS PROCESSOS NO TRIBUNAL</w:t>
      </w:r>
    </w:p>
    <w:p w14:paraId="5B2246D6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16. Nos Tribunais Eleitorais, o prazo para sustentação oral dos advogados das partes e do representante do Ministério Público será de:</w:t>
      </w:r>
    </w:p>
    <w:p w14:paraId="4D047036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I - 15 (quinze) minutos nos feitos originários </w:t>
      </w:r>
      <w:hyperlink r:id="rId27" w:anchor="art937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(art. 937 do Novo Código de Processo Civil) </w:t>
        </w:r>
      </w:hyperlink>
      <w:r w:rsidRPr="005A2378">
        <w:rPr>
          <w:rFonts w:ascii="Book Antiqua" w:hAnsi="Book Antiqua"/>
          <w:sz w:val="19"/>
          <w:szCs w:val="19"/>
        </w:rPr>
        <w:t>;</w:t>
      </w:r>
    </w:p>
    <w:p w14:paraId="3E5193BF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II - 10 (dez) minutos, nos recursos eleitorais </w:t>
      </w:r>
      <w:hyperlink r:id="rId28" w:anchor="art272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(art. 272 do Código Eleitoral) </w:t>
        </w:r>
      </w:hyperlink>
      <w:r w:rsidRPr="005A2378">
        <w:rPr>
          <w:rFonts w:ascii="Book Antiqua" w:hAnsi="Book Antiqua"/>
          <w:sz w:val="19"/>
          <w:szCs w:val="19"/>
        </w:rPr>
        <w:t>;</w:t>
      </w:r>
    </w:p>
    <w:p w14:paraId="5A9DCED7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III - 20 (vinte) minutos no recurso contra expedição de diploma, </w:t>
      </w:r>
      <w:hyperlink r:id="rId29" w:anchor="art272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(art. 272, parágrafo único, do Código Eleitoral) </w:t>
        </w:r>
      </w:hyperlink>
      <w:r w:rsidRPr="005A2378">
        <w:rPr>
          <w:rFonts w:ascii="Book Antiqua" w:hAnsi="Book Antiqua"/>
          <w:sz w:val="19"/>
          <w:szCs w:val="19"/>
        </w:rPr>
        <w:t>.</w:t>
      </w:r>
    </w:p>
    <w:p w14:paraId="731500BE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17. Não se aplica, nos Tribunais Eleitorais, o quórum previsto no </w:t>
      </w:r>
      <w:hyperlink r:id="rId30" w:anchor="art941%C2%A72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941, § 2º, do Novo Código de Processo Civil </w:t>
        </w:r>
      </w:hyperlink>
      <w:hyperlink r:id="rId31" w:anchor="art19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(</w:t>
        </w:r>
        <w:proofErr w:type="spellStart"/>
        <w:r w:rsidRPr="005A2378">
          <w:rPr>
            <w:rStyle w:val="Hyperlink"/>
            <w:rFonts w:ascii="Book Antiqua" w:hAnsi="Book Antiqua"/>
            <w:sz w:val="19"/>
            <w:szCs w:val="19"/>
          </w:rPr>
          <w:t>arts</w:t>
        </w:r>
        <w:proofErr w:type="spellEnd"/>
        <w:r w:rsidRPr="005A2378">
          <w:rPr>
            <w:rStyle w:val="Hyperlink"/>
            <w:rFonts w:ascii="Book Antiqua" w:hAnsi="Book Antiqua"/>
            <w:sz w:val="19"/>
            <w:szCs w:val="19"/>
          </w:rPr>
          <w:t>. 19, parágrafo único </w:t>
        </w:r>
      </w:hyperlink>
      <w:r w:rsidRPr="005A2378">
        <w:rPr>
          <w:rFonts w:ascii="Book Antiqua" w:hAnsi="Book Antiqua"/>
          <w:sz w:val="19"/>
          <w:szCs w:val="19"/>
        </w:rPr>
        <w:t>, e </w:t>
      </w:r>
      <w:hyperlink r:id="rId32" w:anchor="art28%C2%A74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28, § 4º, do Código Eleitoral) </w:t>
        </w:r>
      </w:hyperlink>
      <w:r w:rsidRPr="005A2378">
        <w:rPr>
          <w:rFonts w:ascii="Book Antiqua" w:hAnsi="Book Antiqua"/>
          <w:sz w:val="19"/>
          <w:szCs w:val="19"/>
        </w:rPr>
        <w:t>.</w:t>
      </w:r>
    </w:p>
    <w:p w14:paraId="07CA75C8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18. Os julgamentos das ações originárias e dos recursos nos Tribunais Eleitorais, inclusive os agravos e embargos de declaração na hipótese do </w:t>
      </w:r>
      <w:hyperlink r:id="rId33" w:anchor="art1024%C2%A71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art. 1.024, § 1º </w:t>
        </w:r>
      </w:hyperlink>
      <w:r w:rsidRPr="005A2378">
        <w:rPr>
          <w:rFonts w:ascii="Book Antiqua" w:hAnsi="Book Antiqua"/>
          <w:sz w:val="19"/>
          <w:szCs w:val="19"/>
        </w:rPr>
        <w:t>, do Novo Código de Processo Civil, somente poderão ser realizados 24 horas após a publicação da pauta.</w:t>
      </w:r>
    </w:p>
    <w:p w14:paraId="7D153DC3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Parágrafo único: O disposto no </w:t>
      </w:r>
      <w:r w:rsidRPr="005A2378">
        <w:rPr>
          <w:rFonts w:ascii="Book Antiqua" w:hAnsi="Book Antiqua"/>
          <w:i/>
          <w:iCs/>
          <w:sz w:val="19"/>
          <w:szCs w:val="19"/>
        </w:rPr>
        <w:t>caput </w:t>
      </w:r>
      <w:r w:rsidRPr="005A2378">
        <w:rPr>
          <w:rFonts w:ascii="Book Antiqua" w:hAnsi="Book Antiqua"/>
          <w:sz w:val="19"/>
          <w:szCs w:val="19"/>
        </w:rPr>
        <w:t>não se aplica:</w:t>
      </w:r>
    </w:p>
    <w:p w14:paraId="32EF6650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5A2378">
        <w:rPr>
          <w:rFonts w:ascii="Book Antiqua" w:hAnsi="Book Antiqua"/>
          <w:sz w:val="19"/>
          <w:szCs w:val="19"/>
        </w:rPr>
        <w:t>ao</w:t>
      </w:r>
      <w:proofErr w:type="gramEnd"/>
      <w:r w:rsidRPr="005A2378">
        <w:rPr>
          <w:rFonts w:ascii="Book Antiqua" w:hAnsi="Book Antiqua"/>
          <w:sz w:val="19"/>
          <w:szCs w:val="19"/>
        </w:rPr>
        <w:t xml:space="preserve"> julgamento de habeas corpus; recurso em habeas corpus; tutela provisória; liminar em mandado de segurança; e, arguição de impedimento ou suspeição;</w:t>
      </w:r>
    </w:p>
    <w:p w14:paraId="2534EA4C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5A2378">
        <w:rPr>
          <w:rFonts w:ascii="Book Antiqua" w:hAnsi="Book Antiqua"/>
          <w:sz w:val="19"/>
          <w:szCs w:val="19"/>
        </w:rPr>
        <w:t>durante</w:t>
      </w:r>
      <w:proofErr w:type="gramEnd"/>
      <w:r w:rsidRPr="005A2378">
        <w:rPr>
          <w:rFonts w:ascii="Book Antiqua" w:hAnsi="Book Antiqua"/>
          <w:sz w:val="19"/>
          <w:szCs w:val="19"/>
        </w:rPr>
        <w:t xml:space="preserve"> o período eleitoral, aos processos atinentes ao respectivo pleito;</w:t>
      </w:r>
    </w:p>
    <w:p w14:paraId="7A0D3A46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III - às questões de ordem;</w:t>
      </w:r>
    </w:p>
    <w:p w14:paraId="6881995F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 xml:space="preserve">IV - </w:t>
      </w:r>
      <w:proofErr w:type="gramStart"/>
      <w:r w:rsidRPr="005A2378">
        <w:rPr>
          <w:rFonts w:ascii="Book Antiqua" w:hAnsi="Book Antiqua"/>
          <w:sz w:val="19"/>
          <w:szCs w:val="19"/>
        </w:rPr>
        <w:t>à</w:t>
      </w:r>
      <w:proofErr w:type="gramEnd"/>
      <w:r w:rsidRPr="005A2378">
        <w:rPr>
          <w:rFonts w:ascii="Book Antiqua" w:hAnsi="Book Antiqua"/>
          <w:sz w:val="19"/>
          <w:szCs w:val="19"/>
        </w:rPr>
        <w:t xml:space="preserve"> continuidade de julgamento de processos decorrentes da devolução tempestiva de pedido de vista;</w:t>
      </w:r>
    </w:p>
    <w:p w14:paraId="4EE5BAC9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 xml:space="preserve">V - </w:t>
      </w:r>
      <w:proofErr w:type="gramStart"/>
      <w:r w:rsidRPr="005A2378">
        <w:rPr>
          <w:rFonts w:ascii="Book Antiqua" w:hAnsi="Book Antiqua"/>
          <w:sz w:val="19"/>
          <w:szCs w:val="19"/>
        </w:rPr>
        <w:t>aos</w:t>
      </w:r>
      <w:proofErr w:type="gramEnd"/>
      <w:r w:rsidRPr="005A2378">
        <w:rPr>
          <w:rFonts w:ascii="Book Antiqua" w:hAnsi="Book Antiqua"/>
          <w:sz w:val="19"/>
          <w:szCs w:val="19"/>
        </w:rPr>
        <w:t xml:space="preserve"> feitos não apreciados cujo julgamento tiver sido expressamente adiado para a primeira sessão seguinte;</w:t>
      </w:r>
    </w:p>
    <w:p w14:paraId="5E3B92B9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 xml:space="preserve">VI - </w:t>
      </w:r>
      <w:proofErr w:type="gramStart"/>
      <w:r w:rsidRPr="005A2378">
        <w:rPr>
          <w:rFonts w:ascii="Book Antiqua" w:hAnsi="Book Antiqua"/>
          <w:sz w:val="19"/>
          <w:szCs w:val="19"/>
        </w:rPr>
        <w:t>aos</w:t>
      </w:r>
      <w:proofErr w:type="gramEnd"/>
      <w:r w:rsidRPr="005A2378">
        <w:rPr>
          <w:rFonts w:ascii="Book Antiqua" w:hAnsi="Book Antiqua"/>
          <w:sz w:val="19"/>
          <w:szCs w:val="19"/>
        </w:rPr>
        <w:t xml:space="preserve"> embargos de declaração, quando julgados na sessão subsequente à respectiva oposição ou, se for o caso, à apresentação da manifestação do embargado;</w:t>
      </w:r>
    </w:p>
    <w:p w14:paraId="2E78BE04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VII - aos feitos administrativos, com exceção do pedido de registro de partido político;</w:t>
      </w:r>
    </w:p>
    <w:p w14:paraId="691E6E20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VIII - às outras hipóteses previstas em lei ou nas resoluções do Tribunal Superior Eleitoral.</w:t>
      </w:r>
    </w:p>
    <w:p w14:paraId="4F73B730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CAPÍTULO VII</w:t>
      </w:r>
    </w:p>
    <w:p w14:paraId="2547860E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DOS RECURSOS</w:t>
      </w:r>
    </w:p>
    <w:p w14:paraId="43EE83DA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19. As decisões interlocutórias ou sem caráter definitivo proferidas nos feitos eleitorais são irrecorríveis de imediato por não estarem sujeitas à preclusão, ficando os eventuais inconformismos para posterior manifestação em recurso contra a decisão definitiva de mérito.</w:t>
      </w:r>
    </w:p>
    <w:p w14:paraId="304527F3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§ 1º O Juiz ou Tribunal conhecerá da matéria versada na decisão interlocutória como preliminar à decisão de mérito se as partes assim requererem em suas manifestações.</w:t>
      </w:r>
    </w:p>
    <w:p w14:paraId="681A6260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lastRenderedPageBreak/>
        <w:t>§ 2º O agravo contra decisão que inadmitir o recurso especial interposto contra decisão interlocutória será processado em autos suplementares, prosseguindo o curso da demanda nos autos principais.</w:t>
      </w:r>
    </w:p>
    <w:p w14:paraId="573CF98E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bookmarkStart w:id="3" w:name="art20"/>
      <w:bookmarkEnd w:id="3"/>
      <w:r w:rsidRPr="005A2378">
        <w:rPr>
          <w:rFonts w:ascii="Book Antiqua" w:hAnsi="Book Antiqua"/>
          <w:sz w:val="19"/>
          <w:szCs w:val="19"/>
        </w:rPr>
        <w:t>Art. 20. A sistemática dos recursos repetitivos prevista nos </w:t>
      </w:r>
      <w:proofErr w:type="spellStart"/>
      <w:r w:rsidRPr="005A2378">
        <w:rPr>
          <w:rFonts w:ascii="Book Antiqua" w:hAnsi="Book Antiqua"/>
          <w:sz w:val="19"/>
          <w:szCs w:val="19"/>
        </w:rPr>
        <w:fldChar w:fldCharType="begin"/>
      </w:r>
      <w:r w:rsidRPr="005A2378">
        <w:rPr>
          <w:rFonts w:ascii="Book Antiqua" w:hAnsi="Book Antiqua"/>
          <w:sz w:val="19"/>
          <w:szCs w:val="19"/>
        </w:rPr>
        <w:instrText>HYPERLINK "http://www.planalto.gov.br/ccivil_03/_ato2015-2018/2015/lei/l13105.htm" \l "art1036"</w:instrText>
      </w:r>
      <w:r w:rsidRPr="005A2378">
        <w:rPr>
          <w:rFonts w:ascii="Book Antiqua" w:hAnsi="Book Antiqua"/>
          <w:sz w:val="19"/>
          <w:szCs w:val="19"/>
        </w:rPr>
      </w:r>
      <w:r w:rsidRPr="005A2378">
        <w:rPr>
          <w:rFonts w:ascii="Book Antiqua" w:hAnsi="Book Antiqua"/>
          <w:sz w:val="19"/>
          <w:szCs w:val="19"/>
        </w:rPr>
        <w:fldChar w:fldCharType="separate"/>
      </w:r>
      <w:r w:rsidRPr="005A2378">
        <w:rPr>
          <w:rStyle w:val="Hyperlink"/>
          <w:rFonts w:ascii="Book Antiqua" w:hAnsi="Book Antiqua"/>
          <w:sz w:val="19"/>
          <w:szCs w:val="19"/>
        </w:rPr>
        <w:t>arts</w:t>
      </w:r>
      <w:proofErr w:type="spellEnd"/>
      <w:r w:rsidRPr="005A2378">
        <w:rPr>
          <w:rStyle w:val="Hyperlink"/>
          <w:rFonts w:ascii="Book Antiqua" w:hAnsi="Book Antiqua"/>
          <w:sz w:val="19"/>
          <w:szCs w:val="19"/>
        </w:rPr>
        <w:t>. 1.036 </w:t>
      </w:r>
      <w:r w:rsidRPr="005A2378">
        <w:rPr>
          <w:rFonts w:ascii="Book Antiqua" w:hAnsi="Book Antiqua"/>
          <w:sz w:val="19"/>
          <w:szCs w:val="19"/>
        </w:rPr>
        <w:fldChar w:fldCharType="end"/>
      </w:r>
      <w:r w:rsidRPr="005A2378">
        <w:rPr>
          <w:rFonts w:ascii="Book Antiqua" w:hAnsi="Book Antiqua"/>
          <w:sz w:val="19"/>
          <w:szCs w:val="19"/>
        </w:rPr>
        <w:t>a </w:t>
      </w:r>
      <w:hyperlink r:id="rId34" w:anchor="art1042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1.042 do Novo Código de Processo Civil </w:t>
        </w:r>
      </w:hyperlink>
      <w:r w:rsidRPr="005A2378">
        <w:rPr>
          <w:rFonts w:ascii="Book Antiqua" w:hAnsi="Book Antiqua"/>
          <w:sz w:val="19"/>
          <w:szCs w:val="19"/>
        </w:rPr>
        <w:t>não se aplica aos feitos que versem ou possam ter reflexo sobre inelegibilidade, registro de candidatura, diplomação e resultado ou anulação de eleições.</w:t>
      </w:r>
    </w:p>
    <w:p w14:paraId="593EA004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CAPÍTULO VIII</w:t>
      </w:r>
    </w:p>
    <w:p w14:paraId="528D94B7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DISPOSIÇÕES FINAIS E TRANSITÓRIAS</w:t>
      </w:r>
    </w:p>
    <w:p w14:paraId="1C8F1377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21. Até que seja criada a nova classe processual prevista no art. 14 desta Resolução, os pedidos de tutela provisória serão autuados, no Processo Judicial Eletrônico, na classe de Ação Cautelar.</w:t>
      </w:r>
    </w:p>
    <w:p w14:paraId="37EA6DAF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22. A oitiva de testemunhas e a sustentação oral por meio de videoconferência, previstas nos </w:t>
      </w:r>
      <w:proofErr w:type="spellStart"/>
      <w:r w:rsidRPr="005A2378">
        <w:rPr>
          <w:rFonts w:ascii="Book Antiqua" w:hAnsi="Book Antiqua"/>
          <w:sz w:val="19"/>
          <w:szCs w:val="19"/>
        </w:rPr>
        <w:fldChar w:fldCharType="begin"/>
      </w:r>
      <w:r w:rsidRPr="005A2378">
        <w:rPr>
          <w:rFonts w:ascii="Book Antiqua" w:hAnsi="Book Antiqua"/>
          <w:sz w:val="19"/>
          <w:szCs w:val="19"/>
        </w:rPr>
        <w:instrText>HYPERLINK "http://www.planalto.gov.br/ccivil_03/_ato2015-2018/2015/lei/l13105.htm" \l "art385%C2%A73"</w:instrText>
      </w:r>
      <w:r w:rsidRPr="005A2378">
        <w:rPr>
          <w:rFonts w:ascii="Book Antiqua" w:hAnsi="Book Antiqua"/>
          <w:sz w:val="19"/>
          <w:szCs w:val="19"/>
        </w:rPr>
      </w:r>
      <w:r w:rsidRPr="005A2378">
        <w:rPr>
          <w:rFonts w:ascii="Book Antiqua" w:hAnsi="Book Antiqua"/>
          <w:sz w:val="19"/>
          <w:szCs w:val="19"/>
        </w:rPr>
        <w:fldChar w:fldCharType="separate"/>
      </w:r>
      <w:r w:rsidRPr="005A2378">
        <w:rPr>
          <w:rStyle w:val="Hyperlink"/>
          <w:rFonts w:ascii="Book Antiqua" w:hAnsi="Book Antiqua"/>
          <w:sz w:val="19"/>
          <w:szCs w:val="19"/>
        </w:rPr>
        <w:t>arts</w:t>
      </w:r>
      <w:proofErr w:type="spellEnd"/>
      <w:r w:rsidRPr="005A2378">
        <w:rPr>
          <w:rStyle w:val="Hyperlink"/>
          <w:rFonts w:ascii="Book Antiqua" w:hAnsi="Book Antiqua"/>
          <w:sz w:val="19"/>
          <w:szCs w:val="19"/>
        </w:rPr>
        <w:t>. 385, § 3º </w:t>
      </w:r>
      <w:r w:rsidRPr="005A2378">
        <w:rPr>
          <w:rFonts w:ascii="Book Antiqua" w:hAnsi="Book Antiqua"/>
          <w:sz w:val="19"/>
          <w:szCs w:val="19"/>
        </w:rPr>
        <w:fldChar w:fldCharType="end"/>
      </w:r>
      <w:r w:rsidRPr="005A2378">
        <w:rPr>
          <w:rFonts w:ascii="Book Antiqua" w:hAnsi="Book Antiqua"/>
          <w:sz w:val="19"/>
          <w:szCs w:val="19"/>
        </w:rPr>
        <w:t>, </w:t>
      </w:r>
      <w:hyperlink r:id="rId35" w:anchor="art453%C2%A71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453, § 1º </w:t>
        </w:r>
      </w:hyperlink>
      <w:r w:rsidRPr="005A2378">
        <w:rPr>
          <w:rFonts w:ascii="Book Antiqua" w:hAnsi="Book Antiqua"/>
          <w:sz w:val="19"/>
          <w:szCs w:val="19"/>
        </w:rPr>
        <w:t>, </w:t>
      </w:r>
      <w:hyperlink r:id="rId36" w:anchor="art461%C2%A72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461, § 2º </w:t>
        </w:r>
      </w:hyperlink>
      <w:r w:rsidRPr="005A2378">
        <w:rPr>
          <w:rFonts w:ascii="Book Antiqua" w:hAnsi="Book Antiqua"/>
          <w:sz w:val="19"/>
          <w:szCs w:val="19"/>
        </w:rPr>
        <w:t>, e </w:t>
      </w:r>
      <w:hyperlink r:id="rId37" w:anchor="art937%C2%A74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937, § 4º, do Novo Código de Processo Civil </w:t>
        </w:r>
      </w:hyperlink>
      <w:r w:rsidRPr="005A2378">
        <w:rPr>
          <w:rFonts w:ascii="Book Antiqua" w:hAnsi="Book Antiqua"/>
          <w:sz w:val="19"/>
          <w:szCs w:val="19"/>
        </w:rPr>
        <w:t>, serão implantadas de acordo com a disponibilidade técnica de cada cartório ou Tribunal Eleitoral.</w:t>
      </w:r>
    </w:p>
    <w:p w14:paraId="377EA7EB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23. As disposições previstas nesta Resolução não prejudicam os atos processuais praticados antes da sua publicação.</w:t>
      </w:r>
    </w:p>
    <w:p w14:paraId="10FCB7F1" w14:textId="77777777" w:rsidR="005A2378" w:rsidRPr="005A2378" w:rsidRDefault="005A2378" w:rsidP="005A2378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Art. 24. Esta Resolução entra em vigor na data de sua publicação.</w:t>
      </w:r>
    </w:p>
    <w:p w14:paraId="4A295CA9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Brasília, 10 de maio de 2016.</w:t>
      </w:r>
    </w:p>
    <w:p w14:paraId="2FD49D81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 xml:space="preserve">MINISTRO DIAS </w:t>
      </w:r>
      <w:proofErr w:type="gramStart"/>
      <w:r w:rsidRPr="005A2378">
        <w:rPr>
          <w:rFonts w:ascii="Book Antiqua" w:hAnsi="Book Antiqua"/>
          <w:sz w:val="19"/>
          <w:szCs w:val="19"/>
        </w:rPr>
        <w:t>TOFFOLI  PRESIDENTE</w:t>
      </w:r>
      <w:proofErr w:type="gramEnd"/>
      <w:r w:rsidRPr="005A2378">
        <w:rPr>
          <w:rFonts w:ascii="Book Antiqua" w:hAnsi="Book Antiqua"/>
          <w:sz w:val="19"/>
          <w:szCs w:val="19"/>
        </w:rPr>
        <w:t xml:space="preserve"> E RELATOR</w:t>
      </w:r>
    </w:p>
    <w:p w14:paraId="0AAB3D1A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MINISTRO GILMAR MENDES</w:t>
      </w:r>
    </w:p>
    <w:p w14:paraId="6653BCC0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MINISTRO LUIZ FUX</w:t>
      </w:r>
    </w:p>
    <w:p w14:paraId="357CF555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MINISTRO HERMAN BENJAMIN</w:t>
      </w:r>
    </w:p>
    <w:p w14:paraId="15DC80B8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MINISTRO NAPOLEÃO NUNES MAIA FILHO</w:t>
      </w:r>
    </w:p>
    <w:p w14:paraId="4742C738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MINISTRO HENRIQUE NEVES DA SILVA</w:t>
      </w:r>
    </w:p>
    <w:p w14:paraId="67E187E8" w14:textId="77777777" w:rsidR="005A2378" w:rsidRPr="005A2378" w:rsidRDefault="005A2378" w:rsidP="005A2378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MINISTRA LUCIANA LÓSSIO</w:t>
      </w:r>
    </w:p>
    <w:p w14:paraId="3B483255" w14:textId="77777777" w:rsidR="005A2378" w:rsidRDefault="005A2378" w:rsidP="005A237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5227C3F2" w14:textId="2294A344" w:rsidR="005A2378" w:rsidRPr="005A2378" w:rsidRDefault="005A2378" w:rsidP="005A237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5A2378">
        <w:rPr>
          <w:rFonts w:ascii="Book Antiqua" w:hAnsi="Book Antiqua"/>
          <w:sz w:val="19"/>
          <w:szCs w:val="19"/>
        </w:rPr>
        <w:t>Este texto não substitui o publicado no </w:t>
      </w:r>
      <w:hyperlink r:id="rId38" w:tgtFrame="_self" w:history="1">
        <w:r w:rsidRPr="005A2378">
          <w:rPr>
            <w:rStyle w:val="Hyperlink"/>
            <w:rFonts w:ascii="Book Antiqua" w:hAnsi="Book Antiqua"/>
            <w:sz w:val="19"/>
            <w:szCs w:val="19"/>
          </w:rPr>
          <w:t>DJE-TSE, nº 114, de 15.6.2016, p. 56-58.</w:t>
        </w:r>
      </w:hyperlink>
    </w:p>
    <w:p w14:paraId="644AFF1A" w14:textId="77777777" w:rsidR="00BB7FE6" w:rsidRPr="005A2378" w:rsidRDefault="00BB7FE6" w:rsidP="005A237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5A2378" w:rsidSect="005A2378">
      <w:pgSz w:w="11906" w:h="16838"/>
      <w:pgMar w:top="141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F"/>
    <w:rsid w:val="00062BD1"/>
    <w:rsid w:val="00294EBF"/>
    <w:rsid w:val="003718C3"/>
    <w:rsid w:val="00472A0C"/>
    <w:rsid w:val="005A2378"/>
    <w:rsid w:val="009F7FC7"/>
    <w:rsid w:val="00BB7FE6"/>
    <w:rsid w:val="00C15A57"/>
    <w:rsid w:val="00D346F6"/>
    <w:rsid w:val="00F6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7ACDA"/>
  <w15:chartTrackingRefBased/>
  <w15:docId w15:val="{78FF3BB9-238B-487A-862C-E2BE5D67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A23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237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A2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5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111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0655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4958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8991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15-2018/2015/lei/l13105.htm" TargetMode="External"/><Relationship Id="rId18" Type="http://schemas.openxmlformats.org/officeDocument/2006/relationships/hyperlink" Target="http://www.planalto.gov.br/ccivil_03/_ato2015-2018/2015/lei/l13105.htm" TargetMode="External"/><Relationship Id="rId26" Type="http://schemas.openxmlformats.org/officeDocument/2006/relationships/hyperlink" Target="http://www.planalto.gov.br/ccivil_03/_ato2015-2018/2015/lei/l13105.ht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://www.planalto.gov.br/ccivil_03/_ato2015-2018/2015/lei/l13105.htm" TargetMode="External"/><Relationship Id="rId34" Type="http://schemas.openxmlformats.org/officeDocument/2006/relationships/hyperlink" Target="http://www.planalto.gov.br/ccivil_03/_ato2015-2018/2015/lei/l13105.htm" TargetMode="External"/><Relationship Id="rId7" Type="http://schemas.openxmlformats.org/officeDocument/2006/relationships/hyperlink" Target="http://www.planalto.gov.br/ccivil_03/_ato2015-2018/2015/lei/l13105.htm" TargetMode="External"/><Relationship Id="rId12" Type="http://schemas.openxmlformats.org/officeDocument/2006/relationships/hyperlink" Target="http://www.planalto.gov.br/ccivil_03/leis/LCP/Lcp64.htm" TargetMode="External"/><Relationship Id="rId17" Type="http://schemas.openxmlformats.org/officeDocument/2006/relationships/hyperlink" Target="http://www.planalto.gov.br/ccivil_03/_ato2015-2018/2015/lei/l13105.htm" TargetMode="External"/><Relationship Id="rId25" Type="http://schemas.openxmlformats.org/officeDocument/2006/relationships/hyperlink" Target="http://www.planalto.gov.br/ccivil_03/leis/L9504.htm" TargetMode="External"/><Relationship Id="rId33" Type="http://schemas.openxmlformats.org/officeDocument/2006/relationships/hyperlink" Target="http://www.planalto.gov.br/ccivil_03/_ato2015-2018/2015/lei/l13105.htm" TargetMode="External"/><Relationship Id="rId38" Type="http://schemas.openxmlformats.org/officeDocument/2006/relationships/hyperlink" Target="http://sintse.tse.jus.br/documentos/2016/Jun/16/diario-da-justica-eletronico-tse/resolucao-no-23-478-de-10-de-maio-de-2016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CP/Lcp64.htm" TargetMode="External"/><Relationship Id="rId20" Type="http://schemas.openxmlformats.org/officeDocument/2006/relationships/hyperlink" Target="http://www.planalto.gov.br/ccivil_03/_ato2015-2018/2015/lei/l13105.htm" TargetMode="External"/><Relationship Id="rId29" Type="http://schemas.openxmlformats.org/officeDocument/2006/relationships/hyperlink" Target="http://www.planalto.gov.br/ccivil_03/leis/L4737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5-2018/2015/lei/l13105.htm" TargetMode="External"/><Relationship Id="rId11" Type="http://schemas.openxmlformats.org/officeDocument/2006/relationships/hyperlink" Target="http://www.planalto.gov.br/ccivil_03/_ato2015-2018/2015/lei/l13105.htm" TargetMode="External"/><Relationship Id="rId24" Type="http://schemas.openxmlformats.org/officeDocument/2006/relationships/hyperlink" Target="http://www.planalto.gov.br/ccivil_03/leis/LCP/Lcp64.htm" TargetMode="External"/><Relationship Id="rId32" Type="http://schemas.openxmlformats.org/officeDocument/2006/relationships/hyperlink" Target="http://www.planalto.gov.br/ccivil_03/leis/L4737.htm" TargetMode="External"/><Relationship Id="rId37" Type="http://schemas.openxmlformats.org/officeDocument/2006/relationships/hyperlink" Target="http://www.planalto.gov.br/ccivil_03/_ato2015-2018/2015/lei/l13105.htm" TargetMode="External"/><Relationship Id="rId40" Type="http://schemas.openxmlformats.org/officeDocument/2006/relationships/theme" Target="theme/theme1.xml"/><Relationship Id="rId5" Type="http://schemas.openxmlformats.org/officeDocument/2006/relationships/hyperlink" Target="http://www.planalto.gov.br/ccivil_03/_ato2015-2018/2015/lei/l13105.htm" TargetMode="External"/><Relationship Id="rId15" Type="http://schemas.openxmlformats.org/officeDocument/2006/relationships/hyperlink" Target="http://www.planalto.gov.br/ccivil_03/_ato2015-2018/2015/lei/l13105.htm" TargetMode="External"/><Relationship Id="rId23" Type="http://schemas.openxmlformats.org/officeDocument/2006/relationships/hyperlink" Target="http://www.planalto.gov.br/ccivil_03/leis/LCP/Lcp64.htm" TargetMode="External"/><Relationship Id="rId28" Type="http://schemas.openxmlformats.org/officeDocument/2006/relationships/hyperlink" Target="http://www.planalto.gov.br/ccivil_03/leis/L4737.htm" TargetMode="External"/><Relationship Id="rId36" Type="http://schemas.openxmlformats.org/officeDocument/2006/relationships/hyperlink" Target="http://www.planalto.gov.br/ccivil_03/_ato2015-2018/2015/lei/l13105.htm" TargetMode="External"/><Relationship Id="rId10" Type="http://schemas.openxmlformats.org/officeDocument/2006/relationships/hyperlink" Target="http://www.planalto.gov.br/ccivil_03/_ato2015-2018/2015/lei/l13105.htm" TargetMode="External"/><Relationship Id="rId19" Type="http://schemas.openxmlformats.org/officeDocument/2006/relationships/hyperlink" Target="http://www.planalto.gov.br/ccivil_03/_ato2015-2018/2015/lei/l13105.htm" TargetMode="External"/><Relationship Id="rId31" Type="http://schemas.openxmlformats.org/officeDocument/2006/relationships/hyperlink" Target="http://www.planalto.gov.br/ccivil_03/leis/L4737.htm" TargetMode="External"/><Relationship Id="rId4" Type="http://schemas.openxmlformats.org/officeDocument/2006/relationships/hyperlink" Target="http://www.planalto.gov.br/ccivil_03/leis/L4737.htm" TargetMode="External"/><Relationship Id="rId9" Type="http://schemas.openxmlformats.org/officeDocument/2006/relationships/hyperlink" Target="http://www.planalto.gov.br/ccivil_03/leis/L9265.htm" TargetMode="External"/><Relationship Id="rId14" Type="http://schemas.openxmlformats.org/officeDocument/2006/relationships/hyperlink" Target="http://www.planalto.gov.br/ccivil_03/leis/L4737.htm" TargetMode="External"/><Relationship Id="rId22" Type="http://schemas.openxmlformats.org/officeDocument/2006/relationships/hyperlink" Target="http://www.planalto.gov.br/ccivil_03/leis/LCP/Lcp64.htm" TargetMode="External"/><Relationship Id="rId27" Type="http://schemas.openxmlformats.org/officeDocument/2006/relationships/hyperlink" Target="http://www.planalto.gov.br/ccivil_03/_ato2015-2018/2015/lei/l13105.htm" TargetMode="External"/><Relationship Id="rId30" Type="http://schemas.openxmlformats.org/officeDocument/2006/relationships/hyperlink" Target="http://www.planalto.gov.br/ccivil_03/_ato2015-2018/2015/lei/l13105.htm" TargetMode="External"/><Relationship Id="rId35" Type="http://schemas.openxmlformats.org/officeDocument/2006/relationships/hyperlink" Target="http://www.planalto.gov.br/ccivil_03/_ato2015-2018/2015/lei/l13105.htm" TargetMode="External"/><Relationship Id="rId8" Type="http://schemas.openxmlformats.org/officeDocument/2006/relationships/hyperlink" Target="http://www.planalto.gov.br/ccivil_03/_ato2015-2018/2015/lei/l13105.ht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2011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2023-10-09T17:42:00Z</dcterms:created>
  <dcterms:modified xsi:type="dcterms:W3CDTF">2024-06-26T18:52:00Z</dcterms:modified>
</cp:coreProperties>
</file>