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C48E" w14:textId="5A0EA343" w:rsidR="009C0985" w:rsidRPr="009C0985" w:rsidRDefault="009C0985" w:rsidP="009C098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9C0985">
        <w:rPr>
          <w:rFonts w:ascii="Book Antiqua" w:hAnsi="Book Antiqua"/>
          <w:b/>
          <w:bCs/>
          <w:color w:val="FF0000"/>
          <w:sz w:val="19"/>
          <w:szCs w:val="19"/>
        </w:rPr>
        <w:t>(Atualização em 29/03/2025: questões de concurso)</w:t>
      </w:r>
    </w:p>
    <w:p w14:paraId="6E33A2AA" w14:textId="4F4EBC39" w:rsidR="009C0985" w:rsidRPr="009C0985" w:rsidRDefault="009C0985" w:rsidP="009C098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C0985">
        <w:rPr>
          <w:rFonts w:ascii="Book Antiqua" w:hAnsi="Book Antiqua"/>
          <w:b/>
          <w:bCs/>
          <w:sz w:val="19"/>
          <w:szCs w:val="19"/>
        </w:rPr>
        <w:t>Resolução nº 23.670, de 14 de dezembro de 2021 - Brasília/DF</w:t>
      </w:r>
    </w:p>
    <w:p w14:paraId="5FE5A1BC" w14:textId="77777777" w:rsidR="009C0985" w:rsidRPr="009C0985" w:rsidRDefault="009C0985" w:rsidP="009C0985">
      <w:pPr>
        <w:spacing w:before="100" w:beforeAutospacing="1" w:after="100" w:afterAutospacing="1" w:line="240" w:lineRule="auto"/>
        <w:ind w:left="1560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Dispõe sobre as federações de partidos políticos.</w:t>
      </w:r>
    </w:p>
    <w:p w14:paraId="2A31A5D0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O TRIBUNAL SUPERIOR ELEITORAL, no uso de suas atribuições legais e regimentais,</w:t>
      </w:r>
    </w:p>
    <w:p w14:paraId="61764F33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Considerando a vigência da Lei nº 14.208, de 28 de setembro de 2021, que instituiu as federações de partidos políticos,</w:t>
      </w:r>
    </w:p>
    <w:p w14:paraId="4B2CF82F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RESOLVE:</w:t>
      </w:r>
    </w:p>
    <w:p w14:paraId="25667D2B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1º Dois ou mais partidos com registro definitivo no Tribunal Superior Eleitoral poderão reunir-se em federação, com abrangência nacional, e requerer o respectivo registro junto ao mesmo Tribunal (Lei nº 9.096/1995, art. 11-A, caput e § 3º, I e IV).</w:t>
      </w:r>
    </w:p>
    <w:p w14:paraId="1360E577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1º Para os fins do caput deste artigo, a federação deverá ser previamente constituída sob a forma de associação, devidamente registrada no cartório competente do Registro Civil das Pessoas Jurídicas do local de sua sede.</w:t>
      </w:r>
    </w:p>
    <w:p w14:paraId="1815AC1E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2º Adquirida sua personalidade jurídica, a federação apresentará seu pedido de registro ao Tribunal Superior Eleitoral, instruído com os seguintes documentos (Lei nº 9.096/1995, art. 11-A, § 6º):</w:t>
      </w:r>
    </w:p>
    <w:p w14:paraId="3EE27B37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9C0985">
        <w:rPr>
          <w:rFonts w:ascii="Book Antiqua" w:hAnsi="Book Antiqua"/>
          <w:sz w:val="19"/>
          <w:szCs w:val="19"/>
        </w:rPr>
        <w:t>a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respectiva certidão do Registro Civil de Pessoas Jurídicas;</w:t>
      </w:r>
    </w:p>
    <w:p w14:paraId="6AFE4DAF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9C0985">
        <w:rPr>
          <w:rFonts w:ascii="Book Antiqua" w:hAnsi="Book Antiqua"/>
          <w:sz w:val="19"/>
          <w:szCs w:val="19"/>
        </w:rPr>
        <w:t>o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seu número de inscrição no Cadastro Nacional de Pessoas Jurídicas (CNPJ);</w:t>
      </w:r>
    </w:p>
    <w:p w14:paraId="7E978BB5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III – cópia da resolução tomada pela maioria absoluta dos votos dos órgãos de deliberação nacional de cada um dos partidos integrantes da federação;</w:t>
      </w:r>
    </w:p>
    <w:p w14:paraId="6A55BF06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9C0985">
        <w:rPr>
          <w:rFonts w:ascii="Book Antiqua" w:hAnsi="Book Antiqua"/>
          <w:sz w:val="19"/>
          <w:szCs w:val="19"/>
        </w:rPr>
        <w:t>exemplar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autenticado do inteiro teor do programa e do estatuto comuns da federação constituída, inscritos no cartório competente do Registro Civil das Pessoas Jurídicas;</w:t>
      </w:r>
    </w:p>
    <w:p w14:paraId="4B93A6EB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9C0985">
        <w:rPr>
          <w:rFonts w:ascii="Book Antiqua" w:hAnsi="Book Antiqua"/>
          <w:sz w:val="19"/>
          <w:szCs w:val="19"/>
        </w:rPr>
        <w:t>ata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de eleição do órgão de direção nacional da federação; e</w:t>
      </w:r>
    </w:p>
    <w:p w14:paraId="5394895F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VI – endereço e telefone de sua sede e de seus dirigentes nacionais, bem como endereço eletrônico para recebimento de comunicações.</w:t>
      </w:r>
    </w:p>
    <w:p w14:paraId="78E2DE66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Parágrafo único. O estatuto de que trata o inciso IV deste artigo deverá conter regras para a composição de listas para as eleições proporcionais, que vinculará a escolha de candidatos da federação em todos os níveis (Lei nº 9.096/1995, art. 11-A, § 7º).</w:t>
      </w:r>
    </w:p>
    <w:p w14:paraId="305952D0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3º O pedido será autuado na classe Registro de Federação Partidária (RFP) e distribuído a um relator ou a uma relatora, devendo a secretaria do Tribunal publicar, imediatamente, no Diário da Justiça Eletrônico (DJE), edital para ciência das interessadas e dos interessados.</w:t>
      </w:r>
    </w:p>
    <w:p w14:paraId="15EB71F8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1º Qualquer interessada ou interessado poderá, no prazo de 3 (três) dias contados da publicação do edital, impugnar o pedido de registro da federação, em petição fundamentada, acompanhada da prova documental pertinente e, se for o caso, de requerimento justificado de produção de outras provas, inclusive documentos em poder de terceiros ou de repartições públicas.</w:t>
      </w:r>
    </w:p>
    <w:p w14:paraId="393741A5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2º Oferecida impugnação, o relator ou a relatora deverá determinar a intimação da federação para apresentar defesa, no prazo de 3 (três) dias, acompanhada da prova documental pertinente e, se for o caso, de requerimento justificado de produção de outras provas, inclusive documentos em poder de terceiros ou de repartições públicas.</w:t>
      </w:r>
    </w:p>
    <w:p w14:paraId="40758C2D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lastRenderedPageBreak/>
        <w:t>§ 3º Oferecida a resposta ou findo o respectivo prazo, o relator ou a relatora determinará a oitiva, em 2 (dois) dias, do representante do Ministério Público Eleitoral e, em seguida:</w:t>
      </w:r>
    </w:p>
    <w:p w14:paraId="31553387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9C0985">
        <w:rPr>
          <w:rFonts w:ascii="Book Antiqua" w:hAnsi="Book Antiqua"/>
          <w:sz w:val="19"/>
          <w:szCs w:val="19"/>
        </w:rPr>
        <w:t>promoverá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o saneamento de eventuais falhas processuais acaso existentes;</w:t>
      </w:r>
    </w:p>
    <w:p w14:paraId="0AB7ACD1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9C0985">
        <w:rPr>
          <w:rFonts w:ascii="Book Antiqua" w:hAnsi="Book Antiqua"/>
          <w:sz w:val="19"/>
          <w:szCs w:val="19"/>
        </w:rPr>
        <w:t>decidirá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sobre a pertinência das provas requeridas pelas partes, determinando a realização daquelas que contribuírem para a decisão da causa, indeferindo as inúteis ou meramente protelatórias; e</w:t>
      </w:r>
    </w:p>
    <w:p w14:paraId="5C5D4ED4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III – determinará a produção de provas que entender necessárias e que não tenham sido requeridas pelas partes.</w:t>
      </w:r>
    </w:p>
    <w:p w14:paraId="357B328A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4º Havendo a juntada de qualquer documento com a resposta ou em momento posterior, deve ser dada vista à outra parte para manifestação no prazo de 3 (três) dias.</w:t>
      </w:r>
    </w:p>
    <w:p w14:paraId="2EE95353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5º Não havendo impugnação ou finda a instrução do feito, o relator ou a relatora deve ouvir o Ministério Público Eleitoral, no prazo de 3 (três) dias, e determinar, em igual prazo, as diligências para sanar eventuais falhas do processo.</w:t>
      </w:r>
    </w:p>
    <w:p w14:paraId="37054537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6º Ouvido o Ministério Público, os autos serão conclusos ao relator ou à relatora, que os apresentará para julgamento perante o Plenário do Tribunal no prazo de até 10 (dez) dias.</w:t>
      </w:r>
    </w:p>
    <w:p w14:paraId="254B325A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§ 7º Na sessão de julgamento, após o relatório, as partes e a Procuradoria-Geral Eleitoral poderão sustentar oralmente suas razões, no prazo improrrogável de 15 (quinze) minutos cada uma. </w:t>
      </w:r>
    </w:p>
    <w:p w14:paraId="72742717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9C0985">
        <w:rPr>
          <w:rFonts w:ascii="Book Antiqua" w:hAnsi="Book Antiqua"/>
          <w:sz w:val="19"/>
          <w:szCs w:val="19"/>
        </w:rPr>
        <w:t xml:space="preserve"> Deferido o registro da federação, serão anotadas no Sistema de Gestão de Informações Partidárias (SGIP):</w:t>
      </w:r>
    </w:p>
    <w:p w14:paraId="177E2EB4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9C0985">
        <w:rPr>
          <w:rFonts w:ascii="Book Antiqua" w:hAnsi="Book Antiqua"/>
          <w:sz w:val="19"/>
          <w:szCs w:val="19"/>
        </w:rPr>
        <w:t>a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informação, no registro de todos os partidos políticos que compõem a federação, da data em que passaram a integrá-la; e</w:t>
      </w:r>
    </w:p>
    <w:p w14:paraId="48612DBC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9C0985">
        <w:rPr>
          <w:rFonts w:ascii="Book Antiqua" w:hAnsi="Book Antiqua"/>
          <w:sz w:val="19"/>
          <w:szCs w:val="19"/>
        </w:rPr>
        <w:t>a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composição do órgão de direção nacional da federação.</w:t>
      </w:r>
    </w:p>
    <w:p w14:paraId="3476DDFE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1º Feitas as anotações a que se referem os incisos do caput deste artigo, os partidos que compõem a federação passarão a atuar, em todos os níveis, de forma unificada (Lei nº 9.096/1995, art. 11-A, caput).</w:t>
      </w:r>
    </w:p>
    <w:p w14:paraId="5F9DBEA8" w14:textId="24CF12EA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9C0985">
        <w:rPr>
          <w:rFonts w:ascii="Book Antiqua" w:hAnsi="Book Antiqua"/>
          <w:b/>
          <w:bCs/>
          <w:sz w:val="19"/>
          <w:szCs w:val="19"/>
        </w:rPr>
        <w:t xml:space="preserve"> Para fins de aferição da cláusula de desempenho prevista no § 3º do art. 17 da Constituição e no art. 3º da EC nº 97/2017, será considerada a soma da votação e da representação dos partidos que integram a federação</w:t>
      </w:r>
      <w:r w:rsidRPr="009C0985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hAnsi="Book Antiqua"/>
          <w:b/>
          <w:color w:val="FF0000"/>
          <w:sz w:val="16"/>
          <w:szCs w:val="16"/>
          <w:u w:val="single"/>
        </w:rPr>
        <w:t>(MPBA-2023)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C0985" w14:paraId="34EF4380" w14:textId="77777777" w:rsidTr="009C0985">
        <w:tc>
          <w:tcPr>
            <w:tcW w:w="8494" w:type="dxa"/>
            <w:shd w:val="clear" w:color="auto" w:fill="CCFFFF"/>
          </w:tcPr>
          <w:p w14:paraId="78963153" w14:textId="0B451FBE" w:rsidR="009C0985" w:rsidRPr="009C0985" w:rsidRDefault="009C0985" w:rsidP="009C0985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9C0985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MPBA-2023-CESPE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9C0985">
              <w:rPr>
                <w:rFonts w:ascii="Book Antiqua" w:hAnsi="Book Antiqua"/>
                <w:sz w:val="19"/>
                <w:szCs w:val="19"/>
              </w:rPr>
              <w:t>A respeito de coligações e federações de partidos, considerando as disposições constitucionais e a Lei n.º 9.096/1995,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9C0985">
              <w:rPr>
                <w:rFonts w:ascii="Book Antiqua" w:hAnsi="Book Antiqua"/>
                <w:sz w:val="19"/>
                <w:szCs w:val="19"/>
              </w:rPr>
              <w:t>No caso de a federação ultrapassar a cláusula de desempenho, os partidos federados manterão o acesso aos recursos do Fundo Partidário e ao tempo de propaganda no rádio e na televisão, mesmo que seu desempenho isolado não seja suficiente para tanto.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4º, §2º, Res. 23670/21, TSE.</w:t>
            </w:r>
          </w:p>
        </w:tc>
      </w:tr>
    </w:tbl>
    <w:p w14:paraId="67EE4E14" w14:textId="54AD3DF4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3º O efeito de que trata o § 2º deste artigo somente incidirá a partir do início da legislatura seguinte ao deferimento do registro da federação, compreendida aquela conforme o parágrafo único do art. 44 da Constituição.</w:t>
      </w:r>
    </w:p>
    <w:p w14:paraId="06C26496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4º A fim de assegurar a isonomia com os partidos políticos, a participação da federação nas eleições somente será possível se o deferimento de seu registro no TSE ocorrer até 6 (seis) meses antes das eleições, observadas as demais disposições aplicáveis da resolução que tratar do registro de candidatura.</w:t>
      </w:r>
    </w:p>
    <w:p w14:paraId="1EB711C9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5º O disposto no art. 4º não afeta a identidade e a autonomia dos partidos integrantes da federação, os quais conservarão (Constituição, art. 17, e Lei nº 9.096/1995, art. 11-A, § 2º):</w:t>
      </w:r>
    </w:p>
    <w:p w14:paraId="4A377065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lastRenderedPageBreak/>
        <w:t xml:space="preserve">I – </w:t>
      </w:r>
      <w:proofErr w:type="gramStart"/>
      <w:r w:rsidRPr="009C0985">
        <w:rPr>
          <w:rFonts w:ascii="Book Antiqua" w:hAnsi="Book Antiqua"/>
          <w:sz w:val="19"/>
          <w:szCs w:val="19"/>
        </w:rPr>
        <w:t>seu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nome, sigla e número próprios, inexistindo atribuição de número à federação;</w:t>
      </w:r>
    </w:p>
    <w:p w14:paraId="5D134449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9C0985">
        <w:rPr>
          <w:rFonts w:ascii="Book Antiqua" w:hAnsi="Book Antiqua"/>
          <w:sz w:val="19"/>
          <w:szCs w:val="19"/>
        </w:rPr>
        <w:t>seu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quadro de filiados;</w:t>
      </w:r>
    </w:p>
    <w:p w14:paraId="490FB241" w14:textId="22F32F40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III – o direito ao recebimento direto dos repasses do Fundo Partidário e do Fundo Especial de Financiamento de Campanhas e o direito de acesso gratuito ao rádio e à televisão para a veiculação de propaganda partidária, na forma da lei;</w:t>
      </w:r>
      <w:r>
        <w:rPr>
          <w:rFonts w:ascii="Book Antiqua" w:hAnsi="Book Antiqua"/>
          <w:sz w:val="19"/>
          <w:szCs w:val="19"/>
        </w:rPr>
        <w:t xml:space="preserve"> (</w:t>
      </w:r>
      <w:r w:rsidRPr="009C0985">
        <w:rPr>
          <w:rFonts w:ascii="Book Antiqua" w:hAnsi="Book Antiqua"/>
          <w:sz w:val="19"/>
          <w:szCs w:val="19"/>
        </w:rPr>
        <w:t>Inciso III com redação dada pelo art. 34 da Res.-TSE nº 23679/2022.</w:t>
      </w:r>
      <w:r>
        <w:rPr>
          <w:rFonts w:ascii="Book Antiqua" w:hAnsi="Book Antiqua"/>
          <w:sz w:val="19"/>
          <w:szCs w:val="19"/>
        </w:rPr>
        <w:t>)</w:t>
      </w:r>
    </w:p>
    <w:p w14:paraId="7A364831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9C0985">
        <w:rPr>
          <w:rFonts w:ascii="Book Antiqua" w:hAnsi="Book Antiqua"/>
          <w:sz w:val="19"/>
          <w:szCs w:val="19"/>
        </w:rPr>
        <w:t>o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dever de prestar contas; e</w:t>
      </w:r>
    </w:p>
    <w:p w14:paraId="370DCF1D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9C0985">
        <w:rPr>
          <w:rFonts w:ascii="Book Antiqua" w:hAnsi="Book Antiqua"/>
          <w:sz w:val="19"/>
          <w:szCs w:val="19"/>
        </w:rPr>
        <w:t>a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responsabilidade pelos recolhimentos e sanções que lhes sejam imputados por decisão judicial.</w:t>
      </w:r>
    </w:p>
    <w:p w14:paraId="5801219C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6º A federação vigorará por prazo indeterminado, devendo os partidos políticos nela permanecer por, no mínimo, 4 (quatro) anos, contados da data de seu ingresso (Lei nº 9.096/1995, art. 11-A, § 3º, II).</w:t>
      </w:r>
    </w:p>
    <w:p w14:paraId="66DD3A79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1º A federação poderá requerer sua extinção ou a alteração de sua composição, para a inclusão ou exclusão de partidos políticos, bem como das demais regras de seu estatuto, mediante requerimento acompanhado da comprovação da alteração estatutária perante o Registro Civil das Pessoas Jurídicas.</w:t>
      </w:r>
    </w:p>
    <w:p w14:paraId="6F60982E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2º No caso de exclusão, o partido político que estiver se desligando da federação também poderá apresentar o requerimento a que se refere o § 1º deste artigo.</w:t>
      </w:r>
    </w:p>
    <w:p w14:paraId="0DF289F9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3º Apresentado o requerimento de alteração estatutária ou programática, será observado, no que couber, o procedimento previsto no art. 3º desta resolução.</w:t>
      </w:r>
    </w:p>
    <w:p w14:paraId="20638164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4º As alterações de que trata este artigo somente surtirão efeitos após o deferimento do pedido pelo Tribunal Superior Eleitoral.</w:t>
      </w:r>
    </w:p>
    <w:p w14:paraId="33946C61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5º Extinta a federação, cessará imediatamente o efeito previsto no § 1º do art. 4º desta resolução, devendo-se proceder a novo cálculo para a distribuição do Fundo Partidário conforme a cláusula de desempenho em vigor.</w:t>
      </w:r>
    </w:p>
    <w:p w14:paraId="2B4A3BD4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7º O partido que se desligar da federação antes do tempo mínimo previsto no caput do art. 6º desta resolução ficará sujeito à vedação de ingressar em federação, de celebrar coligação nas 2 (duas) eleições seguintes e, até completar o prazo mínimo remanescente, de utilizar o Fundo Partidário (Lei nº 9.096/1995, art. 11-A, § 4º).</w:t>
      </w:r>
    </w:p>
    <w:p w14:paraId="670ADA9F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1º Na hipótese de desligamento de 1 (um) ou mais partidos, a federação continuará em funcionamento, sem prejuízo à sua participação na eleição seguinte, desde que nela permaneçam 2 (dois) ou mais partidos (Lei nº 9.096/1995, art. 11-A, § 5º).</w:t>
      </w:r>
    </w:p>
    <w:p w14:paraId="7AF1F939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2º O partido político que se desligar da federação até 6 (seis) meses antes da eleição poderá dela participar isoladamente, sem prejuízo da aplicação das sanções previstas no caput deste artigo.</w:t>
      </w:r>
    </w:p>
    <w:p w14:paraId="197E31BD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3º As sanções previstas no caput deste artigo não serão aplicadas a(os) partido(s) político(s) em caso de a extinção da federação ser motivada pela fusão ou incorporação entre eles.</w:t>
      </w:r>
    </w:p>
    <w:p w14:paraId="51322871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8º A requerimento de seu presidente, a federação poderá credenciar cinco delegados perante o Tribunal Superior Eleitoral.</w:t>
      </w:r>
    </w:p>
    <w:p w14:paraId="00916CE4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9º Nos estados, no Distrito Federal e nos municípios, o funcionamento da federação não dependerá de constituição de órgãos próprios, bastando que exista, na localidade, órgão partidário de algum dos partidos que a compõem.</w:t>
      </w:r>
    </w:p>
    <w:p w14:paraId="54C5FF72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lastRenderedPageBreak/>
        <w:t>Parágrafo único. Havendo a constituição de órgão estadual, distrital ou municipal da federação, é facultada sua anotação no SGIP, bem como o credenciamento de delegados, em número equivalente ao dos partidos políticos.</w:t>
      </w:r>
    </w:p>
    <w:p w14:paraId="65594B93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10. A manutenção e o funcionamento da federação serão custeados pelos partidos políticos que a compõem, cabendo ao estatuto dispor a respeito.</w:t>
      </w:r>
    </w:p>
    <w:p w14:paraId="1C18145E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1º É lícito aos partidos realizar gastos em prol da federação com recursos do Fundo Partidário na manutenção e no funcionamento da federação, desde que não integrem parcela cuja aplicação é vinculada por lei.</w:t>
      </w:r>
    </w:p>
    <w:p w14:paraId="2ED1CB44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2º A prestação de contas da federação corresponderá àquela apresentada à Justiça Eleitoral pelos partidos que a integram e em todos os níveis de direção partidária.</w:t>
      </w:r>
    </w:p>
    <w:p w14:paraId="74E4D595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3º A regularidade dos gastos em prol da federação será verificada na respectiva prestação de contas do partido político que realizou o gasto.</w:t>
      </w:r>
    </w:p>
    <w:p w14:paraId="5A9B00E2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Art. 11. As controvérsias entre os partidos políticos relativas ao funcionamento da federação constituem matéria interna </w:t>
      </w:r>
      <w:proofErr w:type="spellStart"/>
      <w:r w:rsidRPr="009C0985">
        <w:rPr>
          <w:rFonts w:ascii="Book Antiqua" w:hAnsi="Book Antiqua"/>
          <w:sz w:val="19"/>
          <w:szCs w:val="19"/>
        </w:rPr>
        <w:t>corporis</w:t>
      </w:r>
      <w:proofErr w:type="spellEnd"/>
      <w:r w:rsidRPr="009C0985">
        <w:rPr>
          <w:rFonts w:ascii="Book Antiqua" w:hAnsi="Book Antiqua"/>
          <w:sz w:val="19"/>
          <w:szCs w:val="19"/>
        </w:rPr>
        <w:t xml:space="preserve">, de competência da Justiça comum, ressalvada a competência da Justiça Eleitoral para dirimir questões relativas ao registro da federação e das alterações previstas nos </w:t>
      </w:r>
      <w:proofErr w:type="spellStart"/>
      <w:r w:rsidRPr="009C0985">
        <w:rPr>
          <w:rFonts w:ascii="Book Antiqua" w:hAnsi="Book Antiqua"/>
          <w:sz w:val="19"/>
          <w:szCs w:val="19"/>
        </w:rPr>
        <w:t>arts</w:t>
      </w:r>
      <w:proofErr w:type="spellEnd"/>
      <w:r w:rsidRPr="009C0985">
        <w:rPr>
          <w:rFonts w:ascii="Book Antiqua" w:hAnsi="Book Antiqua"/>
          <w:sz w:val="19"/>
          <w:szCs w:val="19"/>
        </w:rPr>
        <w:t>. 6º e 7º desta resolução ou que impactem diretamente no processo eleitoral.</w:t>
      </w:r>
    </w:p>
    <w:p w14:paraId="7C964F43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12. A aplicação, à federação, das normas que regem as atividades dos partidos políticos no que diz respeito às eleições, inclusive no que se refere à escolha e registro de candidatos para as eleições majoritárias e proporcionais, à arrecadação e aplicação de recursos em campanhas eleitorais, à propaganda eleitoral, à contagem de votos, à obtenção de cadeiras, à prestação de contas e à convocação de suplentes será regulamentada nas instruções do Tribunal Superior Eleitoral que dispõem sobre essas matérias (Lei nº 9.096/1995, art. 11-A, § 8º; Lei nº 9.504/1997, art. 6º-A).</w:t>
      </w:r>
    </w:p>
    <w:p w14:paraId="1A58E38D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Parágrafo único. Sem prejuízo do disposto no caput deste artigo, serão observadas as seguintes regras destinadas a assegurar a isonomia na aplicação de recursos de campanha e a impedir o desvio de finalidade das federações partidárias:</w:t>
      </w:r>
    </w:p>
    <w:p w14:paraId="2B9ADD8D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9C0985">
        <w:rPr>
          <w:rFonts w:ascii="Book Antiqua" w:hAnsi="Book Antiqua"/>
          <w:sz w:val="19"/>
          <w:szCs w:val="19"/>
        </w:rPr>
        <w:t>na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eleição proporcional, o percentual mínimo de candidaturas por gênero deverá ser atendido tanto globalmente, na lista da federação, quanto por cada partido, nas indicações que fizer para compor a lista; e</w:t>
      </w:r>
    </w:p>
    <w:p w14:paraId="7261F9E9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9C0985">
        <w:rPr>
          <w:rFonts w:ascii="Book Antiqua" w:hAnsi="Book Antiqua"/>
          <w:sz w:val="19"/>
          <w:szCs w:val="19"/>
        </w:rPr>
        <w:t>havendo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transferência de recursos oriundos do FEFC ou do Fundo Partidário entre os partidos que integram a federação, a desaprovação das contas do partido beneficiado, quando decorrente de irregularidades na aplicação daqueles recursos na campanha, acarretará a desaprovação das contas do partido doador.</w:t>
      </w:r>
    </w:p>
    <w:p w14:paraId="00837712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13. No ano de 2022, não se aplicará o prazo previsto no § 4º do art. 4º desta Resolução, ficando assegurada a participação nas eleições das federações que tiverem seu registro deferido no TSE até 31 de maio de 2022.</w:t>
      </w:r>
    </w:p>
    <w:p w14:paraId="75EB9E7F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1º Na hipótese do caput, o Relator do registro de federação requerido tempestivamente poderá antecipar a tutela, antes ou depois do transcurso do prazo para impugnação, se, em juízo de cognição sumária, for constatada a inexistência de óbice ao deferimento do pedido, com ou sem necessidade de ajuste nas disposições estatutárias.</w:t>
      </w:r>
    </w:p>
    <w:p w14:paraId="3E90F7AE" w14:textId="57546CD1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2º A decisão proferida nos termos do § 1º deste artigo será imediatamente submetida a referendo do plenário, em sessão cujo término não deverá ultrapassar a data de 31 de maio de 2022, convocando-se, se necessário, sessão extraordinária em meio eletrônico com duração específica para atendimento a esse prazo.</w:t>
      </w:r>
      <w:r>
        <w:rPr>
          <w:rFonts w:ascii="Book Antiqua" w:hAnsi="Book Antiqua"/>
          <w:sz w:val="19"/>
          <w:szCs w:val="19"/>
        </w:rPr>
        <w:t xml:space="preserve"> </w:t>
      </w:r>
      <w:proofErr w:type="gramStart"/>
      <w:r>
        <w:rPr>
          <w:rFonts w:ascii="Book Antiqua" w:hAnsi="Book Antiqua"/>
          <w:sz w:val="19"/>
          <w:szCs w:val="19"/>
        </w:rPr>
        <w:t>(</w:t>
      </w:r>
      <w:r w:rsidRPr="009C0985">
        <w:rPr>
          <w:rFonts w:ascii="Book Antiqua" w:hAnsi="Book Antiqua"/>
          <w:sz w:val="19"/>
          <w:szCs w:val="19"/>
        </w:rPr>
        <w:t xml:space="preserve"> Caput</w:t>
      </w:r>
      <w:proofErr w:type="gramEnd"/>
      <w:r w:rsidRPr="009C0985">
        <w:rPr>
          <w:rFonts w:ascii="Book Antiqua" w:hAnsi="Book Antiqua"/>
          <w:sz w:val="19"/>
          <w:szCs w:val="19"/>
        </w:rPr>
        <w:t xml:space="preserve"> e §§ 1º e 2ºcom redação dada pelo art. 1º da Res.-TSE nº 23682/2022.</w:t>
      </w:r>
      <w:r>
        <w:rPr>
          <w:rFonts w:ascii="Book Antiqua" w:hAnsi="Book Antiqua"/>
          <w:sz w:val="19"/>
          <w:szCs w:val="19"/>
        </w:rPr>
        <w:t>).</w:t>
      </w:r>
    </w:p>
    <w:p w14:paraId="5A7A9877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3º Concedida a tutela antecipada nos termos deste artigo, o Registro da Federação Partidária terá tramitação prioritária, devendo o julgamento ser concluído até 1º de julho de 2022.</w:t>
      </w:r>
    </w:p>
    <w:p w14:paraId="77B10ED2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lastRenderedPageBreak/>
        <w:t>§ 4º Se o registro da federação for indeferido, cessarão os efeitos da tutela antecipada, voltando os partidos políticos a atuar individualmente no processo eleitoral.</w:t>
      </w:r>
    </w:p>
    <w:p w14:paraId="543CE163" w14:textId="473820CA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§ 5º Na hipótese de que trata este artigo, o número de inscrição da federação no Cadastro Nacional de Pessoas Jurídicas fornecido pela Receita Federal poderá ser informado no curso do processo, sem prejuízo da tramitação e eventual concessão da tutela antecipada a que alude o § 1º deste artigo.</w:t>
      </w:r>
      <w:r>
        <w:rPr>
          <w:rFonts w:ascii="Book Antiqua" w:hAnsi="Book Antiqua"/>
          <w:sz w:val="19"/>
          <w:szCs w:val="19"/>
        </w:rPr>
        <w:t xml:space="preserve"> (</w:t>
      </w:r>
      <w:r w:rsidRPr="009C0985">
        <w:rPr>
          <w:rFonts w:ascii="Book Antiqua" w:hAnsi="Book Antiqua"/>
          <w:sz w:val="19"/>
          <w:szCs w:val="19"/>
        </w:rPr>
        <w:t>Parágrafo 5º com redação dada pelo art. 1º da Res.-TSE nº 23682/2022.</w:t>
      </w:r>
      <w:r>
        <w:rPr>
          <w:rFonts w:ascii="Book Antiqua" w:hAnsi="Book Antiqua"/>
          <w:sz w:val="19"/>
          <w:szCs w:val="19"/>
        </w:rPr>
        <w:t>)</w:t>
      </w:r>
    </w:p>
    <w:p w14:paraId="3E9F7978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14. Aplicam-se subsidiariamente a esta resolução, no que com ela for compatível, as disposições da Res.-TSE nº 23.571/2018.</w:t>
      </w:r>
    </w:p>
    <w:p w14:paraId="3482F824" w14:textId="77777777" w:rsidR="009C0985" w:rsidRPr="009C0985" w:rsidRDefault="009C0985" w:rsidP="009C098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Art. 15. Esta resolução entra em vigor na data de sua publicação.</w:t>
      </w:r>
    </w:p>
    <w:p w14:paraId="1F763DE5" w14:textId="77777777" w:rsidR="009C0985" w:rsidRPr="009C0985" w:rsidRDefault="009C0985" w:rsidP="009C0985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1631323E" w14:textId="77777777" w:rsidR="009C0985" w:rsidRPr="009C0985" w:rsidRDefault="009C0985" w:rsidP="009C0985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Brasília, 14 de dezembro de 2021.</w:t>
      </w:r>
    </w:p>
    <w:p w14:paraId="786122E7" w14:textId="77777777" w:rsidR="009C0985" w:rsidRPr="009C0985" w:rsidRDefault="009C0985" w:rsidP="009C098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4184E277" w14:textId="77777777" w:rsidR="009C0985" w:rsidRPr="009C0985" w:rsidRDefault="009C0985" w:rsidP="009C098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 xml:space="preserve">Ministro LUÍS ROBERTO BARROSO, Presidente e relator – Ministro EDSON FACHIN – Ministro ALEXANDRE DE MORAES – Ministro MAURO CAMPBELL MARQUES – Ministro BENEDITO GONÇALVES – Ministro SÉRGIO BANHOS – Ministro CARLOS HORBACH </w:t>
      </w:r>
    </w:p>
    <w:p w14:paraId="21F0D476" w14:textId="77777777" w:rsidR="009C0985" w:rsidRPr="009C0985" w:rsidRDefault="009C0985" w:rsidP="009C098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2F13758E" w14:textId="77777777" w:rsidR="009C0985" w:rsidRPr="009C0985" w:rsidRDefault="009C0985" w:rsidP="009C098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________</w:t>
      </w:r>
    </w:p>
    <w:p w14:paraId="6F88A71E" w14:textId="18919564" w:rsidR="00BB7FE6" w:rsidRPr="009C0985" w:rsidRDefault="009C0985" w:rsidP="009C098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9C0985">
        <w:rPr>
          <w:rFonts w:ascii="Book Antiqua" w:hAnsi="Book Antiqua"/>
          <w:sz w:val="19"/>
          <w:szCs w:val="19"/>
        </w:rPr>
        <w:t>Publicada no DJE de 16.12.2021.</w:t>
      </w:r>
    </w:p>
    <w:sectPr w:rsidR="00BB7FE6" w:rsidRPr="009C0985" w:rsidSect="009C0985">
      <w:pgSz w:w="11906" w:h="16838"/>
      <w:pgMar w:top="127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94"/>
    <w:rsid w:val="00056442"/>
    <w:rsid w:val="00095DB1"/>
    <w:rsid w:val="007C377D"/>
    <w:rsid w:val="007F1594"/>
    <w:rsid w:val="009C0985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57765"/>
  <w15:chartTrackingRefBased/>
  <w15:docId w15:val="{1F1D6626-370D-474C-9596-09F85976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1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1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1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1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1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15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15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1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15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1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1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15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15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15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1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15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1594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C0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2191</Words>
  <Characters>11835</Characters>
  <Application>Microsoft Office Word</Application>
  <DocSecurity>0</DocSecurity>
  <Lines>98</Lines>
  <Paragraphs>27</Paragraphs>
  <ScaleCrop>false</ScaleCrop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2025-03-29T19:33:00Z</dcterms:created>
  <dcterms:modified xsi:type="dcterms:W3CDTF">2025-03-29T19:41:00Z</dcterms:modified>
</cp:coreProperties>
</file>