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80A899" w14:textId="77777777" w:rsidR="00A00A59" w:rsidRPr="00540FD8" w:rsidRDefault="00540FD8"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sz w:val="20"/>
          <w:szCs w:val="20"/>
        </w:rPr>
        <w:fldChar w:fldCharType="begin"/>
      </w:r>
      <w:r w:rsidRPr="00540FD8">
        <w:rPr>
          <w:sz w:val="20"/>
          <w:szCs w:val="20"/>
        </w:rPr>
        <w:instrText xml:space="preserve"> HYPERLINK "http://legislacao.planalto.gov.br/legisla/legislacao.nsf/Viw_Identificacao/DEC%204.719-2003?OpenDocument" </w:instrText>
      </w:r>
      <w:r w:rsidRPr="00540FD8">
        <w:rPr>
          <w:sz w:val="20"/>
          <w:szCs w:val="20"/>
        </w:rPr>
        <w:fldChar w:fldCharType="separate"/>
      </w:r>
      <w:r w:rsidR="00A00A59" w:rsidRPr="00540FD8">
        <w:rPr>
          <w:rFonts w:ascii="Book Antiqua" w:eastAsia="Times New Roman" w:hAnsi="Book Antiqua" w:cs="Arial"/>
          <w:b/>
          <w:bCs/>
          <w:sz w:val="20"/>
          <w:szCs w:val="20"/>
          <w:lang w:eastAsia="pt-BR"/>
        </w:rPr>
        <w:t>DECRETO Nº 4.719, DE 4 DE JUNHO DE 2003.</w:t>
      </w:r>
      <w:r w:rsidRPr="00540FD8">
        <w:rPr>
          <w:rFonts w:ascii="Book Antiqua" w:eastAsia="Times New Roman" w:hAnsi="Book Antiqua" w:cs="Arial"/>
          <w:b/>
          <w:bCs/>
          <w:sz w:val="20"/>
          <w:szCs w:val="20"/>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A00A59" w:rsidRPr="00540FD8" w14:paraId="3DB200B4" w14:textId="77777777" w:rsidTr="00D85888">
        <w:trPr>
          <w:tblCellSpacing w:w="0" w:type="dxa"/>
        </w:trPr>
        <w:tc>
          <w:tcPr>
            <w:tcW w:w="1251" w:type="pct"/>
            <w:vAlign w:val="center"/>
            <w:hideMark/>
          </w:tcPr>
          <w:p w14:paraId="5FD0AFE0" w14:textId="77777777" w:rsidR="00A00A59" w:rsidRPr="00D85888" w:rsidRDefault="00A00A59" w:rsidP="00A00A59">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63F80A5A" w14:textId="77777777" w:rsidR="00A00A59" w:rsidRPr="00D85888" w:rsidRDefault="00A00A59" w:rsidP="00D85888">
            <w:pPr>
              <w:spacing w:before="100" w:beforeAutospacing="1" w:after="100" w:afterAutospacing="1" w:line="240" w:lineRule="auto"/>
              <w:jc w:val="both"/>
              <w:rPr>
                <w:rFonts w:ascii="Book Antiqua" w:eastAsia="Times New Roman" w:hAnsi="Book Antiqua" w:cs="Times New Roman"/>
                <w:sz w:val="18"/>
                <w:szCs w:val="18"/>
                <w:lang w:eastAsia="pt-BR"/>
              </w:rPr>
            </w:pPr>
            <w:r w:rsidRPr="00D85888">
              <w:rPr>
                <w:rFonts w:ascii="Book Antiqua" w:eastAsia="Times New Roman" w:hAnsi="Book Antiqua" w:cs="Arial"/>
                <w:color w:val="800000"/>
                <w:sz w:val="18"/>
                <w:szCs w:val="18"/>
                <w:lang w:eastAsia="pt-BR"/>
              </w:rPr>
              <w:t>Promulga o Acordo sobre Arbitragem Comercial Internacional do Mercosu</w:t>
            </w:r>
            <w:r w:rsidRPr="00D85888">
              <w:rPr>
                <w:rFonts w:ascii="Book Antiqua" w:eastAsia="Times New Roman" w:hAnsi="Book Antiqua" w:cs="Arial"/>
                <w:sz w:val="18"/>
                <w:szCs w:val="18"/>
                <w:lang w:eastAsia="pt-BR"/>
              </w:rPr>
              <w:t>l.</w:t>
            </w:r>
          </w:p>
        </w:tc>
      </w:tr>
    </w:tbl>
    <w:p w14:paraId="70D1C358" w14:textId="77777777" w:rsidR="00A00A59" w:rsidRPr="00540FD8" w:rsidRDefault="00A00A59" w:rsidP="00D85888">
      <w:pPr>
        <w:spacing w:before="100" w:beforeAutospacing="1" w:after="100" w:afterAutospacing="1" w:line="240" w:lineRule="auto"/>
        <w:jc w:val="both"/>
        <w:rPr>
          <w:rFonts w:ascii="Book Antiqua" w:eastAsia="Times New Roman" w:hAnsi="Book Antiqua" w:cs="Times New Roman"/>
          <w:sz w:val="20"/>
          <w:szCs w:val="20"/>
          <w:lang w:eastAsia="pt-BR"/>
        </w:rPr>
      </w:pPr>
      <w:r w:rsidRPr="00540FD8">
        <w:rPr>
          <w:rFonts w:ascii="Book Antiqua" w:eastAsia="Times New Roman" w:hAnsi="Book Antiqua" w:cs="Arial"/>
          <w:b/>
          <w:bCs/>
          <w:sz w:val="20"/>
          <w:szCs w:val="20"/>
          <w:lang w:eastAsia="pt-BR"/>
        </w:rPr>
        <w:t>        O PRESIDENTE DA REPÚBLICA</w:t>
      </w:r>
      <w:r w:rsidRPr="00540FD8">
        <w:rPr>
          <w:rFonts w:ascii="Book Antiqua" w:eastAsia="Times New Roman" w:hAnsi="Book Antiqua" w:cs="Arial"/>
          <w:sz w:val="20"/>
          <w:szCs w:val="20"/>
          <w:lang w:eastAsia="pt-BR"/>
        </w:rPr>
        <w:t>, no uso da atribuição que lhe confere o art. 84, inciso VIII, da Constituição,</w:t>
      </w:r>
    </w:p>
    <w:p w14:paraId="3A3FEB86"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Considerando que o Congresso Nacional aprovou, por meio do Decreto Legislativo n</w:t>
      </w:r>
      <w:r w:rsidRPr="00540FD8">
        <w:rPr>
          <w:rFonts w:ascii="Book Antiqua" w:eastAsia="Times New Roman" w:hAnsi="Book Antiqua" w:cs="Arial"/>
          <w:sz w:val="20"/>
          <w:szCs w:val="20"/>
          <w:u w:val="single"/>
          <w:vertAlign w:val="superscript"/>
          <w:lang w:eastAsia="pt-BR"/>
        </w:rPr>
        <w:t>o</w:t>
      </w:r>
      <w:r w:rsidRPr="00540FD8">
        <w:rPr>
          <w:rFonts w:ascii="Book Antiqua" w:eastAsia="Times New Roman" w:hAnsi="Book Antiqua" w:cs="Arial"/>
          <w:sz w:val="20"/>
          <w:szCs w:val="20"/>
          <w:lang w:eastAsia="pt-BR"/>
        </w:rPr>
        <w:t xml:space="preserve"> 265, de 29 de dezembro de 2000, o texto do Acordo sobre Arbitragem Comercial Internacional do Mercosul, concluído em Buenos Aires, em 23 de julho de 1998;</w:t>
      </w:r>
    </w:p>
    <w:p w14:paraId="413B4487"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Considerando que o Acordo entrou em vigor, para o Brasil, em 9 de outubro de 2002;</w:t>
      </w:r>
    </w:p>
    <w:p w14:paraId="19C0C883"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b/>
          <w:bCs/>
          <w:sz w:val="20"/>
          <w:szCs w:val="20"/>
          <w:lang w:eastAsia="pt-BR"/>
        </w:rPr>
        <w:t>        DECRETA:</w:t>
      </w:r>
    </w:p>
    <w:p w14:paraId="13D8F86C"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Art. 1</w:t>
      </w:r>
      <w:r w:rsidRPr="00540FD8">
        <w:rPr>
          <w:rFonts w:ascii="Book Antiqua" w:eastAsia="Times New Roman" w:hAnsi="Book Antiqua" w:cs="Arial"/>
          <w:strike/>
          <w:sz w:val="20"/>
          <w:szCs w:val="20"/>
          <w:lang w:eastAsia="pt-BR"/>
        </w:rPr>
        <w:t>º</w:t>
      </w:r>
      <w:r w:rsidRPr="00540FD8">
        <w:rPr>
          <w:rFonts w:ascii="Book Antiqua" w:eastAsia="Times New Roman" w:hAnsi="Book Antiqua" w:cs="Arial"/>
          <w:sz w:val="20"/>
          <w:szCs w:val="20"/>
          <w:lang w:eastAsia="pt-BR"/>
        </w:rPr>
        <w:t>  O Acordo sobre Arbitragem Comercial Internacional do Mercosul, concluído em Buenos Aires, em 23 de julho de 1998, apenso por cópia ao presente Decreto, será executado e cumprido como nele se contém, ressalvado seu art. 10, que deve ser interpretado no sentido de permitir às partes escolherem, livremente, as regras de direito aplicáveis à matéria a que se refere o dispositivo em questão, respeitada a ordem pública internacional.</w:t>
      </w:r>
    </w:p>
    <w:p w14:paraId="05BF0EDF"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Art. 2</w:t>
      </w:r>
      <w:r w:rsidRPr="00540FD8">
        <w:rPr>
          <w:rFonts w:ascii="Book Antiqua" w:eastAsia="Times New Roman" w:hAnsi="Book Antiqua" w:cs="Arial"/>
          <w:strike/>
          <w:sz w:val="20"/>
          <w:szCs w:val="20"/>
          <w:lang w:eastAsia="pt-BR"/>
        </w:rPr>
        <w:t>º</w:t>
      </w:r>
      <w:r w:rsidRPr="00540FD8">
        <w:rPr>
          <w:rFonts w:ascii="Book Antiqua" w:eastAsia="Times New Roman" w:hAnsi="Book Antiqua" w:cs="Arial"/>
          <w:sz w:val="20"/>
          <w:szCs w:val="20"/>
          <w:lang w:eastAsia="pt-BR"/>
        </w:rPr>
        <w:t xml:space="preserve">  São sujeitos à aprovação do Congresso Nacional quaisquer atos que possam resultar em revisão do referido Acordo ou que acarretem encargos ou compromissos gravosos ao patrimônio nacional, nos termos do </w:t>
      </w:r>
      <w:hyperlink r:id="rId4" w:anchor="49i" w:history="1">
        <w:r w:rsidRPr="00540FD8">
          <w:rPr>
            <w:rFonts w:ascii="Book Antiqua" w:eastAsia="Times New Roman" w:hAnsi="Book Antiqua" w:cs="Arial"/>
            <w:color w:val="0000FF"/>
            <w:sz w:val="20"/>
            <w:szCs w:val="20"/>
            <w:u w:val="single"/>
            <w:lang w:eastAsia="pt-BR"/>
          </w:rPr>
          <w:t>art. 49, inciso I, da Constituição Federal.</w:t>
        </w:r>
      </w:hyperlink>
    </w:p>
    <w:p w14:paraId="0DAA2701"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Art. 3</w:t>
      </w:r>
      <w:r w:rsidRPr="00540FD8">
        <w:rPr>
          <w:rFonts w:ascii="Book Antiqua" w:eastAsia="Times New Roman" w:hAnsi="Book Antiqua" w:cs="Arial"/>
          <w:strike/>
          <w:sz w:val="20"/>
          <w:szCs w:val="20"/>
          <w:lang w:eastAsia="pt-BR"/>
        </w:rPr>
        <w:t>º</w:t>
      </w:r>
      <w:r w:rsidRPr="00540FD8">
        <w:rPr>
          <w:rFonts w:ascii="Book Antiqua" w:eastAsia="Times New Roman" w:hAnsi="Book Antiqua" w:cs="Arial"/>
          <w:sz w:val="20"/>
          <w:szCs w:val="20"/>
          <w:lang w:eastAsia="pt-BR"/>
        </w:rPr>
        <w:t>  Este Decreto entra em vigor na data de sua publicação.</w:t>
      </w:r>
    </w:p>
    <w:p w14:paraId="53A7085C"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Brasília, 4 de junho de 2003; 182</w:t>
      </w:r>
      <w:r w:rsidRPr="00540FD8">
        <w:rPr>
          <w:rFonts w:ascii="Book Antiqua" w:eastAsia="Times New Roman" w:hAnsi="Book Antiqua" w:cs="Arial"/>
          <w:strike/>
          <w:sz w:val="20"/>
          <w:szCs w:val="20"/>
          <w:lang w:eastAsia="pt-BR"/>
        </w:rPr>
        <w:t>º</w:t>
      </w:r>
      <w:r w:rsidRPr="00540FD8">
        <w:rPr>
          <w:rFonts w:ascii="Book Antiqua" w:eastAsia="Times New Roman" w:hAnsi="Book Antiqua" w:cs="Arial"/>
          <w:sz w:val="20"/>
          <w:szCs w:val="20"/>
          <w:lang w:eastAsia="pt-BR"/>
        </w:rPr>
        <w:t xml:space="preserve"> da Independência e 115</w:t>
      </w:r>
      <w:r w:rsidRPr="00540FD8">
        <w:rPr>
          <w:rFonts w:ascii="Book Antiqua" w:eastAsia="Times New Roman" w:hAnsi="Book Antiqua" w:cs="Arial"/>
          <w:strike/>
          <w:sz w:val="20"/>
          <w:szCs w:val="20"/>
          <w:lang w:eastAsia="pt-BR"/>
        </w:rPr>
        <w:t>º</w:t>
      </w:r>
      <w:r w:rsidRPr="00540FD8">
        <w:rPr>
          <w:rFonts w:ascii="Book Antiqua" w:eastAsia="Times New Roman" w:hAnsi="Book Antiqua" w:cs="Arial"/>
          <w:sz w:val="20"/>
          <w:szCs w:val="20"/>
          <w:lang w:eastAsia="pt-BR"/>
        </w:rPr>
        <w:t xml:space="preserve"> da República.</w:t>
      </w:r>
    </w:p>
    <w:p w14:paraId="49F897B3"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LUIZ INÁCIO LULA DA SILVA</w:t>
      </w:r>
      <w:r w:rsidRPr="00540FD8">
        <w:rPr>
          <w:rFonts w:ascii="Book Antiqua" w:eastAsia="Times New Roman" w:hAnsi="Book Antiqua" w:cs="Arial"/>
          <w:sz w:val="20"/>
          <w:szCs w:val="20"/>
          <w:lang w:eastAsia="pt-BR"/>
        </w:rPr>
        <w:br/>
      </w:r>
      <w:r w:rsidRPr="00540FD8">
        <w:rPr>
          <w:rFonts w:ascii="Book Antiqua" w:eastAsia="Times New Roman" w:hAnsi="Book Antiqua" w:cs="Arial"/>
          <w:i/>
          <w:iCs/>
          <w:sz w:val="20"/>
          <w:szCs w:val="20"/>
          <w:lang w:eastAsia="pt-BR"/>
        </w:rPr>
        <w:t>Celso Luiz Nunes Amorim</w:t>
      </w:r>
    </w:p>
    <w:p w14:paraId="60E0858B"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color w:val="FF0000"/>
          <w:sz w:val="20"/>
          <w:szCs w:val="20"/>
          <w:lang w:eastAsia="pt-BR"/>
        </w:rPr>
        <w:t>Este texto não substitui o publicado no D.O.U. de 5.6.2003</w:t>
      </w:r>
    </w:p>
    <w:p w14:paraId="20700555"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ACORDO SOBRE ARBITRAGEM COMERCIAL INTERNACIONAL DO MERCOSUL</w:t>
      </w:r>
    </w:p>
    <w:p w14:paraId="04894D92"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 República Argentina, a República Federativa do Brasil, a República do Paraguai e a República Oriental do Uruguai, doravante denominados "Estados-Partes";</w:t>
      </w:r>
    </w:p>
    <w:p w14:paraId="22719CA7"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CONSIDERANDO o Tratado de Assunção, subscrito em 26 de março de 1991, entre a República Argentina, a República Federativa do Brasil, a República do Paraguai e a República Oriental do Uruguai, e o Protocolo de Ouro Preto, subscrito em 17 de dezembro de 1994, entre os mesmos Estados;</w:t>
      </w:r>
    </w:p>
    <w:p w14:paraId="7B93787F"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RECORDANDO que os instrumentos básicos do MERCOSUL estabelecem o compromisso dos Estados-Partes de harmonizar suas legislações nas áreas pertinentes;</w:t>
      </w:r>
    </w:p>
    <w:p w14:paraId="6382AB6D"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REAFIRMANDO a vontade dos Estados-Partes do MERCOSUL de pactuar soluções jurídicas comuns para o fortalecimento do processo de integração do MERCOSUL;</w:t>
      </w:r>
    </w:p>
    <w:p w14:paraId="26F76837"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DESTACANDO a necessidade de proporcionar ao setor privado dos Estados-Partes do MERCOSUL métodos alternativos para a solução de controvérsias surgidas de contratos comerciais internacionais concluídos entre pessoas físicas ou jurídicas de direito privado;</w:t>
      </w:r>
    </w:p>
    <w:p w14:paraId="7C65C3DE"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lastRenderedPageBreak/>
        <w:t>        CONVENCIDOS da necessidade de uniformizar a organização e o funcionamento da arbitragem internacional nos Estados-Partes para contribuir para a expansão do comércio regional e internacional;</w:t>
      </w:r>
    </w:p>
    <w:p w14:paraId="67181D33"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xml:space="preserve">        DESEJOSOS de promover e incentivar a solução extrajudicial de controvérsias privadas por meio da arbitragem no MERCOSUL, prática conforme com as peculiaridades das transações internacionais; </w:t>
      </w:r>
    </w:p>
    <w:p w14:paraId="2325099E"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xml:space="preserve">        CONSIDERANDO que foram aprovados no MERCOSUL protocolos que </w:t>
      </w:r>
      <w:proofErr w:type="spellStart"/>
      <w:r w:rsidRPr="00540FD8">
        <w:rPr>
          <w:rFonts w:ascii="Book Antiqua" w:eastAsia="Times New Roman" w:hAnsi="Book Antiqua" w:cs="Arial"/>
          <w:sz w:val="20"/>
          <w:szCs w:val="20"/>
          <w:lang w:eastAsia="pt-BR"/>
        </w:rPr>
        <w:t>prevêem</w:t>
      </w:r>
      <w:proofErr w:type="spellEnd"/>
      <w:r w:rsidRPr="00540FD8">
        <w:rPr>
          <w:rFonts w:ascii="Book Antiqua" w:eastAsia="Times New Roman" w:hAnsi="Book Antiqua" w:cs="Arial"/>
          <w:sz w:val="20"/>
          <w:szCs w:val="20"/>
          <w:lang w:eastAsia="pt-BR"/>
        </w:rPr>
        <w:t xml:space="preserve"> a eleição do foro arbitral e o reconhecimento e a execução de laudos ou sentenças arbitrais estrangeiras;</w:t>
      </w:r>
    </w:p>
    <w:p w14:paraId="5EEEAEF0"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TENDO em conta a Convenção Interamericana sobre Arbitragem Comercial Internacional, de 30 de janeiro de 1975, concluída na cidade do Panamá, a Convenção Interamericana sobre Eficácia Extraterritorial das Sentenças e Laudos Arbitrais Estrangeiros, de 08 de maio de 1979, concluída em Montevidéu e a Lei Modelo sobre Arbitragem Comercial Internacional da Comissão das Nações Unidas para o Direito Mercantil Internacional, de 21 de junho de 1985;</w:t>
      </w:r>
    </w:p>
    <w:p w14:paraId="05BA2467"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ACORDAM:</w:t>
      </w:r>
    </w:p>
    <w:p w14:paraId="51133685"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1</w:t>
      </w:r>
    </w:p>
    <w:p w14:paraId="691F6182"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Objetivo</w:t>
      </w:r>
    </w:p>
    <w:p w14:paraId="73ECA638"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O presente Acordo tem por objetivo regular a arbitragem como meio alternativo privado de solução de controvérsias surgidas de contratos comerciais internacionais entre pessoas físicas ou jurídicas de direito privado.</w:t>
      </w:r>
    </w:p>
    <w:p w14:paraId="58B1A50F"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2</w:t>
      </w:r>
    </w:p>
    <w:p w14:paraId="32160DE3"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Definições</w:t>
      </w:r>
    </w:p>
    <w:p w14:paraId="131F845A"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Para fins de aplicação do presente Acordo, entender-se-á por:</w:t>
      </w:r>
    </w:p>
    <w:p w14:paraId="3B251DBA"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 "arbitragem": meio privado - institucional ou ‘ad hoc’ - para a solução de controvérsias;</w:t>
      </w:r>
    </w:p>
    <w:p w14:paraId="19F248C8"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b) "arbitragem internacional": meio privado para a solução de controvérsias relativas a contratos comerciais internacionais entre particulares, pessoas físicas ou jurídicas;</w:t>
      </w:r>
    </w:p>
    <w:p w14:paraId="7EDEDCD2"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c) "autoridade judicial": órgão do sistema judiciário estatal;</w:t>
      </w:r>
    </w:p>
    <w:p w14:paraId="46CA5F06"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d) "contrato-base": acordo que dá origem às controvérsias submetidas a arbitragem;</w:t>
      </w:r>
    </w:p>
    <w:p w14:paraId="5CAC3109"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e) "convenção arbitral": acordo pelo qual as partes decidem submeter à arbitragem todas ou algumas controvérsias que tenham surgido ou possam surgir entre elas com respeito a relações contratuais. Poderá adotar a forma de uma cláusula compromissória incluída em um contrato ou a de um acordo independente;</w:t>
      </w:r>
    </w:p>
    <w:p w14:paraId="54E20787"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f) "domicílio das pessoas físicas": sua residência habitual e, subsidiariamente, o centro principal de seus negócios;</w:t>
      </w:r>
    </w:p>
    <w:p w14:paraId="7E479709"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g) "domicílio das pessoas jurídicas ou sede social": o lugar principal da administração ou a sede de sucursais, estabelecimentos ou agências;</w:t>
      </w:r>
    </w:p>
    <w:p w14:paraId="1B7A4209"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lastRenderedPageBreak/>
        <w:t>        h) "laudo ou sentença arbitral estrangeira": resolução definitiva da controvérsia pelo tribunal arbitral com sede no estrangeiro;</w:t>
      </w:r>
    </w:p>
    <w:p w14:paraId="3C442039"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xml:space="preserve">        i) "sede do Tribunal Arbitral": Estado-Parte eleito pelos contratantes ou, na sua falta, pelos árbitros, para os fins dos </w:t>
      </w:r>
      <w:proofErr w:type="spellStart"/>
      <w:r w:rsidRPr="00540FD8">
        <w:rPr>
          <w:rFonts w:ascii="Book Antiqua" w:eastAsia="Times New Roman" w:hAnsi="Book Antiqua" w:cs="Arial"/>
          <w:sz w:val="20"/>
          <w:szCs w:val="20"/>
          <w:lang w:eastAsia="pt-BR"/>
        </w:rPr>
        <w:t>arts</w:t>
      </w:r>
      <w:proofErr w:type="spellEnd"/>
      <w:r w:rsidRPr="00540FD8">
        <w:rPr>
          <w:rFonts w:ascii="Book Antiqua" w:eastAsia="Times New Roman" w:hAnsi="Book Antiqua" w:cs="Arial"/>
          <w:sz w:val="20"/>
          <w:szCs w:val="20"/>
          <w:lang w:eastAsia="pt-BR"/>
        </w:rPr>
        <w:t>. 3, 7, 13, 15, 19 e 22 deste Acordo, sem prejuízo do lugar da atuação do Tribunal;</w:t>
      </w:r>
    </w:p>
    <w:p w14:paraId="1C94F317"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j) "tribunal arbitral": órgão constituído por um ou vários árbitros;</w:t>
      </w:r>
    </w:p>
    <w:p w14:paraId="193E7EAB"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3</w:t>
      </w:r>
    </w:p>
    <w:p w14:paraId="0D8E1A46"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Âmbito material e espacial de aplicação</w:t>
      </w:r>
    </w:p>
    <w:p w14:paraId="1F92B318"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xml:space="preserve">        O presente Acordo se aplicará à arbitragem, sua organização e procedimentos e às sentenças ou laudos arbitrais, se ocorrer alguma das seguintes circunstâncias: </w:t>
      </w:r>
    </w:p>
    <w:p w14:paraId="59ED5404"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 a convenção arbitral for celebrada entre pessoas físicas ou jurídicas que, no momento de sua celebração, tenham sua residência habitual ou o centro principal dos negócios, ou a sede, ou sucursais, ou estabelecimentos ou agências, em mais de um Estado Parte do MERCOSUL;</w:t>
      </w:r>
    </w:p>
    <w:p w14:paraId="00BD156B"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b) o contrato-base tiver algum contato objetivo - jurídico ou econômico - com mais de um Estado Parte do MERCOSUL;</w:t>
      </w:r>
    </w:p>
    <w:p w14:paraId="70EB55ED"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c) as partes não expressarem sua vontade em contrário e o contrato-base tiver algum contato objetivo - jurídico ou econômico - com um Estado-Parte, sempre que o tribunal tenha a sua sede em um dos Estados Partes do MERCOSUL;</w:t>
      </w:r>
    </w:p>
    <w:p w14:paraId="0F4C5DD0"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d) o contrato-base tiver algum contato objetivo - jurídico ou econômico – com um Estado Parte e o tribunal arbitral não tiver sua sede em nenhum Estado-Parte do MERCOSUL, sempre que as partes declararem expressamente sua intenção de submeter-se ao presente Acordo;</w:t>
      </w:r>
    </w:p>
    <w:p w14:paraId="7FB7A530"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e) o contrato-base não tiver nenhum contato objetivo – jurídico ou econômico – com um Estado-Parte e as partes tenham elegido um tribunal arbitral com sede em um Estado Parte do MERCOSUL, sempre que as partes declararem expressamente sua intenção de submeter-se ao presente Acordo.</w:t>
      </w:r>
    </w:p>
    <w:p w14:paraId="43491E38"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b/>
          <w:sz w:val="20"/>
          <w:szCs w:val="20"/>
          <w:lang w:eastAsia="pt-BR"/>
        </w:rPr>
      </w:pPr>
      <w:r w:rsidRPr="00540FD8">
        <w:rPr>
          <w:rFonts w:ascii="Book Antiqua" w:eastAsia="Times New Roman" w:hAnsi="Book Antiqua" w:cs="Arial"/>
          <w:b/>
          <w:sz w:val="20"/>
          <w:szCs w:val="20"/>
          <w:highlight w:val="magenta"/>
          <w:lang w:eastAsia="pt-BR"/>
        </w:rPr>
        <w:t>Artigo 4</w:t>
      </w:r>
    </w:p>
    <w:p w14:paraId="671926E1"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Tratamento equitativo e de boa fé</w:t>
      </w:r>
    </w:p>
    <w:p w14:paraId="4AF56C17" w14:textId="7B69520C" w:rsidR="00A00A59" w:rsidRPr="00540FD8" w:rsidRDefault="00A00A59" w:rsidP="00A00A59">
      <w:pPr>
        <w:spacing w:before="100" w:beforeAutospacing="1" w:after="100" w:afterAutospacing="1" w:line="240" w:lineRule="auto"/>
        <w:rPr>
          <w:rFonts w:ascii="Book Antiqua" w:eastAsia="Times New Roman" w:hAnsi="Book Antiqua" w:cs="Arial"/>
          <w:sz w:val="20"/>
          <w:szCs w:val="20"/>
          <w:lang w:eastAsia="pt-BR"/>
        </w:rPr>
      </w:pPr>
      <w:r w:rsidRPr="00540FD8">
        <w:rPr>
          <w:rFonts w:ascii="Book Antiqua" w:eastAsia="Times New Roman" w:hAnsi="Book Antiqua" w:cs="Arial"/>
          <w:sz w:val="20"/>
          <w:szCs w:val="20"/>
          <w:lang w:eastAsia="pt-BR"/>
        </w:rPr>
        <w:t xml:space="preserve">        1 - A convenção arbitral dará um tratamento equitativo e não-abusivo aos contratantes, em especial nos contratos de adesão, e será pactuada de </w:t>
      </w:r>
      <w:proofErr w:type="spellStart"/>
      <w:r w:rsidRPr="00540FD8">
        <w:rPr>
          <w:rFonts w:ascii="Book Antiqua" w:eastAsia="Times New Roman" w:hAnsi="Book Antiqua" w:cs="Arial"/>
          <w:sz w:val="20"/>
          <w:szCs w:val="20"/>
          <w:lang w:eastAsia="pt-BR"/>
        </w:rPr>
        <w:t>boa fé</w:t>
      </w:r>
      <w:proofErr w:type="spellEnd"/>
      <w:r w:rsidRPr="00540FD8">
        <w:rPr>
          <w:rFonts w:ascii="Book Antiqua" w:eastAsia="Times New Roman" w:hAnsi="Book Antiqua" w:cs="Arial"/>
          <w:sz w:val="20"/>
          <w:szCs w:val="20"/>
          <w:lang w:eastAsia="pt-BR"/>
        </w:rPr>
        <w:t>.</w:t>
      </w:r>
    </w:p>
    <w:tbl>
      <w:tblPr>
        <w:tblStyle w:val="Tabelacomgrade"/>
        <w:tblW w:w="0" w:type="auto"/>
        <w:shd w:val="clear" w:color="auto" w:fill="CCFFFF"/>
        <w:tblLook w:val="04A0" w:firstRow="1" w:lastRow="0" w:firstColumn="1" w:lastColumn="0" w:noHBand="0" w:noVBand="1"/>
      </w:tblPr>
      <w:tblGrid>
        <w:gridCol w:w="8494"/>
      </w:tblGrid>
      <w:tr w:rsidR="00A00A59" w:rsidRPr="00540FD8" w14:paraId="48DDC10D" w14:textId="77777777" w:rsidTr="00A00A59">
        <w:tc>
          <w:tcPr>
            <w:tcW w:w="8494" w:type="dxa"/>
            <w:shd w:val="clear" w:color="auto" w:fill="CCFFFF"/>
          </w:tcPr>
          <w:p w14:paraId="10207965" w14:textId="5B61085F" w:rsidR="00A00A59" w:rsidRPr="00540FD8" w:rsidRDefault="00A00A59" w:rsidP="00A00A59">
            <w:pPr>
              <w:spacing w:before="100" w:beforeAutospacing="1" w:after="100" w:afterAutospacing="1"/>
              <w:jc w:val="both"/>
              <w:rPr>
                <w:rFonts w:ascii="Book Antiqua" w:eastAsia="Times New Roman" w:hAnsi="Book Antiqua" w:cs="Times New Roman"/>
                <w:b/>
                <w:sz w:val="20"/>
                <w:szCs w:val="20"/>
                <w:lang w:eastAsia="pt-BR"/>
              </w:rPr>
            </w:pPr>
            <w:r w:rsidRPr="00540FD8">
              <w:rPr>
                <w:rFonts w:ascii="Book Antiqua" w:eastAsia="Times New Roman" w:hAnsi="Book Antiqua" w:cs="Times New Roman"/>
                <w:b/>
                <w:sz w:val="20"/>
                <w:szCs w:val="20"/>
                <w:lang w:eastAsia="pt-BR"/>
              </w:rPr>
              <w:t>(</w:t>
            </w:r>
            <w:r w:rsidRPr="00540FD8">
              <w:rPr>
                <w:rFonts w:ascii="Book Antiqua" w:eastAsia="Times New Roman" w:hAnsi="Book Antiqua" w:cs="Times New Roman"/>
                <w:b/>
                <w:sz w:val="20"/>
                <w:szCs w:val="20"/>
                <w:highlight w:val="yellow"/>
                <w:lang w:eastAsia="pt-BR"/>
              </w:rPr>
              <w:t>Advogado Jr./PETROBRÁS-2018-CESGRANRIO</w:t>
            </w:r>
            <w:r w:rsidRPr="00540FD8">
              <w:rPr>
                <w:rFonts w:ascii="Book Antiqua" w:eastAsia="Times New Roman" w:hAnsi="Book Antiqua" w:cs="Times New Roman"/>
                <w:b/>
                <w:sz w:val="20"/>
                <w:szCs w:val="20"/>
                <w:lang w:eastAsia="pt-BR"/>
              </w:rPr>
              <w:t>)</w:t>
            </w:r>
            <w:r w:rsidRPr="00540FD8">
              <w:rPr>
                <w:rFonts w:ascii="Book Antiqua" w:eastAsia="Times New Roman" w:hAnsi="Book Antiqua" w:cs="Times New Roman"/>
                <w:sz w:val="20"/>
                <w:szCs w:val="20"/>
                <w:lang w:eastAsia="pt-BR"/>
              </w:rPr>
              <w:t xml:space="preserve">: Nos termos do Acordo sobre Arbitragem Comercial Internacional do Mercosul, a convenção arbitral inserida em um contrato deverá ser claramente legível e estar localizada em lugar razoavelmente destacado. Nesse caso, existe a proteção à boa-fé. </w:t>
            </w:r>
            <w:r w:rsidRPr="00540FD8">
              <w:rPr>
                <w:rFonts w:ascii="Book Antiqua" w:eastAsia="Times New Roman" w:hAnsi="Book Antiqua" w:cs="Times New Roman"/>
                <w:b/>
                <w:sz w:val="20"/>
                <w:szCs w:val="20"/>
                <w:lang w:eastAsia="pt-BR"/>
              </w:rPr>
              <w:t>BL: art. 3º, 1, do Dec.</w:t>
            </w:r>
          </w:p>
        </w:tc>
      </w:tr>
    </w:tbl>
    <w:p w14:paraId="44408CD7"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2 - A convenção arbitral inserida em um contrato deverá ser claramente legível e estar localizada em lugar razoavelmente destacado.</w:t>
      </w:r>
    </w:p>
    <w:p w14:paraId="7B67EFD0"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5</w:t>
      </w:r>
    </w:p>
    <w:p w14:paraId="5D680B5A"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Autonomia da convenção arbitral</w:t>
      </w:r>
    </w:p>
    <w:p w14:paraId="7B886138"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lastRenderedPageBreak/>
        <w:t>        A convenção arbitral é autônoma com relação ao contrato-base. Sua inexistência ou invalidade não implica a nulidade da convenção arbitral.</w:t>
      </w:r>
    </w:p>
    <w:p w14:paraId="3A06A644"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6</w:t>
      </w:r>
    </w:p>
    <w:p w14:paraId="2C256189"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Forma e direito aplicável à validade formal da convenção arbitral</w:t>
      </w:r>
    </w:p>
    <w:p w14:paraId="311B8EA6"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1 - A convenção arbitral deverá ser escrita.</w:t>
      </w:r>
    </w:p>
    <w:p w14:paraId="093C53E5"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2 - A validade formal da convenção arbitral se regerá pelo direito do lugar de celebração.</w:t>
      </w:r>
    </w:p>
    <w:p w14:paraId="6A6B26A5"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3 - A convenção arbitral celebrada entre ausentes poderá concretizar-se pela troca de cartas ou telegramas com recebimento comprovado. As comunicações feitas por fax, correio eletrônico ou meio equivalente deverão ser confirmadas por documento original, sem prejuízo do estabelecido no número 5.</w:t>
      </w:r>
    </w:p>
    <w:p w14:paraId="2BB67976"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4 - A convenção arbitral celebrada entre ausentes se aperfeiçoa no momento e no Estado em que se recebe a aceitação pelo meio escolhido e confirmado pelo documento original.</w:t>
      </w:r>
    </w:p>
    <w:p w14:paraId="125E5E77"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5 - Se não se houverem cumprido os requisitos de validade formal exigidos pelo direito do lugar de celebração, a convenção será considerada válida se cumprir com os requisitos formais do direito de algum dos Estados com o qual o contrato-base tem contatos objetivos, de acordo com o estabelecido no art. 3, alínea b).</w:t>
      </w:r>
    </w:p>
    <w:p w14:paraId="495AB05B"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7</w:t>
      </w:r>
    </w:p>
    <w:p w14:paraId="372C6495"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Direito aplicável à validade intrínseca da convenção arbitral</w:t>
      </w:r>
    </w:p>
    <w:p w14:paraId="3D1B7395"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1 - A capacidade das partes da convenção arbitral se regerá pelo direito de seus respectivos domicílios.</w:t>
      </w:r>
    </w:p>
    <w:p w14:paraId="612DF198"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2 - A validade da convenção arbitral, com respeito ao consentimento, objeto e causa, será regida pelo direito do Estado Parte, sede do tribunal arbitral.</w:t>
      </w:r>
    </w:p>
    <w:p w14:paraId="3A9A4596"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8</w:t>
      </w:r>
    </w:p>
    <w:p w14:paraId="4B6C5E83"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Competência para conhecer da existência e validade da convenção arbitral</w:t>
      </w:r>
    </w:p>
    <w:p w14:paraId="1772AB52"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As questões relativas à existência e validade da convenção arbitral serão resolvidas pelo tribunal arbitral, de ofício ou por solicitação das partes.</w:t>
      </w:r>
    </w:p>
    <w:p w14:paraId="25233990"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9</w:t>
      </w:r>
    </w:p>
    <w:p w14:paraId="53641BCF"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xml:space="preserve">Arbitragem de direito ou de </w:t>
      </w:r>
      <w:proofErr w:type="spellStart"/>
      <w:r w:rsidRPr="00540FD8">
        <w:rPr>
          <w:rFonts w:ascii="Book Antiqua" w:eastAsia="Times New Roman" w:hAnsi="Book Antiqua" w:cs="Arial"/>
          <w:sz w:val="20"/>
          <w:szCs w:val="20"/>
          <w:lang w:eastAsia="pt-BR"/>
        </w:rPr>
        <w:t>eqüidade</w:t>
      </w:r>
      <w:proofErr w:type="spellEnd"/>
    </w:p>
    <w:p w14:paraId="428BAD84"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xml:space="preserve">        Por disposição das partes, a arbitragem poderá ser de direito ou de </w:t>
      </w:r>
      <w:proofErr w:type="spellStart"/>
      <w:r w:rsidRPr="00540FD8">
        <w:rPr>
          <w:rFonts w:ascii="Book Antiqua" w:eastAsia="Times New Roman" w:hAnsi="Book Antiqua" w:cs="Arial"/>
          <w:sz w:val="20"/>
          <w:szCs w:val="20"/>
          <w:lang w:eastAsia="pt-BR"/>
        </w:rPr>
        <w:t>eqüidade</w:t>
      </w:r>
      <w:proofErr w:type="spellEnd"/>
      <w:r w:rsidRPr="00540FD8">
        <w:rPr>
          <w:rFonts w:ascii="Book Antiqua" w:eastAsia="Times New Roman" w:hAnsi="Book Antiqua" w:cs="Arial"/>
          <w:sz w:val="20"/>
          <w:szCs w:val="20"/>
          <w:lang w:eastAsia="pt-BR"/>
        </w:rPr>
        <w:t>. Na ausência de disposição, será de direito.</w:t>
      </w:r>
    </w:p>
    <w:p w14:paraId="038C6837"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10</w:t>
      </w:r>
    </w:p>
    <w:p w14:paraId="3C86AF7E"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Direito aplicável à controvérsia pelo tribunal arbitral</w:t>
      </w:r>
    </w:p>
    <w:p w14:paraId="16074061"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lastRenderedPageBreak/>
        <w:t>        As partes poderão eleger o direito que se aplicará para solucionar a controvérsia com base no direito internacional privado e seus princípios, assim como no direito de comércio internacional. Se as partes nada dispuserem sobre esta matéria, os árbitros decidirão conforme as mesmas fontes.</w:t>
      </w:r>
    </w:p>
    <w:p w14:paraId="2F3D8748"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11</w:t>
      </w:r>
    </w:p>
    <w:p w14:paraId="667B97EA"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Tipos de arbitragem</w:t>
      </w:r>
    </w:p>
    <w:p w14:paraId="2E7FE624"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As partes poderão livremente submeter-se à arbitragem institucional ou ‘ad hoc’.</w:t>
      </w:r>
    </w:p>
    <w:p w14:paraId="7BACCFC3"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No procedimento arbitral, serão sempre respeitados os princípios do contraditório, da igualdade das partes, da imparcialidade do árbitro e de seu livre convencimento.</w:t>
      </w:r>
    </w:p>
    <w:p w14:paraId="2FAB6021"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12</w:t>
      </w:r>
    </w:p>
    <w:p w14:paraId="5C93A83B"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Normas gerais de procedimento</w:t>
      </w:r>
    </w:p>
    <w:p w14:paraId="27A9BBE6"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1 - Na arbitragem institucional:</w:t>
      </w:r>
    </w:p>
    <w:p w14:paraId="359A1F93"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 o procedimento perante as instituições arbitrais se regerá por seu próprio regimento;</w:t>
      </w:r>
    </w:p>
    <w:p w14:paraId="74BA2D01"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b) sem prejuízo do disposto na alínea anterior, os Estados incentivarão as entidades arbitrais sediadas em seus territórios para que adotem um regulamento comum;</w:t>
      </w:r>
    </w:p>
    <w:p w14:paraId="255D8111"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c) as instituições poderão publicar para seu conhecimento e difusão, as listas públicas de árbitros, denominação e composição dos tribunais e regimentos internos;</w:t>
      </w:r>
    </w:p>
    <w:p w14:paraId="0F2D2CD7"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2 - Na arbitragem ‘ad hoc’:</w:t>
      </w:r>
    </w:p>
    <w:p w14:paraId="531DE868"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 as partes poderão estabelecer o procedimento arbitral. No momento de celebrar a convenção arbitral as Partes, preferentemente, poderão acordar sobre a designação dos árbitros e, quando for o caso, os árbitros substitutos, ou estabelecer a modalidade pela qual serão designados;</w:t>
      </w:r>
    </w:p>
    <w:p w14:paraId="3D69AF61"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b) se as partes do presente Acordo nada tiverem previsto, aplicar-se-ão as normas de procedimento da Comissão Interamericana de Arbitragem Comercial (CIAC) - conforme o estabelecido no art. 3 da Convenção Interamericana sobre Arbitragem Comercial Internacional do Panamá, de 1975 - vigentes no momento da celebração da convenção arbitral;</w:t>
      </w:r>
    </w:p>
    <w:p w14:paraId="1A79EEA9"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c) tudo o que não foi previsto pelas partes, pelo Acordo e pelas normas de procedimento da CIAC, será resolvido pelo tribunal arbitral atendendo aos princípios estabelecidos no art. 11.</w:t>
      </w:r>
    </w:p>
    <w:p w14:paraId="52C59BBD"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13</w:t>
      </w:r>
    </w:p>
    <w:p w14:paraId="01F49368"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Sede e idioma</w:t>
      </w:r>
    </w:p>
    <w:p w14:paraId="1EC7A5EB"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1 - As partes poderão designar um Estado Parte como sede do tribunal arbitral. Caso não o façam, o tribunal arbitral determinará o lugar da arbitragem em algum desses Estados, levadas em conta as circunstâncias do caso e a conveniência das partes.</w:t>
      </w:r>
    </w:p>
    <w:p w14:paraId="6C34F77F"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2 - Na falta de estipulação expressa das partes, o idioma será o da sede do tribunal arbitral.</w:t>
      </w:r>
    </w:p>
    <w:p w14:paraId="4707ACC9"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lastRenderedPageBreak/>
        <w:t>Artigo 14</w:t>
      </w:r>
    </w:p>
    <w:p w14:paraId="0C7C795C"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Comunicações e notificações</w:t>
      </w:r>
    </w:p>
    <w:p w14:paraId="1E4865D6"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xml:space="preserve">        1 - As comunicações e notificações efetuadas para dar cumprimento às normas do presente Acordo serão consideradas devidamente realizadas, salvo disposição em contrário das partes: </w:t>
      </w:r>
    </w:p>
    <w:p w14:paraId="5A778B0C"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 quando tenham sido entregues pessoalmente ao destinatário, ou tenham sido recebidas por carta certificada, telegrama registrado ou meio equivalente dirigidos ao seu domicílio declarado;</w:t>
      </w:r>
    </w:p>
    <w:p w14:paraId="371E3010"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b) se as partes não houverem estabelecido um domicílio especial e se não se conhecer o domicílio após pesquisa razoável, considerar-se-á recebida toda comunicação e notificação escrita que tenha sido remetida à ultima residência habitual ou ao último domicílio conhecido de seus negócios.</w:t>
      </w:r>
    </w:p>
    <w:p w14:paraId="1C26B473"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2 - A comunicação e a notificação serão consideradas recebidas no dia em que se tenha realizado a entrega, segundo o estabelecido na alínea a) do número anterior.</w:t>
      </w:r>
    </w:p>
    <w:p w14:paraId="13E56311"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3 - Na convenção arbitral poderá ser estabelecido um domicílio especial diferente do domicílio das pessoas físicas ou jurídicas, para o fim de recebimento das comunicações e notificações. Também poderá ser designada uma pessoa para esse fim.</w:t>
      </w:r>
    </w:p>
    <w:p w14:paraId="62163AFF"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15</w:t>
      </w:r>
    </w:p>
    <w:p w14:paraId="09E22ED8"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Início do procedimento arbitral</w:t>
      </w:r>
    </w:p>
    <w:p w14:paraId="452BBEA7"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1 - Na arbitragem institucional o procedimento se iniciará conforme o que disponha o regulamento ao qual as partes se tenham submetido. Na arbitragem ‘ad hoc’ a parte que pretenda iniciar o procedimento arbitral intimará a outra na forma estabelecida na convenção arbitral.</w:t>
      </w:r>
    </w:p>
    <w:p w14:paraId="3A3DF09F"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2 - Na intimação constarão necessariamente:</w:t>
      </w:r>
    </w:p>
    <w:p w14:paraId="7544E970"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 o nome e o domicílio das partes;</w:t>
      </w:r>
    </w:p>
    <w:p w14:paraId="6FBC5A2E"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b) a referência ao contrato-base e à convenção arbitral;</w:t>
      </w:r>
    </w:p>
    <w:p w14:paraId="27DC9784"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c) a decisão de submeter o assunto à arbitragem e de designar os árbitros;</w:t>
      </w:r>
    </w:p>
    <w:p w14:paraId="54AD5FB8"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d) o objeto da controvérsia e a indicação do montante, valor ou quantia comprometida.</w:t>
      </w:r>
    </w:p>
    <w:p w14:paraId="1A3DFB99"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3 - À falta de estipulação expressa quanto à forma da intimação, será ela efetuada conforme o estabelecido no art. 14.</w:t>
      </w:r>
    </w:p>
    <w:p w14:paraId="56E9E9AF"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4 - A intimação para iniciar uma arbitragem ‘ad hoc’ ou o ato processual equivalente na arbitragem institucional será válido, inclusive para fins de reconhecimento ou execução dos laudos ou sentenças arbitrais estrangeiras, quando tenham sido realizados de acordo com o estabelecido na convenção arbitral, nas disposições deste Acordo ou, quando for o caso, no direito do Estado sede do tribunal arbitral. Em qualquer caso, se assegurará à parte intimada um prazo razoável para exercer o direito de defesa.</w:t>
      </w:r>
    </w:p>
    <w:p w14:paraId="66B6B4E4"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xml:space="preserve">        5 - Realizada a intimação na arbitragem ‘ad hoc’, ou o ato processual equivalente na arbitragem institucional, segundo o disposto no presente artigo, não poderá ser invocada uma </w:t>
      </w:r>
      <w:r w:rsidRPr="00540FD8">
        <w:rPr>
          <w:rFonts w:ascii="Book Antiqua" w:eastAsia="Times New Roman" w:hAnsi="Book Antiqua" w:cs="Arial"/>
          <w:sz w:val="20"/>
          <w:szCs w:val="20"/>
          <w:lang w:eastAsia="pt-BR"/>
        </w:rPr>
        <w:lastRenderedPageBreak/>
        <w:t xml:space="preserve">violação à ordem pública para questionar sua validade, seja na arbitragem institucional ou </w:t>
      </w:r>
      <w:proofErr w:type="spellStart"/>
      <w:r w:rsidRPr="00540FD8">
        <w:rPr>
          <w:rFonts w:ascii="Book Antiqua" w:eastAsia="Times New Roman" w:hAnsi="Book Antiqua" w:cs="Arial"/>
          <w:sz w:val="20"/>
          <w:szCs w:val="20"/>
          <w:lang w:eastAsia="pt-BR"/>
        </w:rPr>
        <w:t>na</w:t>
      </w:r>
      <w:proofErr w:type="spellEnd"/>
      <w:r w:rsidRPr="00540FD8">
        <w:rPr>
          <w:rFonts w:ascii="Book Antiqua" w:eastAsia="Times New Roman" w:hAnsi="Book Antiqua" w:cs="Arial"/>
          <w:sz w:val="20"/>
          <w:szCs w:val="20"/>
          <w:lang w:eastAsia="pt-BR"/>
        </w:rPr>
        <w:t xml:space="preserve"> ‘ad hoc’.</w:t>
      </w:r>
    </w:p>
    <w:p w14:paraId="0A467243"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16</w:t>
      </w:r>
    </w:p>
    <w:p w14:paraId="4B9A293D"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Árbitros</w:t>
      </w:r>
    </w:p>
    <w:p w14:paraId="742CEC23"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1 - Poderá ser árbitro qualquer pessoa legalmente capaz e que goze da confiança das partes.</w:t>
      </w:r>
    </w:p>
    <w:p w14:paraId="7A6BF8E4"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2 - A capacidade para ser árbitro se rege pelo direito de seu domicílio.</w:t>
      </w:r>
    </w:p>
    <w:p w14:paraId="1B383E8A"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3 - No desempenho de sua função, o árbitro deverá proceder com probidade, imparcialidade, independência, competência, diligência e discrição.</w:t>
      </w:r>
    </w:p>
    <w:p w14:paraId="57C3E369"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4 - A nacionalidade de uma pessoa não será impedimento para que atue como árbitro, salvo acordo em contrário das partes. Ter-se-á em conta a conveniência de designar pessoas de nacionalidade distinta das partes no conflito. Na arbitragem ‘ad hoc’ com mais de um árbitro, o Tribunal não poderá estar composto unicamente por árbitros da nacionalidade de uma das partes, salvo acordo expresso destas, no qual se manifestem as razões desta seleção, que poderá constar na convenção arbitral ou em outro documento.</w:t>
      </w:r>
    </w:p>
    <w:p w14:paraId="10F82497"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17</w:t>
      </w:r>
    </w:p>
    <w:p w14:paraId="1AA0687C"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Nomeação, recusa e substituição dos árbitros</w:t>
      </w:r>
    </w:p>
    <w:p w14:paraId="16D5164C"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Na arbitragem ‘ad hoc’, na falta de previsão das partes, as normas de procedimentos da Comissão Interamericana de Arbitragem Comercial - CIAC- vigentes no momento da designação dos árbitros, regerão sua nomeação, recusa e substituição.</w:t>
      </w:r>
    </w:p>
    <w:p w14:paraId="07C50C66"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18</w:t>
      </w:r>
    </w:p>
    <w:p w14:paraId="2D794DAB"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Competência do tribunal arbitral</w:t>
      </w:r>
    </w:p>
    <w:p w14:paraId="21A55DD5"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1 - O tribunal arbitral terá a faculdade de decidir acerca da sua própria competência e, conforme estabelece o art. 8, das exceções relativas à existência, validade e eficácia da convenção arbitral.</w:t>
      </w:r>
    </w:p>
    <w:p w14:paraId="600D7D82"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2 - A exceção de incompetência do Tribunal fundada na inexistência de matéria arbitrável ou na inexistência, nulidade ou caducidade da convenção arbitral nas instituições arbitrais, se rege por seu próprio regulamento.</w:t>
      </w:r>
    </w:p>
    <w:p w14:paraId="0094C8DC"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3 - Na arbitragem ‘ad hoc’, a exceção de incompetência pelas causas anteriores deverá ser interposta até o momento da apresentação da contestação à demanda ou, em caso de reconvenção, até a réplica à mesma. As partes não estão impedidas de opor essa exceção pelo fato de que hajam designado um árbitro ou participado da sua designação.</w:t>
      </w:r>
    </w:p>
    <w:p w14:paraId="66EA5139"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4 - O tribunal arbitral poderá decidir as exceções relativas a sua competência como questão prévia; porém, poderá também continuar com suas atividades e reservar a decisão sobre as exceções para o laudo ou sentença final.</w:t>
      </w:r>
    </w:p>
    <w:p w14:paraId="463AE57A"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19</w:t>
      </w:r>
    </w:p>
    <w:p w14:paraId="5C826298"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Medidas cautelares</w:t>
      </w:r>
    </w:p>
    <w:p w14:paraId="110D42EE"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lastRenderedPageBreak/>
        <w:t xml:space="preserve">        As medidas cautelares poderão ser ditadas pelo tribunal arbitral ou pela autoridade judicial competente. A solicitação dirigida por qualquer das partes a uma autoridade judicial não se considerará incompatível com a convenção arbitral , nem implicará renúncia à arbitragem. </w:t>
      </w:r>
    </w:p>
    <w:p w14:paraId="44CD528B"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1 - A qualquer momento do processo, por petição da parte, o tribunal arbitral poderá dispor, por conta própria, as medidas cautelares que estime pertinentes, resolvendo, se for o caso, sobre a contracautela.</w:t>
      </w:r>
    </w:p>
    <w:p w14:paraId="13E46D2C"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2 - Estas medidas, quando forem ditadas pelo tribunal arbitral, serão instrumentalizadas por meio de um laudo provisional ou interlocutório.</w:t>
      </w:r>
    </w:p>
    <w:p w14:paraId="3D3D002F"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3 - O tribunal arbitral poderá solicitar, de ofício ou por petição da parte, à autoridade judicial competente, a adoção de uma medida cautelar.</w:t>
      </w:r>
    </w:p>
    <w:p w14:paraId="683CE4B0"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xml:space="preserve">        4 - As solicitações de cooperação cautelar internacional editadas pelo tribunal arbitral de um Estado Parte serão remetidas ao juiz do Estado da sede do tribunal arbitral para que este juiz a transmita para seu </w:t>
      </w:r>
      <w:proofErr w:type="spellStart"/>
      <w:r w:rsidRPr="00540FD8">
        <w:rPr>
          <w:rFonts w:ascii="Book Antiqua" w:eastAsia="Times New Roman" w:hAnsi="Book Antiqua" w:cs="Arial"/>
          <w:sz w:val="20"/>
          <w:szCs w:val="20"/>
          <w:lang w:eastAsia="pt-BR"/>
        </w:rPr>
        <w:t>diligenciamento</w:t>
      </w:r>
      <w:proofErr w:type="spellEnd"/>
      <w:r w:rsidRPr="00540FD8">
        <w:rPr>
          <w:rFonts w:ascii="Book Antiqua" w:eastAsia="Times New Roman" w:hAnsi="Book Antiqua" w:cs="Arial"/>
          <w:sz w:val="20"/>
          <w:szCs w:val="20"/>
          <w:lang w:eastAsia="pt-BR"/>
        </w:rPr>
        <w:t xml:space="preserve"> ao juiz competente do Estado requerido, pelas vias previstas no Protocolo de Medidas Cautelares do MERCOSUL, aprovado pela Decisão Conselho do Mercado Comum N.º 27/94. Neste caso, os Estados poderão declarar no momento de ratificar este Acordo, ou posteriormente, que, quando seja necessária a execução dessas medidas em outro Estado, o tribunal arbitral poderá solicitar o auxílio da autoridade judicial competente do Estado em que se deva executar a medida, por intermédio das respectivas autoridades centrais ou, se for o caso, das autoridades encarregadas do </w:t>
      </w:r>
      <w:proofErr w:type="spellStart"/>
      <w:r w:rsidRPr="00540FD8">
        <w:rPr>
          <w:rFonts w:ascii="Book Antiqua" w:eastAsia="Times New Roman" w:hAnsi="Book Antiqua" w:cs="Arial"/>
          <w:sz w:val="20"/>
          <w:szCs w:val="20"/>
          <w:lang w:eastAsia="pt-BR"/>
        </w:rPr>
        <w:t>diligenciamento</w:t>
      </w:r>
      <w:proofErr w:type="spellEnd"/>
      <w:r w:rsidRPr="00540FD8">
        <w:rPr>
          <w:rFonts w:ascii="Book Antiqua" w:eastAsia="Times New Roman" w:hAnsi="Book Antiqua" w:cs="Arial"/>
          <w:sz w:val="20"/>
          <w:szCs w:val="20"/>
          <w:lang w:eastAsia="pt-BR"/>
        </w:rPr>
        <w:t xml:space="preserve"> da cooperação jurisdicional internacional. </w:t>
      </w:r>
    </w:p>
    <w:p w14:paraId="031E1712"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20</w:t>
      </w:r>
    </w:p>
    <w:p w14:paraId="3467CCEE"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Laudo ou sentença arbitral</w:t>
      </w:r>
    </w:p>
    <w:p w14:paraId="0D2D9391"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xml:space="preserve">        1 - O laudo ou sentença arbitral será escrito, fundamentado e decidirá completamente o litígio. O laudo ou sentença será definitivo e obrigatório para as partes e não admitirá recursos, exceto os estabelecidos nos </w:t>
      </w:r>
      <w:proofErr w:type="spellStart"/>
      <w:r w:rsidRPr="00540FD8">
        <w:rPr>
          <w:rFonts w:ascii="Book Antiqua" w:eastAsia="Times New Roman" w:hAnsi="Book Antiqua" w:cs="Arial"/>
          <w:sz w:val="20"/>
          <w:szCs w:val="20"/>
          <w:lang w:eastAsia="pt-BR"/>
        </w:rPr>
        <w:t>arts</w:t>
      </w:r>
      <w:proofErr w:type="spellEnd"/>
      <w:r w:rsidRPr="00540FD8">
        <w:rPr>
          <w:rFonts w:ascii="Book Antiqua" w:eastAsia="Times New Roman" w:hAnsi="Book Antiqua" w:cs="Arial"/>
          <w:sz w:val="20"/>
          <w:szCs w:val="20"/>
          <w:lang w:eastAsia="pt-BR"/>
        </w:rPr>
        <w:t>. 21 e 22.</w:t>
      </w:r>
    </w:p>
    <w:p w14:paraId="2882E8A2"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2 - Quando houver diversos árbitros, a decisão será tomada por maioria. Caso não se obtenha maioria, a questão será decidida pelo voto do presidente.</w:t>
      </w:r>
    </w:p>
    <w:p w14:paraId="41236937"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3 - O árbitro que discorde da maioria poderá declarar e fundamentar seu voto em separado.</w:t>
      </w:r>
    </w:p>
    <w:p w14:paraId="06883F12"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4 - O laudo ou sentença será assinado pelos árbitros e conterá:</w:t>
      </w:r>
    </w:p>
    <w:p w14:paraId="33E85215"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 a data e lugar em que foi proferido;</w:t>
      </w:r>
    </w:p>
    <w:p w14:paraId="72A1C079"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xml:space="preserve">        b) os fundamentos em que se baseia, ainda que seja por </w:t>
      </w:r>
      <w:proofErr w:type="spellStart"/>
      <w:r w:rsidRPr="00540FD8">
        <w:rPr>
          <w:rFonts w:ascii="Book Antiqua" w:eastAsia="Times New Roman" w:hAnsi="Book Antiqua" w:cs="Arial"/>
          <w:sz w:val="20"/>
          <w:szCs w:val="20"/>
          <w:lang w:eastAsia="pt-BR"/>
        </w:rPr>
        <w:t>eqüidade</w:t>
      </w:r>
      <w:proofErr w:type="spellEnd"/>
      <w:r w:rsidRPr="00540FD8">
        <w:rPr>
          <w:rFonts w:ascii="Book Antiqua" w:eastAsia="Times New Roman" w:hAnsi="Book Antiqua" w:cs="Arial"/>
          <w:sz w:val="20"/>
          <w:szCs w:val="20"/>
          <w:lang w:eastAsia="pt-BR"/>
        </w:rPr>
        <w:t>;</w:t>
      </w:r>
    </w:p>
    <w:p w14:paraId="4261E1C9"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c) a decisão acerca da totalidade das questões submetidas à arbitragem;</w:t>
      </w:r>
    </w:p>
    <w:p w14:paraId="401FB15D"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xml:space="preserve">        d) as despesas da arbitragem. </w:t>
      </w:r>
    </w:p>
    <w:p w14:paraId="1AE4125B"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5 - Caso um dos árbitros não assine o laudo ou sentença, será informado o motivo pelo qual não tenha sido assinado, devendo o presidente do tribunal arbitral certificar tal fato.</w:t>
      </w:r>
    </w:p>
    <w:p w14:paraId="3AA0F12B"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6 - O laudo ou sentença será devidamente notificado às partes pelo tribunal arbitral.</w:t>
      </w:r>
    </w:p>
    <w:p w14:paraId="4B50DCBB"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lastRenderedPageBreak/>
        <w:t>        7 - Se, no curso da arbitragem, as partes chegarem a um acordo quanto ao litígio, o tribunal arbitral, a pedido das partes, homologará tal fato mediante um laudo ou sentença arbitral que contenha os requisitos do número 4 do presente artigo.</w:t>
      </w:r>
    </w:p>
    <w:p w14:paraId="7830D12A"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21</w:t>
      </w:r>
    </w:p>
    <w:p w14:paraId="03D5334B"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Solicitação de retificação e ampliação</w:t>
      </w:r>
    </w:p>
    <w:p w14:paraId="251D819D"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1 - Dentro dos trinta (30) dias seguintes à notificação do laudo ou sentença arbitral, e a não ser que as partes tenham acordado outro prazo, qualquer delas poderá solicitar ao tribunal que:</w:t>
      </w:r>
    </w:p>
    <w:p w14:paraId="780234CE"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 retifique qualquer erro material;</w:t>
      </w:r>
    </w:p>
    <w:p w14:paraId="07B0BBB3"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b) precise a abrangência de um ou vários pontos específicos;</w:t>
      </w:r>
    </w:p>
    <w:p w14:paraId="221D750E"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c) se pronuncie sobre alguma das questões objeto da controvérsia que não tenha sido resolvida.</w:t>
      </w:r>
    </w:p>
    <w:p w14:paraId="5F20684F"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2 - A solicitação de retificação será devidamente notificada à outra parte pelo tribunal arbitral.</w:t>
      </w:r>
    </w:p>
    <w:p w14:paraId="794E90D0"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3 - Salvo acordo entre as partes, o tribunal arbitral decidirá sobre a solicitação em um prazo de vinte (20) dias e as notificará de sua resolução.</w:t>
      </w:r>
    </w:p>
    <w:p w14:paraId="56166DE7"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22</w:t>
      </w:r>
    </w:p>
    <w:p w14:paraId="358317F3"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Petição de nulidade do laudo ou sentença arbitral</w:t>
      </w:r>
    </w:p>
    <w:p w14:paraId="013AA7BD"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xml:space="preserve">        1 - O laudo ou sentença arbitral só poderá ser impugnado perante a autoridade judicial do Estado sede do tribunal arbitral mediante uma petição de nulidade. </w:t>
      </w:r>
    </w:p>
    <w:p w14:paraId="4241A4B3"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2 - O laudo poderá ser impugnado por nulidade quando:</w:t>
      </w:r>
    </w:p>
    <w:p w14:paraId="6B5832DB"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 a convenção arbitral seja nula;</w:t>
      </w:r>
    </w:p>
    <w:p w14:paraId="31A3D9F8"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b) o tribunal tenha sido constituído de modo irregular;</w:t>
      </w:r>
    </w:p>
    <w:p w14:paraId="75EDD3D6"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c) o procedimento arbitral não esteja em conformidade com as normas deste Acordo, com o regulamento da instituição arbitral ou com a convenção arbitral, conforme o caso;</w:t>
      </w:r>
    </w:p>
    <w:p w14:paraId="3FE4A34A"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d) não tenham sido respeitados os princípios do devido processo legal;</w:t>
      </w:r>
    </w:p>
    <w:p w14:paraId="4159331C"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e) tenha sido ditado por pessoa incapaz para ser árbitro;</w:t>
      </w:r>
    </w:p>
    <w:p w14:paraId="160AA239"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f) refira-se a uma controvérsia não prevista na convenção arbitral;</w:t>
      </w:r>
    </w:p>
    <w:p w14:paraId="30FE3183"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g) contenha decisões que excedam os termos da convenção arbitral.</w:t>
      </w:r>
    </w:p>
    <w:p w14:paraId="22BE2909"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xml:space="preserve">        3 - Nos casos previstos nas alíneas a), b), d), e </w:t>
      </w:r>
      <w:proofErr w:type="spellStart"/>
      <w:r w:rsidRPr="00540FD8">
        <w:rPr>
          <w:rFonts w:ascii="Book Antiqua" w:eastAsia="Times New Roman" w:hAnsi="Book Antiqua" w:cs="Arial"/>
          <w:sz w:val="20"/>
          <w:szCs w:val="20"/>
          <w:lang w:eastAsia="pt-BR"/>
        </w:rPr>
        <w:t>e</w:t>
      </w:r>
      <w:proofErr w:type="spellEnd"/>
      <w:r w:rsidRPr="00540FD8">
        <w:rPr>
          <w:rFonts w:ascii="Book Antiqua" w:eastAsia="Times New Roman" w:hAnsi="Book Antiqua" w:cs="Arial"/>
          <w:sz w:val="20"/>
          <w:szCs w:val="20"/>
          <w:lang w:eastAsia="pt-BR"/>
        </w:rPr>
        <w:t xml:space="preserve">) do número 2, a sentença judicial declarará a nulidade absoluta do laudo ou sentença arbitral. Nos casos previstos nas alíneas c), f), e g), a sentença judicial determinará a nulidade relativa do laudo ou sentença arbitral. No caso previsto na alínea c), a sentença judicial poderá declarar a validade e determinar a continuação do procedimento na parte não viciada e estabelecerá que o tribunal arbitral dite laudo ou </w:t>
      </w:r>
      <w:r w:rsidRPr="00540FD8">
        <w:rPr>
          <w:rFonts w:ascii="Book Antiqua" w:eastAsia="Times New Roman" w:hAnsi="Book Antiqua" w:cs="Arial"/>
          <w:sz w:val="20"/>
          <w:szCs w:val="20"/>
          <w:lang w:eastAsia="pt-BR"/>
        </w:rPr>
        <w:lastRenderedPageBreak/>
        <w:t>sentença complementar. Nos casos das alíneas f) e g) novo laudo ou sentença arbitral deverá ser ditado.</w:t>
      </w:r>
    </w:p>
    <w:p w14:paraId="74390BD1"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4 - A petição, devidamente fundamentada, deverá ser formulada no prazo de 90 dias corridos a partir da notificação do laudo ou sentença arbitral ou, se for o caso, a partir da notificação da decisão a que se refere o art. 21.</w:t>
      </w:r>
    </w:p>
    <w:p w14:paraId="4B87510E"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5 - A parte que invoque a nulidade deverá comprovar os fatos em que se baseia a petição.</w:t>
      </w:r>
    </w:p>
    <w:p w14:paraId="213D50F1"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23</w:t>
      </w:r>
    </w:p>
    <w:p w14:paraId="4856F2A2"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Execução do laudo ou sentença arbitral estrangeiro</w:t>
      </w:r>
    </w:p>
    <w:p w14:paraId="4AA71CD3"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Para a execução do laudo ou sentença arbitral estrangeiro se aplicarão, no que for pertinente, as disposições da Convenção Interamericana sobre Arbitragem Comercial Internacional do Panamá de 1975; o Protocolo de Cooperação e Assistência Jurisdicional em Matéria Civil, Comercial, Trabalhista e Administrativa do MERCOSUL, aprovado por decisão do Conselho do Mercado Comum N.º 5/92, e a Convenção Interamericana sobre a Eficácia Extraterritorial das Sentenças e Laudos Arbitrais Estrangeiros de Montevidéu de 1979.</w:t>
      </w:r>
    </w:p>
    <w:p w14:paraId="08099AAE"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24</w:t>
      </w:r>
    </w:p>
    <w:p w14:paraId="737FB862"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Encerramento da Arbitragem</w:t>
      </w:r>
    </w:p>
    <w:p w14:paraId="05D18A21"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 arbitragem terminará quando for ditada a sentença ou laudo definitivo, ou quando seja determinado o encerramento da arbitragem pelo tribunal arbitral caso:</w:t>
      </w:r>
    </w:p>
    <w:p w14:paraId="52ACD7A6"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a) as partes estejam de acordo em terminar a arbitragem;</w:t>
      </w:r>
    </w:p>
    <w:p w14:paraId="4BD9D5F8"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b) o tribunal arbitral constate que o procedimento arbitral se tornou, por qualquer razão, desnecessário ou impossível.</w:t>
      </w:r>
    </w:p>
    <w:p w14:paraId="7EF25CB0"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25</w:t>
      </w:r>
    </w:p>
    <w:p w14:paraId="32DAC4B9"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Disposições gerais</w:t>
      </w:r>
    </w:p>
    <w:p w14:paraId="0DB9BF8E"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1 - A aplicação das normas de procedimento da Comissão Interamericana de Arbitragem Comercial (CIAC) para a arbitragem ‘ad hoc’, conforme o previsto no art. 12, número 2, alínea b), não implicará que a arbitragem seja considerada institucional.</w:t>
      </w:r>
    </w:p>
    <w:p w14:paraId="29F675F7"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2 - Salvo disposição em contrário, das partes ou do tribunal arbitral, as despesas resultantes da arbitragem serão divididas igualmente entre as partes.</w:t>
      </w:r>
    </w:p>
    <w:p w14:paraId="6F18543A"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3 - Para as situações não previstas pelas partes, pelo presente Acordo, pelas regras de procedimento da Comissão Interamericana de Arbitragem Comercial Internacional, nem pelas convenções e normas a que este acordo se refere, aplicar-se-ão os princípios e regras da Lei Modelo sobre Arbitragem Comercial Internacional da Comissão das Nações Unidas para o Direito Mercantil Internacional de 21 de junho de 1985.</w:t>
      </w:r>
    </w:p>
    <w:p w14:paraId="13642A90"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Artigo 26</w:t>
      </w:r>
    </w:p>
    <w:p w14:paraId="04C18299" w14:textId="77777777" w:rsidR="00A00A59" w:rsidRPr="00540FD8" w:rsidRDefault="00A00A59" w:rsidP="00A00A59">
      <w:pPr>
        <w:spacing w:before="100" w:beforeAutospacing="1" w:after="100" w:afterAutospacing="1" w:line="240" w:lineRule="auto"/>
        <w:jc w:val="center"/>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Disposições finais</w:t>
      </w:r>
    </w:p>
    <w:p w14:paraId="0EBBE879"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lastRenderedPageBreak/>
        <w:t>        1 - O presente Acordo entrará em vigor, com relação aos dois primeiros Estados Partes que o ratifiquem, trinta dias depois que o segundo país proceda ao depósito de seu instrumento de ratificação.</w:t>
      </w:r>
    </w:p>
    <w:p w14:paraId="59D228F8"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xml:space="preserve">        Para os demais Estados </w:t>
      </w:r>
      <w:proofErr w:type="spellStart"/>
      <w:r w:rsidRPr="00540FD8">
        <w:rPr>
          <w:rFonts w:ascii="Book Antiqua" w:eastAsia="Times New Roman" w:hAnsi="Book Antiqua" w:cs="Arial"/>
          <w:sz w:val="20"/>
          <w:szCs w:val="20"/>
          <w:lang w:eastAsia="pt-BR"/>
        </w:rPr>
        <w:t>ratificantes</w:t>
      </w:r>
      <w:proofErr w:type="spellEnd"/>
      <w:r w:rsidRPr="00540FD8">
        <w:rPr>
          <w:rFonts w:ascii="Book Antiqua" w:eastAsia="Times New Roman" w:hAnsi="Book Antiqua" w:cs="Arial"/>
          <w:sz w:val="20"/>
          <w:szCs w:val="20"/>
          <w:lang w:eastAsia="pt-BR"/>
        </w:rPr>
        <w:t>, entrará em vigor no trigésimo dia posterior ao depósito de seu respectivo instrumento de ratificação.</w:t>
      </w:r>
    </w:p>
    <w:p w14:paraId="6E7AA914"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2 - O presente Acordo não restringirá as disposições das convenções vigentes sobre a mesma matéria entre os Estados Partes, desde que não o contradigam.</w:t>
      </w:r>
    </w:p>
    <w:p w14:paraId="72B54F2F"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3 - A República do Paraguai será depositária do presente Acordo e dos instrumentos de ratificação e enviará cópias devidamente autenticadas aos demais Estados Partes.</w:t>
      </w:r>
    </w:p>
    <w:p w14:paraId="30ABC612"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4 - Da mesma forma, a República do Paraguai notificará os demais Estados Partes da data de entrada em vigor do presente Acordo e da data de depósito dos instrumentos de ratificação.</w:t>
      </w:r>
    </w:p>
    <w:p w14:paraId="48DA6E17" w14:textId="77777777" w:rsidR="00A00A59" w:rsidRPr="00540FD8" w:rsidRDefault="00A00A59" w:rsidP="00A00A59">
      <w:pPr>
        <w:spacing w:before="100" w:beforeAutospacing="1" w:after="100" w:afterAutospacing="1" w:line="240" w:lineRule="auto"/>
        <w:rPr>
          <w:rFonts w:ascii="Book Antiqua" w:eastAsia="Times New Roman" w:hAnsi="Book Antiqua" w:cs="Times New Roman"/>
          <w:sz w:val="20"/>
          <w:szCs w:val="20"/>
          <w:lang w:eastAsia="pt-BR"/>
        </w:rPr>
      </w:pPr>
      <w:r w:rsidRPr="00540FD8">
        <w:rPr>
          <w:rFonts w:ascii="Book Antiqua" w:eastAsia="Times New Roman" w:hAnsi="Book Antiqua" w:cs="Arial"/>
          <w:sz w:val="20"/>
          <w:szCs w:val="20"/>
          <w:lang w:eastAsia="pt-BR"/>
        </w:rPr>
        <w:t>        Feito em Buenos Aires, República Argentina, aos 23 dias do mês de julho de 1998, em um original nos idiomas português e espanhol, sendo ambos os textos igualmente autênticos.</w:t>
      </w:r>
    </w:p>
    <w:p w14:paraId="2C76CE61" w14:textId="77777777" w:rsidR="00B33A1B" w:rsidRPr="00540FD8" w:rsidRDefault="00B33A1B" w:rsidP="00A00A59">
      <w:pPr>
        <w:jc w:val="both"/>
        <w:rPr>
          <w:rFonts w:ascii="Book Antiqua" w:hAnsi="Book Antiqua"/>
          <w:sz w:val="20"/>
          <w:szCs w:val="20"/>
        </w:rPr>
      </w:pPr>
    </w:p>
    <w:sectPr w:rsidR="00B33A1B" w:rsidRPr="00540FD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0C"/>
    <w:rsid w:val="00540FD8"/>
    <w:rsid w:val="00A00A59"/>
    <w:rsid w:val="00B33A1B"/>
    <w:rsid w:val="00D7550C"/>
    <w:rsid w:val="00D858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5D7ED"/>
  <w15:chartTrackingRefBased/>
  <w15:docId w15:val="{5DA15228-2B4B-4F8F-B614-7F3F9AE21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00A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843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lanalto.gov.br/ccivil_03/Constituicao/Constitui&#231;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4008</Words>
  <Characters>21647</Characters>
  <Application>Microsoft Office Word</Application>
  <DocSecurity>0</DocSecurity>
  <Lines>180</Lines>
  <Paragraphs>51</Paragraphs>
  <ScaleCrop>false</ScaleCrop>
  <Company/>
  <LinksUpToDate>false</LinksUpToDate>
  <CharactersWithSpaces>25604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4</cp:revision>
  <dcterms:created xsi:type="dcterms:W3CDTF">2018-06-24T21:03:00Z</dcterms:created>
  <dcterms:modified xsi:type="dcterms:W3CDTF">2020-04-17T18:02:00Z</dcterms:modified>
</cp:coreProperties>
</file>