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318A5" w14:textId="77777777" w:rsidR="001E0EEC" w:rsidRPr="001E0EEC" w:rsidRDefault="001E0EEC" w:rsidP="001E0E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1E0EE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"http://legislacao.planalto.gov.br/legisla/legislacao.nsf/Viw_Identificacao/del%201.477-1976?OpenDocument" </w:instrText>
      </w:r>
      <w:r w:rsidRPr="001E0EE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1E0EEC">
        <w:rPr>
          <w:rFonts w:ascii="Book Antiqua" w:eastAsia="Times New Roman" w:hAnsi="Book Antiqua" w:cs="Arial"/>
          <w:b/>
          <w:bCs/>
          <w:color w:val="0000FF"/>
          <w:sz w:val="19"/>
          <w:szCs w:val="19"/>
          <w:u w:val="single"/>
          <w:lang w:eastAsia="pt-BR"/>
        </w:rPr>
        <w:t>DECRETO-LEI N</w:t>
      </w:r>
      <w:r w:rsidRPr="001E0EEC">
        <w:rPr>
          <w:rFonts w:ascii="Book Antiqua" w:eastAsia="Times New Roman" w:hAnsi="Book Antiqua" w:cs="Arial"/>
          <w:b/>
          <w:bCs/>
          <w:color w:val="0000FF"/>
          <w:sz w:val="19"/>
          <w:szCs w:val="19"/>
          <w:u w:val="single"/>
          <w:vertAlign w:val="superscript"/>
          <w:lang w:eastAsia="pt-BR"/>
        </w:rPr>
        <w:t>o</w:t>
      </w:r>
      <w:r w:rsidRPr="001E0EEC">
        <w:rPr>
          <w:rFonts w:ascii="Book Antiqua" w:eastAsia="Times New Roman" w:hAnsi="Book Antiqua" w:cs="Arial"/>
          <w:b/>
          <w:bCs/>
          <w:color w:val="0000FF"/>
          <w:sz w:val="19"/>
          <w:szCs w:val="19"/>
          <w:u w:val="single"/>
          <w:lang w:eastAsia="pt-BR"/>
        </w:rPr>
        <w:t> 1.477, DE 26 DE AGOSTO DE 1976.</w:t>
      </w:r>
      <w:r w:rsidRPr="001E0EEC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1E0EEC" w:rsidRPr="001E0EEC" w14:paraId="4EC4BE53" w14:textId="77777777" w:rsidTr="001E0EEC">
        <w:trPr>
          <w:trHeight w:val="190"/>
          <w:tblCellSpacing w:w="0" w:type="dxa"/>
        </w:trPr>
        <w:tc>
          <w:tcPr>
            <w:tcW w:w="1084" w:type="pct"/>
            <w:vAlign w:val="center"/>
            <w:hideMark/>
          </w:tcPr>
          <w:p w14:paraId="167529EA" w14:textId="77777777" w:rsidR="001E0EEC" w:rsidRPr="001E0EEC" w:rsidRDefault="001E0EEC" w:rsidP="001E0EE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</w:tc>
        <w:tc>
          <w:tcPr>
            <w:tcW w:w="3916" w:type="pct"/>
            <w:vAlign w:val="center"/>
            <w:hideMark/>
          </w:tcPr>
          <w:p w14:paraId="27D5C3C9" w14:textId="77777777" w:rsidR="001E0EEC" w:rsidRPr="001E0EEC" w:rsidRDefault="001E0EEC" w:rsidP="001E0EE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1E0EE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correção monetária nos casos de liquidação extrajudicial ou falência das entidades que especifica, e dá outras providências.</w:t>
            </w:r>
          </w:p>
        </w:tc>
      </w:tr>
    </w:tbl>
    <w:p w14:paraId="6CC65ADB" w14:textId="77777777" w:rsidR="001E0EEC" w:rsidRPr="001E0EEC" w:rsidRDefault="001E0EEC" w:rsidP="001E0E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de suas atribuições e tendo em vista o disposto no artigo 55, item II, da Constituição,</w:t>
      </w:r>
    </w:p>
    <w:p w14:paraId="10986232" w14:textId="77777777" w:rsidR="001E0EEC" w:rsidRPr="001E0EEC" w:rsidRDefault="001E0EEC" w:rsidP="001E0E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158EC0CB" w14:textId="77777777" w:rsidR="001E0EEC" w:rsidRPr="001E0EEC" w:rsidRDefault="001E0EEC" w:rsidP="001E0EEC">
      <w:pPr>
        <w:spacing w:beforeAutospacing="1" w:after="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."/>
      <w:bookmarkStart w:id="1" w:name="_Hlk53663972"/>
      <w:bookmarkEnd w:id="0"/>
      <w:r w:rsidRPr="001E0EE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Incide correção monetária sobre a totalidade das obrigações de responsabilidade das entidades a que se aplica a </w:t>
      </w:r>
      <w:hyperlink r:id="rId6" w:history="1">
        <w:r w:rsidRPr="001E0EEC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6.024, de 13 de março de 1974,</w:t>
        </w:r>
      </w:hyperlink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submetidas a regime de intervenção, liquidação </w:t>
      </w:r>
      <w:proofErr w:type="spellStart"/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extra-judicial</w:t>
      </w:r>
      <w:proofErr w:type="spellEnd"/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falência. </w:t>
      </w:r>
      <w:hyperlink r:id="rId7" w:anchor="art1" w:history="1">
        <w:r w:rsidRPr="001E0EEC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Decreto-Lei nº 2.278, de 1985)</w:t>
        </w:r>
      </w:hyperlink>
    </w:p>
    <w:p w14:paraId="2086E5D1" w14:textId="273D57B9" w:rsidR="001E0EEC" w:rsidRDefault="001E0EEC" w:rsidP="001E0E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</w:pPr>
      <w:r w:rsidRPr="001E0EE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O disposto neste artigo, abrange também as operações realizadas posteriormente à decretação da intervenção, liquidação </w:t>
      </w:r>
      <w:proofErr w:type="spellStart"/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extra-judicial</w:t>
      </w:r>
      <w:proofErr w:type="spellEnd"/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falência, referentes a qualquer tipo de obrigação passivas, contratual ou não, inclusive as penas pecuniárias por infração a dispositivos legais. </w:t>
      </w:r>
      <w:hyperlink r:id="rId8" w:anchor="art1" w:history="1">
        <w:r w:rsidRPr="001E0EEC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pelo Decreto-Lei nº 2.278, de 1985)</w:t>
        </w:r>
      </w:hyperlink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E0EEC" w14:paraId="67822C26" w14:textId="77777777" w:rsidTr="001E0EEC">
        <w:tc>
          <w:tcPr>
            <w:tcW w:w="8494" w:type="dxa"/>
            <w:shd w:val="clear" w:color="auto" w:fill="CCFFFF"/>
          </w:tcPr>
          <w:p w14:paraId="1B355171" w14:textId="2B804D7D" w:rsidR="001E0EEC" w:rsidRDefault="001E0EEC" w:rsidP="001E0EE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u w:val="single"/>
                <w:lang w:eastAsia="pt-BR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6C674C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TRF1-2015-CESPE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6C674C">
              <w:rPr>
                <w:rFonts w:ascii="Book Antiqua" w:hAnsi="Book Antiqua"/>
                <w:sz w:val="19"/>
                <w:szCs w:val="19"/>
              </w:rPr>
              <w:t>Assinale a opção correta com base nas normas sobre liquidação extrajudicial das instituições financeiras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6C674C">
              <w:rPr>
                <w:rFonts w:ascii="Book Antiqua" w:hAnsi="Book Antiqua"/>
                <w:sz w:val="19"/>
                <w:szCs w:val="19"/>
              </w:rPr>
              <w:t>Com a decretação da liquidação extrajudicial de determinada instituição financeira, haverá incidência de correção monetária sobre a totalidade de suas obrigações, desde o vencimento até o seu efetivo pagamento, sem qualquer interrupção ou suspensão.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46, ADCT</w:t>
            </w:r>
            <w:r>
              <w:rPr>
                <w:rStyle w:val="Refdenotaderodap"/>
                <w:rFonts w:ascii="Book Antiqua" w:hAnsi="Book Antiqua"/>
                <w:b/>
                <w:bCs/>
                <w:sz w:val="19"/>
                <w:szCs w:val="19"/>
              </w:rPr>
              <w:footnoteReference w:id="1"/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e art. 1º do DL 1.477/76. </w:t>
            </w:r>
            <w:r w:rsidRPr="006C674C">
              <w:rPr>
                <w:rFonts w:ascii="Book Antiqua" w:hAnsi="Book Antiqua"/>
                <w:b/>
                <w:bCs/>
                <w:color w:val="FF0000"/>
                <w:sz w:val="19"/>
                <w:szCs w:val="19"/>
              </w:rPr>
              <w:t>(emp.)</w:t>
            </w:r>
          </w:p>
        </w:tc>
      </w:tr>
    </w:tbl>
    <w:p w14:paraId="722B53FF" w14:textId="77777777" w:rsidR="001E0EEC" w:rsidRPr="001E0EEC" w:rsidRDefault="001E0EEC" w:rsidP="001E0E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Em relação às dívidas passivas de natureza fiscal, a correção Monetária incide até a data em que for decretada a liquidação extrajudicial, suspendendo-se pelo prazo de um ano a partir dessa data.</w:t>
      </w:r>
    </w:p>
    <w:p w14:paraId="03424C03" w14:textId="77777777" w:rsidR="001E0EEC" w:rsidRPr="001E0EEC" w:rsidRDefault="001E0EEC" w:rsidP="001E0E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Se as dívidas não forem liquidadas até trinta dias após o término do prazo previsto neste artigo, a correção monetária será calculada até a data do pagamento, computado o período em que esteve suspensa.</w:t>
      </w:r>
    </w:p>
    <w:p w14:paraId="216AB1A2" w14:textId="77777777" w:rsidR="001E0EEC" w:rsidRPr="001E0EEC" w:rsidRDefault="001E0EEC" w:rsidP="001E0E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Este Decreto-Lei entrará em vigor na data de sua publicação.</w:t>
      </w:r>
    </w:p>
    <w:p w14:paraId="152D6395" w14:textId="77777777" w:rsidR="001E0EEC" w:rsidRPr="001E0EEC" w:rsidRDefault="001E0EEC" w:rsidP="001E0E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26 de agosto de 1976; 155º da Independência e 88º da República.</w:t>
      </w:r>
    </w:p>
    <w:p w14:paraId="0951F970" w14:textId="77777777" w:rsidR="001E0EEC" w:rsidRPr="001E0EEC" w:rsidRDefault="001E0EEC" w:rsidP="001E0EE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ERNESTO GEISEL</w:t>
      </w:r>
      <w:r w:rsidRPr="001E0E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1E0EE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Mário Henrique Simonsen</w:t>
      </w:r>
      <w:r w:rsidRPr="001E0EE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Maurício Rangel Reis</w:t>
      </w:r>
    </w:p>
    <w:p w14:paraId="28DAFAE8" w14:textId="77777777" w:rsidR="001E0EEC" w:rsidRPr="001E0EEC" w:rsidRDefault="001E0EEC" w:rsidP="001E0EE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E0EEC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27.08.1976</w:t>
      </w:r>
    </w:p>
    <w:p w14:paraId="12B07DF4" w14:textId="77777777" w:rsidR="00DC091D" w:rsidRPr="001E0EEC" w:rsidRDefault="00DC091D">
      <w:pPr>
        <w:rPr>
          <w:rFonts w:ascii="Book Antiqua" w:hAnsi="Book Antiqua"/>
          <w:sz w:val="19"/>
          <w:szCs w:val="19"/>
        </w:rPr>
      </w:pPr>
    </w:p>
    <w:sectPr w:rsidR="00DC091D" w:rsidRPr="001E0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2E59F" w14:textId="77777777" w:rsidR="00E664DB" w:rsidRDefault="00E664DB" w:rsidP="001E0EEC">
      <w:pPr>
        <w:spacing w:after="0" w:line="240" w:lineRule="auto"/>
      </w:pPr>
      <w:r>
        <w:separator/>
      </w:r>
    </w:p>
  </w:endnote>
  <w:endnote w:type="continuationSeparator" w:id="0">
    <w:p w14:paraId="127B1564" w14:textId="77777777" w:rsidR="00E664DB" w:rsidRDefault="00E664DB" w:rsidP="001E0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49AA49" w14:textId="77777777" w:rsidR="00E664DB" w:rsidRDefault="00E664DB" w:rsidP="001E0EEC">
      <w:pPr>
        <w:spacing w:after="0" w:line="240" w:lineRule="auto"/>
      </w:pPr>
      <w:r>
        <w:separator/>
      </w:r>
    </w:p>
  </w:footnote>
  <w:footnote w:type="continuationSeparator" w:id="0">
    <w:p w14:paraId="4F6930AF" w14:textId="77777777" w:rsidR="00E664DB" w:rsidRDefault="00E664DB" w:rsidP="001E0EEC">
      <w:pPr>
        <w:spacing w:after="0" w:line="240" w:lineRule="auto"/>
      </w:pPr>
      <w:r>
        <w:continuationSeparator/>
      </w:r>
    </w:p>
  </w:footnote>
  <w:footnote w:id="1">
    <w:p w14:paraId="74298CD3" w14:textId="2A251637" w:rsidR="001E0EEC" w:rsidRPr="006C674C" w:rsidRDefault="001E0EEC" w:rsidP="001E0EEC">
      <w:pPr>
        <w:pStyle w:val="Textodenotaderodap"/>
        <w:ind w:left="0" w:right="-1" w:firstLine="0"/>
        <w:jc w:val="both"/>
        <w:rPr>
          <w:rFonts w:ascii="Book Antiqua" w:hAnsi="Book Antiqua"/>
          <w:sz w:val="18"/>
          <w:szCs w:val="18"/>
        </w:rPr>
      </w:pPr>
      <w:r w:rsidRPr="006C674C">
        <w:rPr>
          <w:rStyle w:val="Refdenotaderodap"/>
          <w:rFonts w:ascii="Book Antiqua" w:hAnsi="Book Antiqua"/>
          <w:sz w:val="18"/>
          <w:szCs w:val="18"/>
        </w:rPr>
        <w:footnoteRef/>
      </w:r>
      <w:r w:rsidRPr="006C674C">
        <w:rPr>
          <w:rFonts w:ascii="Book Antiqua" w:hAnsi="Book Antiqua"/>
          <w:sz w:val="18"/>
          <w:szCs w:val="18"/>
        </w:rPr>
        <w:t xml:space="preserve"> </w:t>
      </w:r>
      <w:r w:rsidRPr="001E0EEC">
        <w:rPr>
          <w:rFonts w:ascii="Book Antiqua" w:hAnsi="Book Antiqua"/>
          <w:sz w:val="18"/>
          <w:szCs w:val="18"/>
        </w:rPr>
        <w:t>Art. 46. São sujeitos à correção monetária desde o vencimento, até seu efetivo pagamento, sem interrupção ou suspensão, os créditos junto a entidades submetidas aos regimes de intervenção ou liquidação extrajudicial, mesmo quando esses regimes sejam convertidos em falência.</w:t>
      </w:r>
      <w:r>
        <w:rPr>
          <w:rFonts w:ascii="Book Antiqua" w:hAnsi="Book Antiqua"/>
          <w:sz w:val="18"/>
          <w:szCs w:val="18"/>
        </w:rPr>
        <w:t xml:space="preserve"> </w:t>
      </w:r>
      <w:r w:rsidRPr="001E0EEC">
        <w:rPr>
          <w:rFonts w:ascii="Book Antiqua" w:hAnsi="Book Antiqua"/>
          <w:sz w:val="18"/>
          <w:szCs w:val="18"/>
        </w:rPr>
        <w:t>Parágrafo único. O disposto neste artigo aplica-se também:</w:t>
      </w:r>
      <w:r>
        <w:rPr>
          <w:rFonts w:ascii="Book Antiqua" w:hAnsi="Book Antiqua"/>
          <w:sz w:val="18"/>
          <w:szCs w:val="18"/>
        </w:rPr>
        <w:t xml:space="preserve"> </w:t>
      </w:r>
      <w:r w:rsidRPr="001E0EEC">
        <w:rPr>
          <w:rFonts w:ascii="Book Antiqua" w:hAnsi="Book Antiqua"/>
          <w:sz w:val="18"/>
          <w:szCs w:val="18"/>
        </w:rPr>
        <w:t>I - às operações realizadas posteriormente à decretação dos regimes referidos no "caput" deste artigo;</w:t>
      </w:r>
      <w:r>
        <w:rPr>
          <w:rFonts w:ascii="Book Antiqua" w:hAnsi="Book Antiqua"/>
          <w:sz w:val="18"/>
          <w:szCs w:val="18"/>
        </w:rPr>
        <w:t xml:space="preserve"> </w:t>
      </w:r>
      <w:r w:rsidRPr="001E0EEC">
        <w:rPr>
          <w:rFonts w:ascii="Book Antiqua" w:hAnsi="Book Antiqua"/>
          <w:sz w:val="18"/>
          <w:szCs w:val="18"/>
        </w:rPr>
        <w:t>II - às operações de empréstimo, financiamento, refinanciamento, assistência financeira de liquidez, cessão ou sub-rogação de créditos ou cédulas hipotecárias, efetivação de garantia de depósitos do público ou de compra de obrigações passivas, inclusive as realizadas com recursos de fundos que tenham essas destinações;</w:t>
      </w:r>
      <w:r>
        <w:rPr>
          <w:rFonts w:ascii="Book Antiqua" w:hAnsi="Book Antiqua"/>
          <w:sz w:val="18"/>
          <w:szCs w:val="18"/>
        </w:rPr>
        <w:t xml:space="preserve"> </w:t>
      </w:r>
      <w:r w:rsidRPr="001E0EEC">
        <w:rPr>
          <w:rFonts w:ascii="Book Antiqua" w:hAnsi="Book Antiqua"/>
          <w:sz w:val="18"/>
          <w:szCs w:val="18"/>
        </w:rPr>
        <w:t>III - aos créditos anteriores à promulgação da Constituição;</w:t>
      </w:r>
      <w:r>
        <w:rPr>
          <w:rFonts w:ascii="Book Antiqua" w:hAnsi="Book Antiqua"/>
          <w:sz w:val="18"/>
          <w:szCs w:val="18"/>
        </w:rPr>
        <w:t xml:space="preserve"> </w:t>
      </w:r>
      <w:r w:rsidRPr="001E0EEC">
        <w:rPr>
          <w:rFonts w:ascii="Book Antiqua" w:hAnsi="Book Antiqua"/>
          <w:sz w:val="18"/>
          <w:szCs w:val="18"/>
        </w:rPr>
        <w:t>IV - aos créditos das entidades da administração pública anteriores à promulgação da Constituição, não liquidados até 1 de janeiro de 1988.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1D"/>
    <w:rsid w:val="001E0EEC"/>
    <w:rsid w:val="007C3573"/>
    <w:rsid w:val="00DC091D"/>
    <w:rsid w:val="00E6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E050"/>
  <w15:chartTrackingRefBased/>
  <w15:docId w15:val="{7DAFCFF2-C8E7-4013-AECB-BEA6E7EC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E0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aliases w:val="fn,ALTS FOOTNOTE,Texto de rodapé"/>
    <w:basedOn w:val="Normal"/>
    <w:link w:val="TextodenotaderodapChar"/>
    <w:uiPriority w:val="99"/>
    <w:qFormat/>
    <w:rsid w:val="001E0EEC"/>
    <w:pPr>
      <w:suppressLineNumbers/>
      <w:overflowPunct w:val="0"/>
      <w:spacing w:after="0" w:line="240" w:lineRule="auto"/>
      <w:ind w:left="339" w:hanging="339"/>
    </w:pPr>
    <w:rPr>
      <w:rFonts w:ascii="Liberation Serif" w:eastAsia="SimSun" w:hAnsi="Liberation Serif" w:cs="Arial Unicode MS"/>
      <w:color w:val="00000A"/>
      <w:sz w:val="20"/>
      <w:szCs w:val="20"/>
      <w:lang w:eastAsia="zh-CN" w:bidi="hi-IN"/>
    </w:rPr>
  </w:style>
  <w:style w:type="character" w:customStyle="1" w:styleId="TextodenotaderodapChar">
    <w:name w:val="Texto de nota de rodapé Char"/>
    <w:aliases w:val="fn Char,ALTS FOOTNOTE Char,Texto de rodapé Char"/>
    <w:basedOn w:val="Fontepargpadro"/>
    <w:link w:val="Textodenotaderodap"/>
    <w:uiPriority w:val="99"/>
    <w:qFormat/>
    <w:rsid w:val="001E0EEC"/>
    <w:rPr>
      <w:rFonts w:ascii="Liberation Serif" w:eastAsia="SimSun" w:hAnsi="Liberation Serif" w:cs="Arial Unicode MS"/>
      <w:color w:val="00000A"/>
      <w:sz w:val="20"/>
      <w:szCs w:val="20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rsid w:val="001E0EE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19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1965-1988/Del2278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Decreto-Lei/1965-1988/Del2278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6024.ht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6</cp:revision>
  <dcterms:created xsi:type="dcterms:W3CDTF">2020-10-15T17:17:00Z</dcterms:created>
  <dcterms:modified xsi:type="dcterms:W3CDTF">2020-10-15T17:22:00Z</dcterms:modified>
</cp:coreProperties>
</file>