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55E07" w:rsidRPr="00170A03" w:rsidRDefault="00081167" w:rsidP="00A55E07">
      <w:pPr>
        <w:spacing w:before="100" w:beforeAutospacing="1" w:after="100" w:afterAutospacing="1" w:line="240" w:lineRule="auto"/>
        <w:jc w:val="center"/>
        <w:rPr>
          <w:rFonts w:ascii="Book Antiqua" w:eastAsia="Times New Roman" w:hAnsi="Book Antiqua" w:cs="Times New Roman"/>
          <w:sz w:val="20"/>
          <w:szCs w:val="20"/>
          <w:lang w:eastAsia="pt-BR"/>
        </w:rPr>
      </w:pPr>
      <w:r w:rsidRPr="00170A03">
        <w:rPr>
          <w:rFonts w:ascii="Book Antiqua" w:eastAsia="Times New Roman" w:hAnsi="Book Antiqua" w:cs="Times New Roman"/>
          <w:b/>
          <w:bCs/>
          <w:color w:val="000080"/>
          <w:sz w:val="20"/>
          <w:szCs w:val="20"/>
          <w:u w:val="single"/>
          <w:lang w:eastAsia="pt-BR"/>
        </w:rPr>
        <w:fldChar w:fldCharType="begin"/>
      </w:r>
      <w:r w:rsidRPr="00170A03">
        <w:rPr>
          <w:rFonts w:ascii="Book Antiqua" w:eastAsia="Times New Roman" w:hAnsi="Book Antiqua" w:cs="Times New Roman"/>
          <w:b/>
          <w:bCs/>
          <w:color w:val="000080"/>
          <w:sz w:val="20"/>
          <w:szCs w:val="20"/>
          <w:u w:val="single"/>
          <w:lang w:eastAsia="pt-BR"/>
        </w:rPr>
        <w:instrText xml:space="preserve"> HYPERLINK "http://legislacao.planalto.gov.br/legisla/legislacao.nsf/Viw_Identificacao/lei%2011.638-2007?OpenDocument" </w:instrText>
      </w:r>
      <w:r w:rsidRPr="00170A03">
        <w:rPr>
          <w:rFonts w:ascii="Book Antiqua" w:eastAsia="Times New Roman" w:hAnsi="Book Antiqua" w:cs="Times New Roman"/>
          <w:b/>
          <w:bCs/>
          <w:color w:val="000080"/>
          <w:sz w:val="20"/>
          <w:szCs w:val="20"/>
          <w:u w:val="single"/>
          <w:lang w:eastAsia="pt-BR"/>
        </w:rPr>
        <w:fldChar w:fldCharType="separate"/>
      </w:r>
      <w:r w:rsidR="00A55E07" w:rsidRPr="00170A03">
        <w:rPr>
          <w:rFonts w:ascii="Book Antiqua" w:eastAsia="Times New Roman" w:hAnsi="Book Antiqua" w:cs="Times New Roman"/>
          <w:b/>
          <w:bCs/>
          <w:color w:val="000080"/>
          <w:sz w:val="20"/>
          <w:szCs w:val="20"/>
          <w:u w:val="single"/>
          <w:lang w:eastAsia="pt-BR"/>
        </w:rPr>
        <w:t xml:space="preserve">LEI Nº 11.638, DE 28 </w:t>
      </w:r>
      <w:r w:rsidRPr="00170A03">
        <w:rPr>
          <w:rFonts w:ascii="Book Antiqua" w:eastAsia="Times New Roman" w:hAnsi="Book Antiqua" w:cs="Times New Roman"/>
          <w:b/>
          <w:bCs/>
          <w:color w:val="000080"/>
          <w:sz w:val="20"/>
          <w:szCs w:val="20"/>
          <w:u w:val="single"/>
          <w:lang w:eastAsia="pt-BR"/>
        </w:rPr>
        <w:fldChar w:fldCharType="end"/>
      </w:r>
      <w:hyperlink r:id="rId6" w:history="1">
        <w:r w:rsidR="00A55E07" w:rsidRPr="00170A03">
          <w:rPr>
            <w:rFonts w:ascii="Book Antiqua" w:eastAsia="Times New Roman" w:hAnsi="Book Antiqua" w:cs="Times New Roman"/>
            <w:b/>
            <w:bCs/>
            <w:color w:val="000080"/>
            <w:sz w:val="20"/>
            <w:szCs w:val="20"/>
            <w:u w:val="single"/>
            <w:lang w:eastAsia="pt-BR"/>
          </w:rPr>
          <w:t>DE</w:t>
        </w:r>
      </w:hyperlink>
      <w:hyperlink r:id="rId7" w:history="1">
        <w:r w:rsidR="00A55E07" w:rsidRPr="00170A03">
          <w:rPr>
            <w:rFonts w:ascii="Book Antiqua" w:eastAsia="Times New Roman" w:hAnsi="Book Antiqua" w:cs="Times New Roman"/>
            <w:b/>
            <w:bCs/>
            <w:color w:val="000080"/>
            <w:sz w:val="20"/>
            <w:szCs w:val="20"/>
            <w:u w:val="single"/>
            <w:lang w:eastAsia="pt-BR"/>
          </w:rPr>
          <w:t xml:space="preserve"> DEZEMBRO DE 2007.</w:t>
        </w:r>
      </w:hyperlink>
    </w:p>
    <w:tbl>
      <w:tblPr>
        <w:tblW w:w="5000" w:type="pct"/>
        <w:tblCellSpacing w:w="0" w:type="dxa"/>
        <w:tblCellMar>
          <w:left w:w="0" w:type="dxa"/>
          <w:right w:w="0" w:type="dxa"/>
        </w:tblCellMar>
        <w:tblLook w:val="04A0" w:firstRow="1" w:lastRow="0" w:firstColumn="1" w:lastColumn="0" w:noHBand="0" w:noVBand="1"/>
      </w:tblPr>
      <w:tblGrid>
        <w:gridCol w:w="4252"/>
        <w:gridCol w:w="4252"/>
      </w:tblGrid>
      <w:tr w:rsidR="00A55E07" w:rsidRPr="00170A03" w:rsidTr="00A55E07">
        <w:trPr>
          <w:trHeight w:val="480"/>
          <w:tblCellSpacing w:w="0" w:type="dxa"/>
        </w:trPr>
        <w:tc>
          <w:tcPr>
            <w:tcW w:w="2500" w:type="pct"/>
            <w:vAlign w:val="center"/>
            <w:hideMark/>
          </w:tcPr>
          <w:p w:rsidR="00A55E07" w:rsidRPr="00170A03" w:rsidRDefault="00114044" w:rsidP="00A55E07">
            <w:pPr>
              <w:spacing w:after="0" w:line="240" w:lineRule="auto"/>
              <w:rPr>
                <w:rFonts w:ascii="Book Antiqua" w:eastAsia="Times New Roman" w:hAnsi="Book Antiqua" w:cs="Times New Roman"/>
                <w:sz w:val="20"/>
                <w:szCs w:val="20"/>
                <w:lang w:eastAsia="pt-BR"/>
              </w:rPr>
            </w:pPr>
            <w:hyperlink r:id="rId8" w:history="1">
              <w:r w:rsidR="00A55E07" w:rsidRPr="00170A03">
                <w:rPr>
                  <w:rFonts w:ascii="Book Antiqua" w:eastAsia="Times New Roman" w:hAnsi="Book Antiqua" w:cs="Times New Roman"/>
                  <w:color w:val="0000FF"/>
                  <w:sz w:val="20"/>
                  <w:szCs w:val="20"/>
                  <w:u w:val="single"/>
                  <w:lang w:eastAsia="pt-BR"/>
                </w:rPr>
                <w:t>Mensagem de veto</w:t>
              </w:r>
            </w:hyperlink>
          </w:p>
        </w:tc>
        <w:tc>
          <w:tcPr>
            <w:tcW w:w="2500" w:type="pct"/>
            <w:vAlign w:val="center"/>
            <w:hideMark/>
          </w:tcPr>
          <w:p w:rsidR="00A55E07" w:rsidRPr="00170A03" w:rsidRDefault="00A55E07" w:rsidP="00A55E07">
            <w:pPr>
              <w:spacing w:before="100" w:beforeAutospacing="1" w:after="100" w:afterAutospacing="1" w:line="240" w:lineRule="atLeast"/>
              <w:jc w:val="both"/>
              <w:rPr>
                <w:rFonts w:ascii="Book Antiqua" w:eastAsia="Times New Roman" w:hAnsi="Book Antiqua" w:cs="Times New Roman"/>
                <w:color w:val="800000"/>
                <w:sz w:val="20"/>
                <w:szCs w:val="20"/>
                <w:lang w:eastAsia="pt-BR"/>
              </w:rPr>
            </w:pPr>
            <w:r w:rsidRPr="00170A03">
              <w:rPr>
                <w:rFonts w:ascii="Book Antiqua" w:eastAsia="Times New Roman" w:hAnsi="Book Antiqua" w:cs="Times New Roman"/>
                <w:color w:val="800000"/>
                <w:sz w:val="20"/>
                <w:szCs w:val="20"/>
                <w:lang w:eastAsia="pt-BR"/>
              </w:rPr>
              <w:t>Altera e revoga dispositivos da Lei n</w:t>
            </w:r>
            <w:r w:rsidRPr="00170A03">
              <w:rPr>
                <w:rFonts w:ascii="Book Antiqua" w:eastAsia="Times New Roman" w:hAnsi="Book Antiqua" w:cs="Times New Roman"/>
                <w:color w:val="800000"/>
                <w:sz w:val="20"/>
                <w:szCs w:val="20"/>
                <w:u w:val="single"/>
                <w:vertAlign w:val="superscript"/>
                <w:lang w:eastAsia="pt-BR"/>
              </w:rPr>
              <w:t>o</w:t>
            </w:r>
            <w:r w:rsidRPr="00170A03">
              <w:rPr>
                <w:rFonts w:ascii="Book Antiqua" w:eastAsia="Times New Roman" w:hAnsi="Book Antiqua" w:cs="Times New Roman"/>
                <w:color w:val="800000"/>
                <w:sz w:val="20"/>
                <w:szCs w:val="20"/>
                <w:lang w:eastAsia="pt-BR"/>
              </w:rPr>
              <w:t xml:space="preserve"> 6.404, de 15 de dezembro de 1976, e da Lei n</w:t>
            </w:r>
            <w:r w:rsidRPr="00170A03">
              <w:rPr>
                <w:rFonts w:ascii="Book Antiqua" w:eastAsia="Times New Roman" w:hAnsi="Book Antiqua" w:cs="Times New Roman"/>
                <w:color w:val="800000"/>
                <w:sz w:val="20"/>
                <w:szCs w:val="20"/>
                <w:u w:val="single"/>
                <w:vertAlign w:val="superscript"/>
                <w:lang w:eastAsia="pt-BR"/>
              </w:rPr>
              <w:t>o</w:t>
            </w:r>
            <w:r w:rsidRPr="00170A03">
              <w:rPr>
                <w:rFonts w:ascii="Book Antiqua" w:eastAsia="Times New Roman" w:hAnsi="Book Antiqua" w:cs="Times New Roman"/>
                <w:color w:val="800000"/>
                <w:sz w:val="20"/>
                <w:szCs w:val="20"/>
                <w:lang w:eastAsia="pt-BR"/>
              </w:rPr>
              <w:t xml:space="preserve"> 6.385, de 7 de dezembro de 1976, e estende às sociedades de grande porte disposições relativas à elaboração e divulgação de demonstrações financeiras.</w:t>
            </w:r>
          </w:p>
        </w:tc>
      </w:tr>
    </w:tbl>
    <w:p w:rsidR="00A55E07" w:rsidRPr="00170A03" w:rsidRDefault="00A55E07" w:rsidP="00A55E07">
      <w:pPr>
        <w:spacing w:before="100" w:beforeAutospacing="1" w:after="100" w:afterAutospacing="1" w:line="240" w:lineRule="auto"/>
        <w:ind w:firstLine="450"/>
        <w:jc w:val="both"/>
        <w:rPr>
          <w:rFonts w:ascii="Book Antiqua" w:eastAsia="Times New Roman" w:hAnsi="Book Antiqua" w:cs="Times New Roman"/>
          <w:b/>
          <w:bCs/>
          <w:sz w:val="20"/>
          <w:szCs w:val="20"/>
          <w:lang w:eastAsia="pt-BR"/>
        </w:rPr>
      </w:pPr>
    </w:p>
    <w:tbl>
      <w:tblPr>
        <w:tblStyle w:val="Tabelacomgrade"/>
        <w:tblW w:w="0" w:type="auto"/>
        <w:shd w:val="clear" w:color="auto" w:fill="CCFFFF"/>
        <w:tblLook w:val="04A0" w:firstRow="1" w:lastRow="0" w:firstColumn="1" w:lastColumn="0" w:noHBand="0" w:noVBand="1"/>
      </w:tblPr>
      <w:tblGrid>
        <w:gridCol w:w="8494"/>
      </w:tblGrid>
      <w:tr w:rsidR="00A55E07" w:rsidRPr="00170A03" w:rsidTr="00A55E07">
        <w:tc>
          <w:tcPr>
            <w:tcW w:w="8494" w:type="dxa"/>
            <w:shd w:val="clear" w:color="auto" w:fill="CCFFFF"/>
          </w:tcPr>
          <w:p w:rsidR="00A55E07" w:rsidRPr="00170A03" w:rsidRDefault="00A55E07" w:rsidP="00A55E07">
            <w:pPr>
              <w:spacing w:before="100" w:beforeAutospacing="1" w:after="100" w:afterAutospacing="1"/>
              <w:jc w:val="both"/>
              <w:rPr>
                <w:rFonts w:ascii="Book Antiqua" w:eastAsia="Times New Roman" w:hAnsi="Book Antiqua" w:cs="Times New Roman"/>
                <w:bCs/>
                <w:sz w:val="20"/>
                <w:szCs w:val="20"/>
                <w:lang w:eastAsia="pt-BR"/>
              </w:rPr>
            </w:pPr>
            <w:r w:rsidRPr="00170A03">
              <w:rPr>
                <w:rFonts w:ascii="Book Antiqua" w:eastAsia="Times New Roman" w:hAnsi="Book Antiqua" w:cs="Times New Roman"/>
                <w:b/>
                <w:bCs/>
                <w:sz w:val="20"/>
                <w:szCs w:val="20"/>
                <w:lang w:eastAsia="pt-BR"/>
              </w:rPr>
              <w:t>(</w:t>
            </w:r>
            <w:r w:rsidRPr="00170A03">
              <w:rPr>
                <w:rFonts w:ascii="Book Antiqua" w:eastAsia="Times New Roman" w:hAnsi="Book Antiqua" w:cs="Times New Roman"/>
                <w:b/>
                <w:bCs/>
                <w:sz w:val="20"/>
                <w:szCs w:val="20"/>
                <w:highlight w:val="yellow"/>
                <w:lang w:eastAsia="pt-BR"/>
              </w:rPr>
              <w:t>TJPR</w:t>
            </w:r>
            <w:r w:rsidR="00170A03">
              <w:rPr>
                <w:rFonts w:ascii="Book Antiqua" w:eastAsia="Times New Roman" w:hAnsi="Book Antiqua" w:cs="Times New Roman"/>
                <w:b/>
                <w:bCs/>
                <w:sz w:val="20"/>
                <w:szCs w:val="20"/>
                <w:highlight w:val="yellow"/>
                <w:lang w:eastAsia="pt-BR"/>
              </w:rPr>
              <w:t>-</w:t>
            </w:r>
            <w:r w:rsidRPr="00170A03">
              <w:rPr>
                <w:rFonts w:ascii="Book Antiqua" w:eastAsia="Times New Roman" w:hAnsi="Book Antiqua" w:cs="Times New Roman"/>
                <w:b/>
                <w:bCs/>
                <w:sz w:val="20"/>
                <w:szCs w:val="20"/>
                <w:highlight w:val="yellow"/>
                <w:lang w:eastAsia="pt-BR"/>
              </w:rPr>
              <w:t>2010</w:t>
            </w:r>
            <w:r w:rsidR="00170A03">
              <w:rPr>
                <w:rFonts w:ascii="Book Antiqua" w:eastAsia="Times New Roman" w:hAnsi="Book Antiqua" w:cs="Times New Roman"/>
                <w:b/>
                <w:bCs/>
                <w:sz w:val="20"/>
                <w:szCs w:val="20"/>
                <w:highlight w:val="yellow"/>
                <w:lang w:eastAsia="pt-BR"/>
              </w:rPr>
              <w:t>-</w:t>
            </w:r>
            <w:r w:rsidRPr="00170A03">
              <w:rPr>
                <w:rFonts w:ascii="Book Antiqua" w:eastAsia="Times New Roman" w:hAnsi="Book Antiqua" w:cs="Times New Roman"/>
                <w:b/>
                <w:bCs/>
                <w:sz w:val="20"/>
                <w:szCs w:val="20"/>
                <w:highlight w:val="yellow"/>
                <w:lang w:eastAsia="pt-BR"/>
              </w:rPr>
              <w:t>PUCPR</w:t>
            </w:r>
            <w:r w:rsidRPr="00170A03">
              <w:rPr>
                <w:rFonts w:ascii="Book Antiqua" w:eastAsia="Times New Roman" w:hAnsi="Book Antiqua" w:cs="Times New Roman"/>
                <w:b/>
                <w:bCs/>
                <w:sz w:val="20"/>
                <w:szCs w:val="20"/>
                <w:lang w:eastAsia="pt-BR"/>
              </w:rPr>
              <w:t xml:space="preserve">): </w:t>
            </w:r>
            <w:r w:rsidRPr="00170A03">
              <w:rPr>
                <w:rFonts w:ascii="Book Antiqua" w:eastAsia="Times New Roman" w:hAnsi="Book Antiqua" w:cs="Times New Roman"/>
                <w:bCs/>
                <w:sz w:val="20"/>
                <w:szCs w:val="20"/>
                <w:lang w:eastAsia="pt-BR"/>
              </w:rPr>
              <w:t xml:space="preserve">Entre os objetivos da Lei 11.638/07, está a uniformização do regime societário brasileiro em relação às demonstrações financeiras e padrões contábeis, anteriormente regidas pelo padrão conhecido por BRGAAP, ao padrão adotado internacionalmente (IFRS – Internacional Financial </w:t>
            </w:r>
            <w:proofErr w:type="spellStart"/>
            <w:r w:rsidRPr="00170A03">
              <w:rPr>
                <w:rFonts w:ascii="Book Antiqua" w:eastAsia="Times New Roman" w:hAnsi="Book Antiqua" w:cs="Times New Roman"/>
                <w:bCs/>
                <w:sz w:val="20"/>
                <w:szCs w:val="20"/>
                <w:lang w:eastAsia="pt-BR"/>
              </w:rPr>
              <w:t>Reporting</w:t>
            </w:r>
            <w:proofErr w:type="spellEnd"/>
            <w:r w:rsidRPr="00170A03">
              <w:rPr>
                <w:rFonts w:ascii="Book Antiqua" w:eastAsia="Times New Roman" w:hAnsi="Book Antiqua" w:cs="Times New Roman"/>
                <w:bCs/>
                <w:sz w:val="20"/>
                <w:szCs w:val="20"/>
                <w:lang w:eastAsia="pt-BR"/>
              </w:rPr>
              <w:t xml:space="preserve"> Standards).</w:t>
            </w:r>
          </w:p>
        </w:tc>
      </w:tr>
    </w:tbl>
    <w:p w:rsidR="00A55E07" w:rsidRPr="00170A03" w:rsidRDefault="00A55E07" w:rsidP="00A55E07">
      <w:pPr>
        <w:spacing w:before="100" w:beforeAutospacing="1" w:after="100" w:afterAutospacing="1" w:line="240" w:lineRule="auto"/>
        <w:ind w:firstLine="450"/>
        <w:jc w:val="both"/>
        <w:rPr>
          <w:rFonts w:ascii="Book Antiqua" w:eastAsia="Times New Roman" w:hAnsi="Book Antiqua" w:cs="Times New Roman"/>
          <w:sz w:val="20"/>
          <w:szCs w:val="20"/>
          <w:lang w:eastAsia="pt-BR"/>
        </w:rPr>
      </w:pPr>
      <w:r w:rsidRPr="00170A03">
        <w:rPr>
          <w:rFonts w:ascii="Book Antiqua" w:eastAsia="Times New Roman" w:hAnsi="Book Antiqua" w:cs="Times New Roman"/>
          <w:b/>
          <w:bCs/>
          <w:sz w:val="20"/>
          <w:szCs w:val="20"/>
          <w:lang w:eastAsia="pt-BR"/>
        </w:rPr>
        <w:t>O PRESIDENTE DA REPÚBLICA</w:t>
      </w:r>
      <w:r w:rsidRPr="00170A03">
        <w:rPr>
          <w:rFonts w:ascii="Book Antiqua" w:eastAsia="Times New Roman" w:hAnsi="Book Antiqua" w:cs="Times New Roman"/>
          <w:sz w:val="20"/>
          <w:szCs w:val="20"/>
          <w:lang w:eastAsia="pt-BR"/>
        </w:rPr>
        <w:t> Faço saber que o Congresso Nacional decreta e eu sanciono a seguinte Lei:</w:t>
      </w:r>
    </w:p>
    <w:p w:rsidR="00A55E07" w:rsidRPr="00170A03" w:rsidRDefault="00A55E07" w:rsidP="00A55E07">
      <w:pPr>
        <w:spacing w:before="100" w:beforeAutospacing="1" w:after="100" w:afterAutospacing="1" w:line="240" w:lineRule="auto"/>
        <w:ind w:firstLine="450"/>
        <w:jc w:val="both"/>
        <w:rPr>
          <w:rFonts w:ascii="Book Antiqua" w:eastAsia="Times New Roman" w:hAnsi="Book Antiqua" w:cs="Times New Roman"/>
          <w:sz w:val="20"/>
          <w:szCs w:val="20"/>
          <w:lang w:eastAsia="pt-BR"/>
        </w:rPr>
      </w:pPr>
      <w:bookmarkStart w:id="0" w:name="art1"/>
      <w:bookmarkEnd w:id="0"/>
      <w:r w:rsidRPr="00170A03">
        <w:rPr>
          <w:rFonts w:ascii="Book Antiqua" w:eastAsia="Times New Roman" w:hAnsi="Book Antiqua" w:cs="Times New Roman"/>
          <w:sz w:val="20"/>
          <w:szCs w:val="20"/>
          <w:lang w:eastAsia="pt-BR"/>
        </w:rPr>
        <w:t>Art. 1</w:t>
      </w:r>
      <w:r w:rsidRPr="00170A03">
        <w:rPr>
          <w:rFonts w:ascii="Book Antiqua" w:eastAsia="Times New Roman" w:hAnsi="Book Antiqua" w:cs="Times New Roman"/>
          <w:sz w:val="20"/>
          <w:szCs w:val="20"/>
          <w:u w:val="single"/>
          <w:vertAlign w:val="superscript"/>
          <w:lang w:eastAsia="pt-BR"/>
        </w:rPr>
        <w:t>o</w:t>
      </w:r>
      <w:r w:rsidRPr="00170A03">
        <w:rPr>
          <w:rFonts w:ascii="Book Antiqua" w:eastAsia="Times New Roman" w:hAnsi="Book Antiqua" w:cs="Times New Roman"/>
          <w:sz w:val="20"/>
          <w:szCs w:val="20"/>
          <w:lang w:eastAsia="pt-BR"/>
        </w:rPr>
        <w:t xml:space="preserve">  Os </w:t>
      </w:r>
      <w:proofErr w:type="spellStart"/>
      <w:r w:rsidRPr="00170A03">
        <w:rPr>
          <w:rFonts w:ascii="Book Antiqua" w:eastAsia="Times New Roman" w:hAnsi="Book Antiqua" w:cs="Times New Roman"/>
          <w:sz w:val="20"/>
          <w:szCs w:val="20"/>
          <w:lang w:eastAsia="pt-BR"/>
        </w:rPr>
        <w:t>arts</w:t>
      </w:r>
      <w:proofErr w:type="spellEnd"/>
      <w:r w:rsidRPr="00170A03">
        <w:rPr>
          <w:rFonts w:ascii="Book Antiqua" w:eastAsia="Times New Roman" w:hAnsi="Book Antiqua" w:cs="Times New Roman"/>
          <w:sz w:val="20"/>
          <w:szCs w:val="20"/>
          <w:lang w:eastAsia="pt-BR"/>
        </w:rPr>
        <w:t>. 176 a 179, 181 a 184, 187, 188, 197, 199, 226 e 248 da Lei n</w:t>
      </w:r>
      <w:r w:rsidRPr="00170A03">
        <w:rPr>
          <w:rFonts w:ascii="Book Antiqua" w:eastAsia="Times New Roman" w:hAnsi="Book Antiqua" w:cs="Times New Roman"/>
          <w:sz w:val="20"/>
          <w:szCs w:val="20"/>
          <w:u w:val="single"/>
          <w:vertAlign w:val="superscript"/>
          <w:lang w:eastAsia="pt-BR"/>
        </w:rPr>
        <w:t>o</w:t>
      </w:r>
      <w:r w:rsidRPr="00170A03">
        <w:rPr>
          <w:rFonts w:ascii="Book Antiqua" w:eastAsia="Times New Roman" w:hAnsi="Book Antiqua" w:cs="Times New Roman"/>
          <w:sz w:val="20"/>
          <w:szCs w:val="20"/>
          <w:lang w:eastAsia="pt-BR"/>
        </w:rPr>
        <w:t xml:space="preserve"> 6.404, de 15 de dezembro de 1976, passam a vigorar com a seguinte redação:</w:t>
      </w:r>
    </w:p>
    <w:p w:rsidR="00A55E07" w:rsidRPr="00170A03" w:rsidRDefault="00A55E07" w:rsidP="00A55E07">
      <w:pPr>
        <w:spacing w:beforeAutospacing="1" w:after="100" w:afterAutospacing="1" w:line="240" w:lineRule="auto"/>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 “Art. 176.........................................................</w:t>
      </w:r>
    </w:p>
    <w:p w:rsidR="00A55E07" w:rsidRPr="00170A03" w:rsidRDefault="00A55E07" w:rsidP="00A55E07">
      <w:pPr>
        <w:spacing w:before="100" w:beforeAutospacing="1" w:after="100" w:afterAutospacing="1" w:line="240" w:lineRule="auto"/>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w:t>
      </w:r>
    </w:p>
    <w:p w:rsidR="00A55E07" w:rsidRPr="00170A03" w:rsidRDefault="00114044"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hyperlink r:id="rId9" w:anchor="art176iv" w:history="1">
        <w:r w:rsidR="00A55E07" w:rsidRPr="00170A03">
          <w:rPr>
            <w:rFonts w:ascii="Book Antiqua" w:eastAsia="Times New Roman" w:hAnsi="Book Antiqua" w:cs="Times New Roman"/>
            <w:color w:val="0000FF"/>
            <w:sz w:val="20"/>
            <w:szCs w:val="20"/>
            <w:u w:val="single"/>
            <w:lang w:eastAsia="pt-BR"/>
          </w:rPr>
          <w:t>IV –</w:t>
        </w:r>
      </w:hyperlink>
      <w:r w:rsidR="00A55E07" w:rsidRPr="00170A03">
        <w:rPr>
          <w:rFonts w:ascii="Book Antiqua" w:eastAsia="Times New Roman" w:hAnsi="Book Antiqua" w:cs="Times New Roman"/>
          <w:sz w:val="20"/>
          <w:szCs w:val="20"/>
          <w:lang w:eastAsia="pt-BR"/>
        </w:rPr>
        <w:t xml:space="preserve"> demonstração dos fluxos de caixa; e </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V – se companhia aberta, demonstração do valor adicionado.</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w:t>
      </w:r>
    </w:p>
    <w:p w:rsidR="00A55E07" w:rsidRPr="00170A03" w:rsidRDefault="00114044"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hyperlink r:id="rId10" w:anchor="art176§6." w:history="1">
        <w:r w:rsidR="00A55E07" w:rsidRPr="00170A03">
          <w:rPr>
            <w:rFonts w:ascii="Book Antiqua" w:eastAsia="Times New Roman" w:hAnsi="Book Antiqua" w:cs="Times New Roman"/>
            <w:color w:val="0000FF"/>
            <w:sz w:val="20"/>
            <w:szCs w:val="20"/>
            <w:u w:val="single"/>
            <w:lang w:eastAsia="pt-BR"/>
          </w:rPr>
          <w:t>§ 6º</w:t>
        </w:r>
      </w:hyperlink>
      <w:r w:rsidR="00A55E07" w:rsidRPr="00170A03">
        <w:rPr>
          <w:rFonts w:ascii="Book Antiqua" w:eastAsia="Times New Roman" w:hAnsi="Book Antiqua" w:cs="Times New Roman"/>
          <w:sz w:val="20"/>
          <w:szCs w:val="20"/>
          <w:lang w:eastAsia="pt-BR"/>
        </w:rPr>
        <w:t>  A companhia fechada com patrimônio líquido, na data do balanço, inferior a R$ 2.000.000,00 (dois milhões de reais) não será obrigada à elaboração e publicação da demonstração dos fluxos de caixa.” (NR)</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“Art. 177...........................................................</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w:t>
      </w:r>
    </w:p>
    <w:p w:rsidR="00A55E07" w:rsidRPr="00170A03" w:rsidRDefault="00114044"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hyperlink r:id="rId11" w:anchor="art177§2" w:history="1">
        <w:r w:rsidR="00A55E07" w:rsidRPr="00170A03">
          <w:rPr>
            <w:rFonts w:ascii="Book Antiqua" w:eastAsia="Times New Roman" w:hAnsi="Book Antiqua" w:cs="Times New Roman"/>
            <w:color w:val="0000FF"/>
            <w:sz w:val="20"/>
            <w:szCs w:val="20"/>
            <w:u w:val="single"/>
            <w:lang w:eastAsia="pt-BR"/>
          </w:rPr>
          <w:t>§ 2º</w:t>
        </w:r>
      </w:hyperlink>
      <w:r w:rsidR="00A55E07" w:rsidRPr="00170A03">
        <w:rPr>
          <w:rFonts w:ascii="Book Antiqua" w:eastAsia="Times New Roman" w:hAnsi="Book Antiqua" w:cs="Times New Roman"/>
          <w:sz w:val="20"/>
          <w:szCs w:val="20"/>
          <w:lang w:eastAsia="pt-BR"/>
        </w:rPr>
        <w:t>  As disposições da lei tributária ou de legislação especial sobre atividade que constitui o objeto da companhia que conduzam à utilização de métodos ou critérios contábeis diferentes ou à elaboração de outras demonstrações não elidem a obrigação de elaborar, para todos os fins desta Lei, demonstrações financeiras em consonância com o disposto no caput deste artigo e deverão ser alternativamente observadas mediante registro:</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I – em livros  auxiliares, sem modificação da escrituração mercantil; ou</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II – no caso da elaboração das demonstrações para fins tributários, na escrituração mercantil, desde que sejam efetuados em seguida lançamentos contábeis adicionais que assegurem a preparação e a divulgação de demonstrações financeiras com observância do disposto no caput deste artigo, devendo ser essas demonstrações auditadas por auditor independente registrado na Comissão de Valores Mobiliários.</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w:t>
      </w:r>
    </w:p>
    <w:p w:rsidR="00A55E07" w:rsidRPr="00170A03" w:rsidRDefault="00114044"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hyperlink r:id="rId12" w:anchor="art177§5" w:history="1">
        <w:r w:rsidR="00A55E07" w:rsidRPr="00170A03">
          <w:rPr>
            <w:rFonts w:ascii="Book Antiqua" w:eastAsia="Times New Roman" w:hAnsi="Book Antiqua" w:cs="Times New Roman"/>
            <w:color w:val="0000FF"/>
            <w:sz w:val="20"/>
            <w:szCs w:val="20"/>
            <w:u w:val="single"/>
            <w:lang w:eastAsia="pt-BR"/>
          </w:rPr>
          <w:t>§ 5º </w:t>
        </w:r>
      </w:hyperlink>
      <w:r w:rsidR="00A55E07" w:rsidRPr="00170A03">
        <w:rPr>
          <w:rFonts w:ascii="Book Antiqua" w:eastAsia="Times New Roman" w:hAnsi="Book Antiqua" w:cs="Times New Roman"/>
          <w:sz w:val="20"/>
          <w:szCs w:val="20"/>
          <w:lang w:eastAsia="pt-BR"/>
        </w:rPr>
        <w:t xml:space="preserve"> As normas expedidas pela Comissão de Valores Mobiliários a que se refere o § 3</w:t>
      </w:r>
      <w:r w:rsidR="00A55E07" w:rsidRPr="00170A03">
        <w:rPr>
          <w:rFonts w:ascii="Book Antiqua" w:eastAsia="Times New Roman" w:hAnsi="Book Antiqua" w:cs="Times New Roman"/>
          <w:sz w:val="20"/>
          <w:szCs w:val="20"/>
          <w:u w:val="single"/>
          <w:vertAlign w:val="superscript"/>
          <w:lang w:eastAsia="pt-BR"/>
        </w:rPr>
        <w:t>o</w:t>
      </w:r>
      <w:r w:rsidR="00A55E07" w:rsidRPr="00170A03">
        <w:rPr>
          <w:rFonts w:ascii="Book Antiqua" w:eastAsia="Times New Roman" w:hAnsi="Book Antiqua" w:cs="Times New Roman"/>
          <w:sz w:val="20"/>
          <w:szCs w:val="20"/>
          <w:lang w:eastAsia="pt-BR"/>
        </w:rPr>
        <w:t xml:space="preserve"> deste artigo deverão ser elaboradas em consonância com os padrões internacionais de contabilidade adotados nos principais mercados de valores mobiliários.</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 6</w:t>
      </w:r>
      <w:r w:rsidRPr="00170A03">
        <w:rPr>
          <w:rFonts w:ascii="Book Antiqua" w:eastAsia="Times New Roman" w:hAnsi="Book Antiqua" w:cs="Times New Roman"/>
          <w:sz w:val="20"/>
          <w:szCs w:val="20"/>
          <w:u w:val="single"/>
          <w:vertAlign w:val="superscript"/>
          <w:lang w:eastAsia="pt-BR"/>
        </w:rPr>
        <w:t>o</w:t>
      </w:r>
      <w:r w:rsidRPr="00170A03">
        <w:rPr>
          <w:rFonts w:ascii="Book Antiqua" w:eastAsia="Times New Roman" w:hAnsi="Book Antiqua" w:cs="Times New Roman"/>
          <w:sz w:val="20"/>
          <w:szCs w:val="20"/>
          <w:lang w:eastAsia="pt-BR"/>
        </w:rPr>
        <w:t>  As companhias fechadas poderão optar por observar as normas sobre demonstrações financeiras expedidas pela Comissão de Valores Mobiliários para as companhias abertas.</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 7</w:t>
      </w:r>
      <w:r w:rsidRPr="00170A03">
        <w:rPr>
          <w:rFonts w:ascii="Book Antiqua" w:eastAsia="Times New Roman" w:hAnsi="Book Antiqua" w:cs="Times New Roman"/>
          <w:sz w:val="20"/>
          <w:szCs w:val="20"/>
          <w:u w:val="single"/>
          <w:vertAlign w:val="superscript"/>
          <w:lang w:eastAsia="pt-BR"/>
        </w:rPr>
        <w:t>o</w:t>
      </w:r>
      <w:r w:rsidRPr="00170A03">
        <w:rPr>
          <w:rFonts w:ascii="Book Antiqua" w:eastAsia="Times New Roman" w:hAnsi="Book Antiqua" w:cs="Times New Roman"/>
          <w:sz w:val="20"/>
          <w:szCs w:val="20"/>
          <w:lang w:eastAsia="pt-BR"/>
        </w:rPr>
        <w:t>  Os lançamentos de ajuste efetuados exclusivamente para harmonização de normas contábeis, nos termos do § 2</w:t>
      </w:r>
      <w:r w:rsidRPr="00170A03">
        <w:rPr>
          <w:rFonts w:ascii="Book Antiqua" w:eastAsia="Times New Roman" w:hAnsi="Book Antiqua" w:cs="Times New Roman"/>
          <w:sz w:val="20"/>
          <w:szCs w:val="20"/>
          <w:u w:val="single"/>
          <w:vertAlign w:val="superscript"/>
          <w:lang w:eastAsia="pt-BR"/>
        </w:rPr>
        <w:t>o</w:t>
      </w:r>
      <w:r w:rsidRPr="00170A03">
        <w:rPr>
          <w:rFonts w:ascii="Book Antiqua" w:eastAsia="Times New Roman" w:hAnsi="Book Antiqua" w:cs="Times New Roman"/>
          <w:sz w:val="20"/>
          <w:szCs w:val="20"/>
          <w:lang w:eastAsia="pt-BR"/>
        </w:rPr>
        <w:t xml:space="preserve"> deste artigo, e as demonstrações e apurações com eles elaboradas não poderão ser base de incidência de impostos e contribuições nem ter quaisquer outros efeitos tributários.” (NR)</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“Art. 178..........................................................</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 1</w:t>
      </w:r>
      <w:r w:rsidRPr="00170A03">
        <w:rPr>
          <w:rFonts w:ascii="Book Antiqua" w:eastAsia="Times New Roman" w:hAnsi="Book Antiqua" w:cs="Times New Roman"/>
          <w:sz w:val="20"/>
          <w:szCs w:val="20"/>
          <w:u w:val="single"/>
          <w:vertAlign w:val="superscript"/>
          <w:lang w:eastAsia="pt-BR"/>
        </w:rPr>
        <w:t>o</w:t>
      </w:r>
      <w:r w:rsidRPr="00170A03">
        <w:rPr>
          <w:rFonts w:ascii="Book Antiqua" w:eastAsia="Times New Roman" w:hAnsi="Book Antiqua" w:cs="Times New Roman"/>
          <w:sz w:val="20"/>
          <w:szCs w:val="20"/>
          <w:lang w:eastAsia="pt-BR"/>
        </w:rPr>
        <w:t> ................................................................</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w:t>
      </w:r>
    </w:p>
    <w:p w:rsidR="00A55E07" w:rsidRPr="00170A03" w:rsidRDefault="00114044"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hyperlink r:id="rId13" w:anchor="art178§1c" w:history="1">
        <w:r w:rsidR="00A55E07" w:rsidRPr="00170A03">
          <w:rPr>
            <w:rFonts w:ascii="Book Antiqua" w:eastAsia="Times New Roman" w:hAnsi="Book Antiqua" w:cs="Times New Roman"/>
            <w:color w:val="0000FF"/>
            <w:sz w:val="20"/>
            <w:szCs w:val="20"/>
            <w:u w:val="single"/>
            <w:lang w:eastAsia="pt-BR"/>
          </w:rPr>
          <w:t>c)</w:t>
        </w:r>
      </w:hyperlink>
      <w:r w:rsidR="00A55E07" w:rsidRPr="00170A03">
        <w:rPr>
          <w:rFonts w:ascii="Book Antiqua" w:eastAsia="Times New Roman" w:hAnsi="Book Antiqua" w:cs="Times New Roman"/>
          <w:sz w:val="20"/>
          <w:szCs w:val="20"/>
          <w:lang w:eastAsia="pt-BR"/>
        </w:rPr>
        <w:t xml:space="preserve"> ativo permanente, dividido em investimentos, imobilizado, intangível e diferido.</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 2</w:t>
      </w:r>
      <w:r w:rsidRPr="00170A03">
        <w:rPr>
          <w:rFonts w:ascii="Book Antiqua" w:eastAsia="Times New Roman" w:hAnsi="Book Antiqua" w:cs="Times New Roman"/>
          <w:sz w:val="20"/>
          <w:szCs w:val="20"/>
          <w:u w:val="single"/>
          <w:vertAlign w:val="superscript"/>
          <w:lang w:eastAsia="pt-BR"/>
        </w:rPr>
        <w:t>o</w:t>
      </w:r>
      <w:r w:rsidRPr="00170A03">
        <w:rPr>
          <w:rFonts w:ascii="Book Antiqua" w:eastAsia="Times New Roman" w:hAnsi="Book Antiqua" w:cs="Times New Roman"/>
          <w:sz w:val="20"/>
          <w:szCs w:val="20"/>
          <w:lang w:eastAsia="pt-BR"/>
        </w:rPr>
        <w:t> ................................................................</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d) patrimônio líquido, dividido em capital social, reservas de capital, ajustes de avaliação patrimonial, reservas de lucros, ações em tesouraria e prejuízos acumulados.</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 (NR)</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“Art. 179..........................................................</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w:t>
      </w:r>
    </w:p>
    <w:p w:rsidR="00A55E07" w:rsidRPr="00170A03" w:rsidRDefault="00114044"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hyperlink r:id="rId14" w:anchor="art179iv" w:history="1">
        <w:r w:rsidR="00A55E07" w:rsidRPr="00170A03">
          <w:rPr>
            <w:rFonts w:ascii="Book Antiqua" w:eastAsia="Times New Roman" w:hAnsi="Book Antiqua" w:cs="Times New Roman"/>
            <w:color w:val="0000FF"/>
            <w:sz w:val="20"/>
            <w:szCs w:val="20"/>
            <w:u w:val="single"/>
            <w:lang w:eastAsia="pt-BR"/>
          </w:rPr>
          <w:t>IV –</w:t>
        </w:r>
      </w:hyperlink>
      <w:r w:rsidR="00A55E07" w:rsidRPr="00170A03">
        <w:rPr>
          <w:rFonts w:ascii="Book Antiqua" w:eastAsia="Times New Roman" w:hAnsi="Book Antiqua" w:cs="Times New Roman"/>
          <w:sz w:val="20"/>
          <w:szCs w:val="20"/>
          <w:lang w:eastAsia="pt-BR"/>
        </w:rPr>
        <w:t xml:space="preserve"> no ativo imobilizado: os direitos que tenham por objeto bens corpóreos destinados à manutenção das atividades da companhia ou da empresa ou exercidos com essa finalidade, inclusive os decorrentes de operações que transfiram à companhia os benefícios, riscos e controle desses bens;</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V – no diferido: as despesas pré-operacionais e os gastos de reestruturação que contribuirão, efetivamente, para o aumento do resultado de mais de um exercício social e que não configurem tão-somente uma redução de custos ou acréscimo na eficiência operacional;</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VI – no intangível: os direitos que tenham por objeto bens incorpóreos destinados à manutenção da companhia ou exercidos com essa finalidade, inclusive o fundo de comércio adquirido.</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 (NR)</w:t>
      </w:r>
    </w:p>
    <w:p w:rsidR="00A55E07" w:rsidRPr="00170A03" w:rsidRDefault="00A55E07" w:rsidP="00A55E07">
      <w:pPr>
        <w:spacing w:before="100" w:beforeAutospacing="1" w:after="100" w:afterAutospacing="1" w:line="240" w:lineRule="auto"/>
        <w:ind w:right="56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w:t>
      </w:r>
      <w:hyperlink r:id="rId15" w:history="1">
        <w:r w:rsidRPr="00170A03">
          <w:rPr>
            <w:rFonts w:ascii="Book Antiqua" w:eastAsia="Times New Roman" w:hAnsi="Book Antiqua" w:cs="Times New Roman"/>
            <w:color w:val="0000FF"/>
            <w:sz w:val="20"/>
            <w:szCs w:val="20"/>
            <w:u w:val="single"/>
            <w:lang w:eastAsia="pt-BR"/>
          </w:rPr>
          <w:t>(VETADO)</w:t>
        </w:r>
      </w:hyperlink>
    </w:p>
    <w:p w:rsidR="00A55E07" w:rsidRPr="00170A03" w:rsidRDefault="00A55E07" w:rsidP="00A55E07">
      <w:pPr>
        <w:spacing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lastRenderedPageBreak/>
        <w:t xml:space="preserve">Art. 181.  </w:t>
      </w:r>
      <w:hyperlink r:id="rId16" w:history="1">
        <w:r w:rsidRPr="00170A03">
          <w:rPr>
            <w:rFonts w:ascii="Book Antiqua" w:eastAsia="Times New Roman" w:hAnsi="Book Antiqua" w:cs="Times New Roman"/>
            <w:color w:val="0000FF"/>
            <w:sz w:val="20"/>
            <w:szCs w:val="20"/>
            <w:u w:val="single"/>
            <w:lang w:eastAsia="pt-BR"/>
          </w:rPr>
          <w:t>(VETADO)</w:t>
        </w:r>
      </w:hyperlink>
      <w:r w:rsidRPr="00170A03">
        <w:rPr>
          <w:rFonts w:ascii="Book Antiqua" w:eastAsia="Times New Roman" w:hAnsi="Book Antiqua" w:cs="Times New Roman"/>
          <w:sz w:val="20"/>
          <w:szCs w:val="20"/>
          <w:lang w:eastAsia="pt-BR"/>
        </w:rPr>
        <w:t>”</w:t>
      </w:r>
    </w:p>
    <w:p w:rsidR="00A55E07" w:rsidRPr="00170A03" w:rsidRDefault="00A55E07" w:rsidP="00A55E07">
      <w:pPr>
        <w:spacing w:before="100" w:beforeAutospacing="1" w:after="100" w:afterAutospacing="1" w:line="240" w:lineRule="auto"/>
        <w:ind w:right="567"/>
        <w:jc w:val="center"/>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“Patrimônio Líquido</w:t>
      </w:r>
    </w:p>
    <w:p w:rsidR="00A55E07" w:rsidRPr="00170A03" w:rsidRDefault="00A55E07" w:rsidP="00A55E07">
      <w:pPr>
        <w:spacing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Art. 182...........................................................</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 1</w:t>
      </w:r>
      <w:r w:rsidRPr="00170A03">
        <w:rPr>
          <w:rFonts w:ascii="Book Antiqua" w:eastAsia="Times New Roman" w:hAnsi="Book Antiqua" w:cs="Times New Roman"/>
          <w:sz w:val="20"/>
          <w:szCs w:val="20"/>
          <w:u w:val="single"/>
          <w:vertAlign w:val="superscript"/>
          <w:lang w:eastAsia="pt-BR"/>
        </w:rPr>
        <w:t>o</w:t>
      </w:r>
      <w:r w:rsidRPr="00170A03">
        <w:rPr>
          <w:rFonts w:ascii="Book Antiqua" w:eastAsia="Times New Roman" w:hAnsi="Book Antiqua" w:cs="Times New Roman"/>
          <w:sz w:val="20"/>
          <w:szCs w:val="20"/>
          <w:lang w:eastAsia="pt-BR"/>
        </w:rPr>
        <w:t> ................................................................</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w:t>
      </w:r>
    </w:p>
    <w:p w:rsidR="00A55E07" w:rsidRPr="00170A03" w:rsidRDefault="00114044"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hyperlink r:id="rId17" w:anchor="art182§1c" w:history="1">
        <w:r w:rsidR="00A55E07" w:rsidRPr="00170A03">
          <w:rPr>
            <w:rFonts w:ascii="Book Antiqua" w:eastAsia="Times New Roman" w:hAnsi="Book Antiqua" w:cs="Times New Roman"/>
            <w:color w:val="0000FF"/>
            <w:sz w:val="20"/>
            <w:szCs w:val="20"/>
            <w:u w:val="single"/>
            <w:lang w:eastAsia="pt-BR"/>
          </w:rPr>
          <w:t>c)</w:t>
        </w:r>
      </w:hyperlink>
      <w:r w:rsidR="00A55E07" w:rsidRPr="00170A03">
        <w:rPr>
          <w:rFonts w:ascii="Book Antiqua" w:eastAsia="Times New Roman" w:hAnsi="Book Antiqua" w:cs="Times New Roman"/>
          <w:sz w:val="20"/>
          <w:szCs w:val="20"/>
          <w:lang w:eastAsia="pt-BR"/>
        </w:rPr>
        <w:t xml:space="preserve"> (revogada);</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d) (revogada).</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w:t>
      </w:r>
    </w:p>
    <w:p w:rsidR="00A55E07" w:rsidRPr="00170A03" w:rsidRDefault="00114044"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hyperlink r:id="rId18" w:anchor="art182§3" w:history="1">
        <w:r w:rsidR="00A55E07" w:rsidRPr="00170A03">
          <w:rPr>
            <w:rFonts w:ascii="Book Antiqua" w:eastAsia="Times New Roman" w:hAnsi="Book Antiqua" w:cs="Times New Roman"/>
            <w:color w:val="0000FF"/>
            <w:sz w:val="20"/>
            <w:szCs w:val="20"/>
            <w:u w:val="single"/>
            <w:lang w:eastAsia="pt-BR"/>
          </w:rPr>
          <w:t>§ 3º</w:t>
        </w:r>
      </w:hyperlink>
      <w:r w:rsidR="00A55E07" w:rsidRPr="00170A03">
        <w:rPr>
          <w:rFonts w:ascii="Book Antiqua" w:eastAsia="Times New Roman" w:hAnsi="Book Antiqua" w:cs="Times New Roman"/>
          <w:sz w:val="20"/>
          <w:szCs w:val="20"/>
          <w:lang w:eastAsia="pt-BR"/>
        </w:rPr>
        <w:t>  Serão classificadas como ajustes de avaliação patrimonial, enquanto não computadas no resultado do exercício em obediência ao regime de competência, as contrapartidas de aumentos ou diminuições de valor atribuído a elementos do ativo (§ 5</w:t>
      </w:r>
      <w:r w:rsidR="00A55E07" w:rsidRPr="00170A03">
        <w:rPr>
          <w:rFonts w:ascii="Book Antiqua" w:eastAsia="Times New Roman" w:hAnsi="Book Antiqua" w:cs="Times New Roman"/>
          <w:sz w:val="20"/>
          <w:szCs w:val="20"/>
          <w:u w:val="single"/>
          <w:vertAlign w:val="superscript"/>
          <w:lang w:eastAsia="pt-BR"/>
        </w:rPr>
        <w:t>o</w:t>
      </w:r>
      <w:r w:rsidR="00A55E07" w:rsidRPr="00170A03">
        <w:rPr>
          <w:rFonts w:ascii="Book Antiqua" w:eastAsia="Times New Roman" w:hAnsi="Book Antiqua" w:cs="Times New Roman"/>
          <w:sz w:val="20"/>
          <w:szCs w:val="20"/>
          <w:lang w:eastAsia="pt-BR"/>
        </w:rPr>
        <w:t xml:space="preserve"> do art. 177, inciso I do caput</w:t>
      </w:r>
      <w:r w:rsidR="00A55E07" w:rsidRPr="00170A03">
        <w:rPr>
          <w:rFonts w:ascii="Book Antiqua" w:eastAsia="Times New Roman" w:hAnsi="Book Antiqua" w:cs="Times New Roman"/>
          <w:i/>
          <w:iCs/>
          <w:sz w:val="20"/>
          <w:szCs w:val="20"/>
          <w:lang w:eastAsia="pt-BR"/>
        </w:rPr>
        <w:t xml:space="preserve"> </w:t>
      </w:r>
      <w:r w:rsidR="00A55E07" w:rsidRPr="00170A03">
        <w:rPr>
          <w:rFonts w:ascii="Book Antiqua" w:eastAsia="Times New Roman" w:hAnsi="Book Antiqua" w:cs="Times New Roman"/>
          <w:sz w:val="20"/>
          <w:szCs w:val="20"/>
          <w:lang w:eastAsia="pt-BR"/>
        </w:rPr>
        <w:t>do art. 183 e § 3</w:t>
      </w:r>
      <w:r w:rsidR="00A55E07" w:rsidRPr="00170A03">
        <w:rPr>
          <w:rFonts w:ascii="Book Antiqua" w:eastAsia="Times New Roman" w:hAnsi="Book Antiqua" w:cs="Times New Roman"/>
          <w:sz w:val="20"/>
          <w:szCs w:val="20"/>
          <w:u w:val="single"/>
          <w:vertAlign w:val="superscript"/>
          <w:lang w:eastAsia="pt-BR"/>
        </w:rPr>
        <w:t>o</w:t>
      </w:r>
      <w:r w:rsidR="00A55E07" w:rsidRPr="00170A03">
        <w:rPr>
          <w:rFonts w:ascii="Book Antiqua" w:eastAsia="Times New Roman" w:hAnsi="Book Antiqua" w:cs="Times New Roman"/>
          <w:sz w:val="20"/>
          <w:szCs w:val="20"/>
          <w:lang w:eastAsia="pt-BR"/>
        </w:rPr>
        <w:t xml:space="preserve"> do art. 226 desta Lei) e do passivo, em decorrência da sua avaliação a preço de mercado.</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 (NR)</w:t>
      </w:r>
    </w:p>
    <w:p w:rsidR="00A55E07" w:rsidRPr="00170A03" w:rsidRDefault="00A55E07" w:rsidP="00A55E07">
      <w:pPr>
        <w:spacing w:before="100" w:beforeAutospacing="1" w:after="100" w:afterAutospacing="1" w:line="240" w:lineRule="auto"/>
        <w:ind w:right="567"/>
        <w:jc w:val="center"/>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“Critérios de Avaliação do Ativo</w:t>
      </w:r>
    </w:p>
    <w:p w:rsidR="00A55E07" w:rsidRPr="00170A03" w:rsidRDefault="00A55E07" w:rsidP="00A55E07">
      <w:pPr>
        <w:spacing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Art. 183............................................................</w:t>
      </w:r>
    </w:p>
    <w:p w:rsidR="00A55E07" w:rsidRPr="00170A03" w:rsidRDefault="00114044"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hyperlink r:id="rId19" w:anchor="art183i" w:history="1">
        <w:r w:rsidR="00A55E07" w:rsidRPr="00170A03">
          <w:rPr>
            <w:rFonts w:ascii="Book Antiqua" w:eastAsia="Times New Roman" w:hAnsi="Book Antiqua" w:cs="Times New Roman"/>
            <w:color w:val="0000FF"/>
            <w:sz w:val="20"/>
            <w:szCs w:val="20"/>
            <w:u w:val="single"/>
            <w:lang w:eastAsia="pt-BR"/>
          </w:rPr>
          <w:t>I -</w:t>
        </w:r>
      </w:hyperlink>
      <w:r w:rsidR="00A55E07" w:rsidRPr="00170A03">
        <w:rPr>
          <w:rFonts w:ascii="Book Antiqua" w:eastAsia="Times New Roman" w:hAnsi="Book Antiqua" w:cs="Times New Roman"/>
          <w:sz w:val="20"/>
          <w:szCs w:val="20"/>
          <w:lang w:eastAsia="pt-BR"/>
        </w:rPr>
        <w:t xml:space="preserve"> as aplicações em instrumentos financeiros, inclusive derivativos, e em direitos e títulos de créditos, classificados no ativo circulante ou no realizável a longo prazo:</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a) pelo seu valor de mercado ou valor equivalente, quando se tratar de aplicações destinadas à negociação ou disponíveis para venda; e</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b) pelo valor de custo de aquisição ou valor de emissão, atualizado conforme disposições legais ou contratuais, ajustado ao valor provável de realização, quando este for inferior, no caso das demais aplicações e os direitos e títulos de crédito;</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w:t>
      </w:r>
    </w:p>
    <w:p w:rsidR="00A55E07" w:rsidRPr="00170A03" w:rsidRDefault="00114044"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hyperlink r:id="rId20" w:anchor="art183vii" w:history="1">
        <w:r w:rsidR="00A55E07" w:rsidRPr="00170A03">
          <w:rPr>
            <w:rFonts w:ascii="Book Antiqua" w:eastAsia="Times New Roman" w:hAnsi="Book Antiqua" w:cs="Times New Roman"/>
            <w:color w:val="0000FF"/>
            <w:sz w:val="20"/>
            <w:szCs w:val="20"/>
            <w:u w:val="single"/>
            <w:lang w:eastAsia="pt-BR"/>
          </w:rPr>
          <w:t>VII –</w:t>
        </w:r>
      </w:hyperlink>
      <w:r w:rsidR="00A55E07" w:rsidRPr="00170A03">
        <w:rPr>
          <w:rFonts w:ascii="Book Antiqua" w:eastAsia="Times New Roman" w:hAnsi="Book Antiqua" w:cs="Times New Roman"/>
          <w:sz w:val="20"/>
          <w:szCs w:val="20"/>
          <w:lang w:eastAsia="pt-BR"/>
        </w:rPr>
        <w:t xml:space="preserve"> os direitos classificados no intangível, pelo custo incorrido na aquisição deduzido do saldo da respectiva conta de amortização;</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VIII – os elementos do ativo decorrentes de operações de longo prazo serão ajustados a valor presente, sendo os demais ajustados quando houver efeito relevante.</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 1</w:t>
      </w:r>
      <w:r w:rsidRPr="00170A03">
        <w:rPr>
          <w:rFonts w:ascii="Book Antiqua" w:eastAsia="Times New Roman" w:hAnsi="Book Antiqua" w:cs="Times New Roman"/>
          <w:sz w:val="20"/>
          <w:szCs w:val="20"/>
          <w:u w:val="single"/>
          <w:vertAlign w:val="superscript"/>
          <w:lang w:eastAsia="pt-BR"/>
        </w:rPr>
        <w:t>o</w:t>
      </w:r>
      <w:r w:rsidRPr="00170A03">
        <w:rPr>
          <w:rFonts w:ascii="Book Antiqua" w:eastAsia="Times New Roman" w:hAnsi="Book Antiqua" w:cs="Times New Roman"/>
          <w:sz w:val="20"/>
          <w:szCs w:val="20"/>
          <w:lang w:eastAsia="pt-BR"/>
        </w:rPr>
        <w:t>.................................................................</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w:t>
      </w:r>
    </w:p>
    <w:p w:rsidR="00A55E07" w:rsidRPr="00170A03" w:rsidRDefault="00114044"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hyperlink r:id="rId21" w:anchor="art183§1d" w:history="1">
        <w:r w:rsidR="00A55E07" w:rsidRPr="00170A03">
          <w:rPr>
            <w:rFonts w:ascii="Book Antiqua" w:eastAsia="Times New Roman" w:hAnsi="Book Antiqua" w:cs="Times New Roman"/>
            <w:color w:val="0000FF"/>
            <w:sz w:val="20"/>
            <w:szCs w:val="20"/>
            <w:u w:val="single"/>
            <w:lang w:eastAsia="pt-BR"/>
          </w:rPr>
          <w:t xml:space="preserve">d) </w:t>
        </w:r>
      </w:hyperlink>
      <w:r w:rsidR="00A55E07" w:rsidRPr="00170A03">
        <w:rPr>
          <w:rFonts w:ascii="Book Antiqua" w:eastAsia="Times New Roman" w:hAnsi="Book Antiqua" w:cs="Times New Roman"/>
          <w:sz w:val="20"/>
          <w:szCs w:val="20"/>
          <w:lang w:eastAsia="pt-BR"/>
        </w:rPr>
        <w:t xml:space="preserve">dos instrumentos financeiros, o valor que pode se obter em um mercado ativo, decorrente de transação não compulsória realizada entre partes </w:t>
      </w:r>
      <w:r w:rsidR="00A55E07" w:rsidRPr="00170A03">
        <w:rPr>
          <w:rFonts w:ascii="Book Antiqua" w:eastAsia="Times New Roman" w:hAnsi="Book Antiqua" w:cs="Times New Roman"/>
          <w:sz w:val="20"/>
          <w:szCs w:val="20"/>
          <w:lang w:eastAsia="pt-BR"/>
        </w:rPr>
        <w:lastRenderedPageBreak/>
        <w:t>independentes; e, na ausência de um mercado ativo para um determinado instrumento financeiro:</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1) o valor que se pode obter em um mercado ativo com a negociação de outro instrumento financeiro de natureza, prazo e risco similares;</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2) o valor presente líquido dos fluxos de caixa futuros para instrumentos financeiros de natureza, prazo e risco similares; ou</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3) o valor obtido por meio de modelos matemático-estatísticos de precificação de instrumentos financeiros.</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 2</w:t>
      </w:r>
      <w:r w:rsidRPr="00170A03">
        <w:rPr>
          <w:rFonts w:ascii="Book Antiqua" w:eastAsia="Times New Roman" w:hAnsi="Book Antiqua" w:cs="Times New Roman"/>
          <w:sz w:val="20"/>
          <w:szCs w:val="20"/>
          <w:u w:val="single"/>
          <w:vertAlign w:val="superscript"/>
          <w:lang w:eastAsia="pt-BR"/>
        </w:rPr>
        <w:t>o</w:t>
      </w:r>
      <w:r w:rsidRPr="00170A03">
        <w:rPr>
          <w:rFonts w:ascii="Book Antiqua" w:eastAsia="Times New Roman" w:hAnsi="Book Antiqua" w:cs="Times New Roman"/>
          <w:sz w:val="20"/>
          <w:szCs w:val="20"/>
          <w:lang w:eastAsia="pt-BR"/>
        </w:rPr>
        <w:t>  A diminuição do valor dos elementos dos ativos imobilizado, intangível e diferido será registrada periodicamente nas contas de:</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w:t>
      </w:r>
    </w:p>
    <w:p w:rsidR="00A55E07" w:rsidRPr="00170A03" w:rsidRDefault="00114044"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hyperlink r:id="rId22" w:anchor="art183§3" w:history="1">
        <w:r w:rsidR="00A55E07" w:rsidRPr="00170A03">
          <w:rPr>
            <w:rFonts w:ascii="Book Antiqua" w:eastAsia="Times New Roman" w:hAnsi="Book Antiqua" w:cs="Times New Roman"/>
            <w:color w:val="0000FF"/>
            <w:sz w:val="20"/>
            <w:szCs w:val="20"/>
            <w:u w:val="single"/>
            <w:lang w:eastAsia="pt-BR"/>
          </w:rPr>
          <w:t>§ 3º</w:t>
        </w:r>
      </w:hyperlink>
      <w:r w:rsidR="00A55E07" w:rsidRPr="00170A03">
        <w:rPr>
          <w:rFonts w:ascii="Book Antiqua" w:eastAsia="Times New Roman" w:hAnsi="Book Antiqua" w:cs="Times New Roman"/>
          <w:sz w:val="20"/>
          <w:szCs w:val="20"/>
          <w:lang w:eastAsia="pt-BR"/>
        </w:rPr>
        <w:t>  A companhia deverá efetuar, periodicamente, análise sobre a recuperação dos valores registrados no imobilizado, no intangível e no diferido, a fim de que sejam:</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I – registradas as perdas de valor do capital aplicado quando houver decisão de interromper os empreendimentos ou atividades a que se destinavam ou quando comprovado que não poderão produzir resultados suficientes para recuperação desse valor; ou</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II – revisados e ajustados os critérios utilizados para determinação da vida útil econômica estimada e para cálculo da depreciação, exaustão e amortização.</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 (NR)</w:t>
      </w:r>
    </w:p>
    <w:p w:rsidR="00A55E07" w:rsidRPr="00170A03" w:rsidRDefault="00A55E07" w:rsidP="00A55E07">
      <w:pPr>
        <w:spacing w:before="100" w:beforeAutospacing="1" w:after="100" w:afterAutospacing="1" w:line="240" w:lineRule="auto"/>
        <w:ind w:right="567"/>
        <w:jc w:val="center"/>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“Critérios de Avaliação do Passivo</w:t>
      </w:r>
    </w:p>
    <w:p w:rsidR="00A55E07" w:rsidRPr="00170A03" w:rsidRDefault="00A55E07" w:rsidP="00A55E07">
      <w:pPr>
        <w:spacing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Art. 184............................................................</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w:t>
      </w:r>
    </w:p>
    <w:p w:rsidR="00A55E07" w:rsidRPr="00170A03" w:rsidRDefault="00114044"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hyperlink r:id="rId23" w:anchor="art184iii" w:history="1">
        <w:r w:rsidR="00A55E07" w:rsidRPr="00170A03">
          <w:rPr>
            <w:rFonts w:ascii="Book Antiqua" w:eastAsia="Times New Roman" w:hAnsi="Book Antiqua" w:cs="Times New Roman"/>
            <w:color w:val="0000FF"/>
            <w:sz w:val="20"/>
            <w:szCs w:val="20"/>
            <w:u w:val="single"/>
            <w:lang w:eastAsia="pt-BR"/>
          </w:rPr>
          <w:t>III –</w:t>
        </w:r>
      </w:hyperlink>
      <w:r w:rsidR="00A55E07" w:rsidRPr="00170A03">
        <w:rPr>
          <w:rFonts w:ascii="Book Antiqua" w:eastAsia="Times New Roman" w:hAnsi="Book Antiqua" w:cs="Times New Roman"/>
          <w:sz w:val="20"/>
          <w:szCs w:val="20"/>
          <w:lang w:eastAsia="pt-BR"/>
        </w:rPr>
        <w:t xml:space="preserve"> as obrigações, encargos e riscos classificados no passivo exigível a longo prazo serão ajustados ao seu valor presente, sendo os demais ajustados quando houver efeito relevante.” (NR)</w:t>
      </w:r>
    </w:p>
    <w:p w:rsidR="00A55E07" w:rsidRPr="00170A03" w:rsidRDefault="00A55E07" w:rsidP="00A55E07">
      <w:pPr>
        <w:spacing w:before="100" w:beforeAutospacing="1" w:after="100" w:afterAutospacing="1" w:line="240" w:lineRule="auto"/>
        <w:ind w:right="567"/>
        <w:jc w:val="center"/>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“Demonstração do Resultado do Exercício</w:t>
      </w:r>
    </w:p>
    <w:p w:rsidR="00A55E07" w:rsidRPr="00170A03" w:rsidRDefault="00A55E07" w:rsidP="00A55E07">
      <w:pPr>
        <w:spacing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Art. 187............................................................</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w:t>
      </w:r>
    </w:p>
    <w:p w:rsidR="00A55E07" w:rsidRPr="00170A03" w:rsidRDefault="00114044"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hyperlink r:id="rId24" w:anchor="art187vi" w:history="1">
        <w:r w:rsidR="00A55E07" w:rsidRPr="00170A03">
          <w:rPr>
            <w:rFonts w:ascii="Book Antiqua" w:eastAsia="Times New Roman" w:hAnsi="Book Antiqua" w:cs="Times New Roman"/>
            <w:color w:val="0000FF"/>
            <w:sz w:val="20"/>
            <w:szCs w:val="20"/>
            <w:u w:val="single"/>
            <w:lang w:eastAsia="pt-BR"/>
          </w:rPr>
          <w:t>VI –</w:t>
        </w:r>
      </w:hyperlink>
      <w:r w:rsidR="00A55E07" w:rsidRPr="00170A03">
        <w:rPr>
          <w:rFonts w:ascii="Book Antiqua" w:eastAsia="Times New Roman" w:hAnsi="Book Antiqua" w:cs="Times New Roman"/>
          <w:sz w:val="20"/>
          <w:szCs w:val="20"/>
          <w:lang w:eastAsia="pt-BR"/>
        </w:rPr>
        <w:t xml:space="preserve"> as participações de debêntures, de empregados e administradores, mesmo na forma de instrumentos financeiros, e de instituições ou fundos de assistência ou previdência de empregados, que não se caracterizem como despesa;</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w:t>
      </w:r>
    </w:p>
    <w:p w:rsidR="00A55E07" w:rsidRPr="00170A03" w:rsidRDefault="00114044"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hyperlink r:id="rId25" w:anchor="art187§2" w:history="1">
        <w:r w:rsidR="00A55E07" w:rsidRPr="00170A03">
          <w:rPr>
            <w:rFonts w:ascii="Book Antiqua" w:eastAsia="Times New Roman" w:hAnsi="Book Antiqua" w:cs="Times New Roman"/>
            <w:color w:val="0000FF"/>
            <w:sz w:val="20"/>
            <w:szCs w:val="20"/>
            <w:u w:val="single"/>
            <w:lang w:eastAsia="pt-BR"/>
          </w:rPr>
          <w:t>§ 2º</w:t>
        </w:r>
      </w:hyperlink>
      <w:r w:rsidR="00A55E07" w:rsidRPr="00170A03">
        <w:rPr>
          <w:rFonts w:ascii="Book Antiqua" w:eastAsia="Times New Roman" w:hAnsi="Book Antiqua" w:cs="Times New Roman"/>
          <w:sz w:val="20"/>
          <w:szCs w:val="20"/>
          <w:lang w:eastAsia="pt-BR"/>
        </w:rPr>
        <w:t xml:space="preserve"> (Revogado).” (NR) </w:t>
      </w:r>
    </w:p>
    <w:p w:rsidR="00A55E07" w:rsidRPr="00170A03" w:rsidRDefault="00A55E07" w:rsidP="00A55E07">
      <w:pPr>
        <w:spacing w:before="100" w:beforeAutospacing="1" w:after="100" w:afterAutospacing="1" w:line="240" w:lineRule="auto"/>
        <w:ind w:right="567"/>
        <w:jc w:val="center"/>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lastRenderedPageBreak/>
        <w:t>“Demonstrações dos Fluxos de Caixa e do Valor Adicionado</w:t>
      </w:r>
    </w:p>
    <w:p w:rsidR="00A55E07" w:rsidRPr="00170A03" w:rsidRDefault="00114044" w:rsidP="00A55E07">
      <w:pPr>
        <w:spacing w:beforeAutospacing="1" w:after="100" w:afterAutospacing="1" w:line="240" w:lineRule="auto"/>
        <w:ind w:right="2007"/>
        <w:jc w:val="both"/>
        <w:rPr>
          <w:rFonts w:ascii="Book Antiqua" w:eastAsia="Times New Roman" w:hAnsi="Book Antiqua" w:cs="Times New Roman"/>
          <w:sz w:val="20"/>
          <w:szCs w:val="20"/>
          <w:lang w:eastAsia="pt-BR"/>
        </w:rPr>
      </w:pPr>
      <w:hyperlink r:id="rId26" w:anchor="art188" w:history="1">
        <w:r w:rsidR="00A55E07" w:rsidRPr="00170A03">
          <w:rPr>
            <w:rFonts w:ascii="Book Antiqua" w:eastAsia="Times New Roman" w:hAnsi="Book Antiqua" w:cs="Times New Roman"/>
            <w:color w:val="0000FF"/>
            <w:sz w:val="20"/>
            <w:szCs w:val="20"/>
            <w:u w:val="single"/>
            <w:lang w:eastAsia="pt-BR"/>
          </w:rPr>
          <w:t>Art. 188</w:t>
        </w:r>
      </w:hyperlink>
      <w:r w:rsidR="00A55E07" w:rsidRPr="00170A03">
        <w:rPr>
          <w:rFonts w:ascii="Book Antiqua" w:eastAsia="Times New Roman" w:hAnsi="Book Antiqua" w:cs="Times New Roman"/>
          <w:sz w:val="20"/>
          <w:szCs w:val="20"/>
          <w:lang w:eastAsia="pt-BR"/>
        </w:rPr>
        <w:t>.  As demonstrações referidas nos incisos IV e V do caput</w:t>
      </w:r>
      <w:r w:rsidR="00A55E07" w:rsidRPr="00170A03">
        <w:rPr>
          <w:rFonts w:ascii="Book Antiqua" w:eastAsia="Times New Roman" w:hAnsi="Book Antiqua" w:cs="Times New Roman"/>
          <w:i/>
          <w:iCs/>
          <w:sz w:val="20"/>
          <w:szCs w:val="20"/>
          <w:lang w:eastAsia="pt-BR"/>
        </w:rPr>
        <w:t xml:space="preserve"> </w:t>
      </w:r>
      <w:r w:rsidR="00A55E07" w:rsidRPr="00170A03">
        <w:rPr>
          <w:rFonts w:ascii="Book Antiqua" w:eastAsia="Times New Roman" w:hAnsi="Book Antiqua" w:cs="Times New Roman"/>
          <w:sz w:val="20"/>
          <w:szCs w:val="20"/>
          <w:lang w:eastAsia="pt-BR"/>
        </w:rPr>
        <w:t>do art. 176 desta Lei indicarão, no mínimo:</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I – demonstração dos fluxos de caixa – as alterações ocorridas, durante o exercício, no saldo de caixa e equivalentes de caixa, segregando-se essas alterações em, no mínimo, 3 (três) fluxos:</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a) das operações;</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b) dos financiamentos; e</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c) dos investimentos;</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II – demonstração do valor adicionado – o valor da riqueza gerada pela companhia, a sua distribuição entre os elementos que contribuíram para a geração dessa riqueza, tais como empregados, financiadores, acionistas, governo e outros, bem como a parcela da riqueza não distribuída.</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 ”(NR)</w:t>
      </w:r>
    </w:p>
    <w:p w:rsidR="00A55E07" w:rsidRPr="00170A03" w:rsidRDefault="00A55E07" w:rsidP="00CC6E5D">
      <w:pPr>
        <w:spacing w:before="100" w:beforeAutospacing="1" w:after="100" w:afterAutospacing="1" w:line="240" w:lineRule="auto"/>
        <w:ind w:right="2007"/>
        <w:jc w:val="center"/>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“Reserva de Lucros a Realizar</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Art. 197............................................................</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 1</w:t>
      </w:r>
      <w:r w:rsidRPr="00170A03">
        <w:rPr>
          <w:rFonts w:ascii="Book Antiqua" w:eastAsia="Times New Roman" w:hAnsi="Book Antiqua" w:cs="Times New Roman"/>
          <w:sz w:val="20"/>
          <w:szCs w:val="20"/>
          <w:u w:val="single"/>
          <w:vertAlign w:val="superscript"/>
          <w:lang w:eastAsia="pt-BR"/>
        </w:rPr>
        <w:t>o</w:t>
      </w:r>
      <w:r w:rsidRPr="00170A03">
        <w:rPr>
          <w:rFonts w:ascii="Book Antiqua" w:eastAsia="Times New Roman" w:hAnsi="Book Antiqua" w:cs="Times New Roman"/>
          <w:sz w:val="20"/>
          <w:szCs w:val="20"/>
          <w:lang w:eastAsia="pt-BR"/>
        </w:rPr>
        <w:t> ................................................................</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w:t>
      </w:r>
    </w:p>
    <w:p w:rsidR="00A55E07" w:rsidRPr="00170A03" w:rsidRDefault="00114044"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hyperlink r:id="rId27" w:anchor="art197§1ii." w:history="1">
        <w:r w:rsidR="00A55E07" w:rsidRPr="00170A03">
          <w:rPr>
            <w:rFonts w:ascii="Book Antiqua" w:eastAsia="Times New Roman" w:hAnsi="Book Antiqua" w:cs="Times New Roman"/>
            <w:color w:val="0000FF"/>
            <w:sz w:val="20"/>
            <w:szCs w:val="20"/>
            <w:u w:val="single"/>
            <w:lang w:eastAsia="pt-BR"/>
          </w:rPr>
          <w:t>II –</w:t>
        </w:r>
      </w:hyperlink>
      <w:r w:rsidR="00A55E07" w:rsidRPr="00170A03">
        <w:rPr>
          <w:rFonts w:ascii="Book Antiqua" w:eastAsia="Times New Roman" w:hAnsi="Book Antiqua" w:cs="Times New Roman"/>
          <w:sz w:val="20"/>
          <w:szCs w:val="20"/>
          <w:lang w:eastAsia="pt-BR"/>
        </w:rPr>
        <w:t xml:space="preserve"> o lucro, rendimento ou ganho líquidos em operações ou contabilização de ativo e passivo pelo valor de mercado, cujo prazo de realização financeira ocorra após o término do exercício social seguinte.</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 (NR)</w:t>
      </w:r>
    </w:p>
    <w:p w:rsidR="00A55E07" w:rsidRPr="00170A03" w:rsidRDefault="00A55E07" w:rsidP="00A55E07">
      <w:pPr>
        <w:spacing w:before="100" w:beforeAutospacing="1" w:after="100" w:afterAutospacing="1" w:line="240" w:lineRule="auto"/>
        <w:ind w:right="567"/>
        <w:jc w:val="center"/>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“Limite do Saldo das Reservas de Lucro</w:t>
      </w:r>
    </w:p>
    <w:p w:rsidR="00A55E07" w:rsidRPr="00170A03" w:rsidRDefault="00114044" w:rsidP="00A55E07">
      <w:pPr>
        <w:spacing w:beforeAutospacing="1" w:after="100" w:afterAutospacing="1" w:line="240" w:lineRule="auto"/>
        <w:ind w:right="2007"/>
        <w:jc w:val="both"/>
        <w:rPr>
          <w:rFonts w:ascii="Book Antiqua" w:eastAsia="Times New Roman" w:hAnsi="Book Antiqua" w:cs="Times New Roman"/>
          <w:sz w:val="20"/>
          <w:szCs w:val="20"/>
          <w:lang w:eastAsia="pt-BR"/>
        </w:rPr>
      </w:pPr>
      <w:hyperlink r:id="rId28" w:anchor="art199" w:history="1">
        <w:r w:rsidR="00A55E07" w:rsidRPr="00170A03">
          <w:rPr>
            <w:rFonts w:ascii="Book Antiqua" w:eastAsia="Times New Roman" w:hAnsi="Book Antiqua" w:cs="Times New Roman"/>
            <w:color w:val="0000FF"/>
            <w:sz w:val="20"/>
            <w:szCs w:val="20"/>
            <w:u w:val="single"/>
            <w:lang w:eastAsia="pt-BR"/>
          </w:rPr>
          <w:t>Art. 199</w:t>
        </w:r>
      </w:hyperlink>
      <w:r w:rsidR="00A55E07" w:rsidRPr="00170A03">
        <w:rPr>
          <w:rFonts w:ascii="Book Antiqua" w:eastAsia="Times New Roman" w:hAnsi="Book Antiqua" w:cs="Times New Roman"/>
          <w:sz w:val="20"/>
          <w:szCs w:val="20"/>
          <w:lang w:eastAsia="pt-BR"/>
        </w:rPr>
        <w:t xml:space="preserve">.  O saldo das reservas de lucros, exceto as para contingências, de incentivos fiscais e de lucros a realizar, não poderá ultrapassar o capital social. Atingindo esse limite, a </w:t>
      </w:r>
      <w:proofErr w:type="spellStart"/>
      <w:r w:rsidR="00A55E07" w:rsidRPr="00170A03">
        <w:rPr>
          <w:rFonts w:ascii="Book Antiqua" w:eastAsia="Times New Roman" w:hAnsi="Book Antiqua" w:cs="Times New Roman"/>
          <w:sz w:val="20"/>
          <w:szCs w:val="20"/>
          <w:lang w:eastAsia="pt-BR"/>
        </w:rPr>
        <w:t>assembléia</w:t>
      </w:r>
      <w:proofErr w:type="spellEnd"/>
      <w:r w:rsidR="00A55E07" w:rsidRPr="00170A03">
        <w:rPr>
          <w:rFonts w:ascii="Book Antiqua" w:eastAsia="Times New Roman" w:hAnsi="Book Antiqua" w:cs="Times New Roman"/>
          <w:sz w:val="20"/>
          <w:szCs w:val="20"/>
          <w:lang w:eastAsia="pt-BR"/>
        </w:rPr>
        <w:t xml:space="preserve"> deliberará sobre aplicação do excesso na integralização ou no aumento do  capital  social ou na distribuição de dividendos.” (NR)</w:t>
      </w:r>
    </w:p>
    <w:p w:rsidR="00A55E07" w:rsidRPr="00170A03" w:rsidRDefault="00A55E07" w:rsidP="00A55E07">
      <w:pPr>
        <w:spacing w:before="100" w:beforeAutospacing="1" w:after="100" w:afterAutospacing="1" w:line="240" w:lineRule="auto"/>
        <w:ind w:right="567"/>
        <w:jc w:val="center"/>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“Transformação, Incorporação, Fusão e Cisão</w:t>
      </w:r>
    </w:p>
    <w:p w:rsidR="00A55E07" w:rsidRPr="00170A03" w:rsidRDefault="00A55E07" w:rsidP="00A55E07">
      <w:pPr>
        <w:spacing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Art. 226............................................................</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w:t>
      </w:r>
    </w:p>
    <w:p w:rsidR="00A55E07" w:rsidRPr="00170A03" w:rsidRDefault="00114044"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hyperlink r:id="rId29" w:anchor="art226§3" w:history="1">
        <w:r w:rsidR="00A55E07" w:rsidRPr="00170A03">
          <w:rPr>
            <w:rFonts w:ascii="Book Antiqua" w:eastAsia="Times New Roman" w:hAnsi="Book Antiqua" w:cs="Times New Roman"/>
            <w:color w:val="0000FF"/>
            <w:sz w:val="20"/>
            <w:szCs w:val="20"/>
            <w:u w:val="single"/>
            <w:lang w:eastAsia="pt-BR"/>
          </w:rPr>
          <w:t>§ 3º</w:t>
        </w:r>
      </w:hyperlink>
      <w:r w:rsidR="00A55E07" w:rsidRPr="00170A03">
        <w:rPr>
          <w:rFonts w:ascii="Book Antiqua" w:eastAsia="Times New Roman" w:hAnsi="Book Antiqua" w:cs="Times New Roman"/>
          <w:sz w:val="20"/>
          <w:szCs w:val="20"/>
          <w:lang w:eastAsia="pt-BR"/>
        </w:rPr>
        <w:t>  Nas operações referidas no caput deste artigo, realizadas entre partes independentes e vinculadas à efetiva transferência de controle, os ativos e passivos da sociedade a ser incorporada ou decorrente de fusão ou cisão serão contabilizados pelo seu valor de mercado.” (NR)</w:t>
      </w:r>
    </w:p>
    <w:p w:rsidR="00A55E07" w:rsidRPr="00170A03" w:rsidRDefault="00A55E07" w:rsidP="00A55E07">
      <w:pPr>
        <w:spacing w:before="100" w:beforeAutospacing="1" w:after="100" w:afterAutospacing="1" w:line="240" w:lineRule="auto"/>
        <w:ind w:right="567"/>
        <w:jc w:val="center"/>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“Avaliação do Investimento em Coligadas e Controladas</w:t>
      </w:r>
    </w:p>
    <w:p w:rsidR="00A55E07" w:rsidRPr="00170A03" w:rsidRDefault="00114044" w:rsidP="00A55E07">
      <w:pPr>
        <w:spacing w:beforeAutospacing="1" w:after="100" w:afterAutospacing="1" w:line="240" w:lineRule="auto"/>
        <w:ind w:right="2007"/>
        <w:jc w:val="both"/>
        <w:rPr>
          <w:rFonts w:ascii="Book Antiqua" w:eastAsia="Times New Roman" w:hAnsi="Book Antiqua" w:cs="Times New Roman"/>
          <w:sz w:val="20"/>
          <w:szCs w:val="20"/>
          <w:lang w:eastAsia="pt-BR"/>
        </w:rPr>
      </w:pPr>
      <w:hyperlink r:id="rId30" w:anchor="art248." w:history="1">
        <w:r w:rsidR="00A55E07" w:rsidRPr="00170A03">
          <w:rPr>
            <w:rFonts w:ascii="Book Antiqua" w:eastAsia="Times New Roman" w:hAnsi="Book Antiqua" w:cs="Times New Roman"/>
            <w:color w:val="0000FF"/>
            <w:sz w:val="20"/>
            <w:szCs w:val="20"/>
            <w:u w:val="single"/>
            <w:lang w:eastAsia="pt-BR"/>
          </w:rPr>
          <w:t>Art. 248.</w:t>
        </w:r>
      </w:hyperlink>
      <w:r w:rsidR="00A55E07" w:rsidRPr="00170A03">
        <w:rPr>
          <w:rFonts w:ascii="Book Antiqua" w:eastAsia="Times New Roman" w:hAnsi="Book Antiqua" w:cs="Times New Roman"/>
          <w:sz w:val="20"/>
          <w:szCs w:val="20"/>
          <w:lang w:eastAsia="pt-BR"/>
        </w:rPr>
        <w:t>  No balanço patrimonial da companhia, os investimentos em coligadas sobre cuja administração tenha influência significativa, ou de que participe com 20% (vinte por cento) ou mais do capital votante, em controladas e em outras sociedades que façam parte de um mesmo grupo ou estejam sob controle comum serão avaliados pelo método da equivalência patrimonial, de acordo com as seguintes normas:</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 (NR)</w:t>
      </w:r>
    </w:p>
    <w:p w:rsidR="00A55E07" w:rsidRPr="00170A03" w:rsidRDefault="00A55E07" w:rsidP="00A55E07">
      <w:pPr>
        <w:spacing w:before="100" w:beforeAutospacing="1" w:after="100" w:afterAutospacing="1" w:line="240" w:lineRule="auto"/>
        <w:ind w:firstLine="450"/>
        <w:jc w:val="both"/>
        <w:rPr>
          <w:rFonts w:ascii="Book Antiqua" w:eastAsia="Times New Roman" w:hAnsi="Book Antiqua" w:cs="Times New Roman"/>
          <w:sz w:val="20"/>
          <w:szCs w:val="20"/>
          <w:lang w:eastAsia="pt-BR"/>
        </w:rPr>
      </w:pPr>
      <w:bookmarkStart w:id="1" w:name="art2"/>
      <w:bookmarkEnd w:id="1"/>
      <w:r w:rsidRPr="00170A03">
        <w:rPr>
          <w:rFonts w:ascii="Book Antiqua" w:eastAsia="Times New Roman" w:hAnsi="Book Antiqua" w:cs="Times New Roman"/>
          <w:sz w:val="20"/>
          <w:szCs w:val="20"/>
          <w:lang w:eastAsia="pt-BR"/>
        </w:rPr>
        <w:t>Art. 2</w:t>
      </w:r>
      <w:r w:rsidRPr="00170A03">
        <w:rPr>
          <w:rFonts w:ascii="Book Antiqua" w:eastAsia="Times New Roman" w:hAnsi="Book Antiqua" w:cs="Times New Roman"/>
          <w:sz w:val="20"/>
          <w:szCs w:val="20"/>
          <w:u w:val="single"/>
          <w:vertAlign w:val="superscript"/>
          <w:lang w:eastAsia="pt-BR"/>
        </w:rPr>
        <w:t>o</w:t>
      </w:r>
      <w:r w:rsidRPr="00170A03">
        <w:rPr>
          <w:rFonts w:ascii="Book Antiqua" w:eastAsia="Times New Roman" w:hAnsi="Book Antiqua" w:cs="Times New Roman"/>
          <w:sz w:val="20"/>
          <w:szCs w:val="20"/>
          <w:lang w:eastAsia="pt-BR"/>
        </w:rPr>
        <w:t>  A Lei n</w:t>
      </w:r>
      <w:r w:rsidRPr="00170A03">
        <w:rPr>
          <w:rFonts w:ascii="Book Antiqua" w:eastAsia="Times New Roman" w:hAnsi="Book Antiqua" w:cs="Times New Roman"/>
          <w:sz w:val="20"/>
          <w:szCs w:val="20"/>
          <w:u w:val="single"/>
          <w:vertAlign w:val="superscript"/>
          <w:lang w:eastAsia="pt-BR"/>
        </w:rPr>
        <w:t>o</w:t>
      </w:r>
      <w:r w:rsidRPr="00170A03">
        <w:rPr>
          <w:rFonts w:ascii="Book Antiqua" w:eastAsia="Times New Roman" w:hAnsi="Book Antiqua" w:cs="Times New Roman"/>
          <w:sz w:val="20"/>
          <w:szCs w:val="20"/>
          <w:lang w:eastAsia="pt-BR"/>
        </w:rPr>
        <w:t xml:space="preserve"> 6.404, de 15 de dezembro de 1976, passa a vigorar acrescida do seguinte art. 195-A:</w:t>
      </w:r>
    </w:p>
    <w:p w:rsidR="00A55E07" w:rsidRPr="00170A03" w:rsidRDefault="00A55E07" w:rsidP="00A55E07">
      <w:pPr>
        <w:spacing w:before="100" w:beforeAutospacing="1" w:after="100" w:afterAutospacing="1" w:line="240" w:lineRule="auto"/>
        <w:ind w:right="567"/>
        <w:jc w:val="center"/>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“Reserva de Incentivos Fiscais</w:t>
      </w:r>
    </w:p>
    <w:p w:rsidR="00A55E07" w:rsidRPr="00170A03" w:rsidRDefault="00114044" w:rsidP="00A55E07">
      <w:pPr>
        <w:spacing w:beforeAutospacing="1" w:after="100" w:afterAutospacing="1" w:line="240" w:lineRule="auto"/>
        <w:ind w:right="2007"/>
        <w:jc w:val="both"/>
        <w:rPr>
          <w:rFonts w:ascii="Book Antiqua" w:eastAsia="Times New Roman" w:hAnsi="Book Antiqua" w:cs="Times New Roman"/>
          <w:sz w:val="20"/>
          <w:szCs w:val="20"/>
          <w:lang w:eastAsia="pt-BR"/>
        </w:rPr>
      </w:pPr>
      <w:hyperlink r:id="rId31" w:anchor="art195A" w:history="1">
        <w:r w:rsidR="00A55E07" w:rsidRPr="00170A03">
          <w:rPr>
            <w:rFonts w:ascii="Book Antiqua" w:eastAsia="Times New Roman" w:hAnsi="Book Antiqua" w:cs="Times New Roman"/>
            <w:color w:val="0000FF"/>
            <w:sz w:val="20"/>
            <w:szCs w:val="20"/>
            <w:u w:val="single"/>
            <w:lang w:eastAsia="pt-BR"/>
          </w:rPr>
          <w:t>Art. 195-A</w:t>
        </w:r>
      </w:hyperlink>
      <w:r w:rsidR="00A55E07" w:rsidRPr="00170A03">
        <w:rPr>
          <w:rFonts w:ascii="Book Antiqua" w:eastAsia="Times New Roman" w:hAnsi="Book Antiqua" w:cs="Times New Roman"/>
          <w:sz w:val="20"/>
          <w:szCs w:val="20"/>
          <w:lang w:eastAsia="pt-BR"/>
        </w:rPr>
        <w:t xml:space="preserve">.  A </w:t>
      </w:r>
      <w:proofErr w:type="spellStart"/>
      <w:r w:rsidR="00A55E07" w:rsidRPr="00170A03">
        <w:rPr>
          <w:rFonts w:ascii="Book Antiqua" w:eastAsia="Times New Roman" w:hAnsi="Book Antiqua" w:cs="Times New Roman"/>
          <w:sz w:val="20"/>
          <w:szCs w:val="20"/>
          <w:lang w:eastAsia="pt-BR"/>
        </w:rPr>
        <w:t>assembléia</w:t>
      </w:r>
      <w:proofErr w:type="spellEnd"/>
      <w:r w:rsidR="00A55E07" w:rsidRPr="00170A03">
        <w:rPr>
          <w:rFonts w:ascii="Book Antiqua" w:eastAsia="Times New Roman" w:hAnsi="Book Antiqua" w:cs="Times New Roman"/>
          <w:sz w:val="20"/>
          <w:szCs w:val="20"/>
          <w:lang w:eastAsia="pt-BR"/>
        </w:rPr>
        <w:t xml:space="preserve"> geral poderá, por proposta dos órgãos de administração, destinar para a reserva de incentivos fiscais a parcela do lucro líquido decorrente de doações ou subvenções governamentais para investimentos, que poderá ser excluída da base de cálculo do dividendo obrigatório (inciso I do caput</w:t>
      </w:r>
      <w:r w:rsidR="00A55E07" w:rsidRPr="00170A03">
        <w:rPr>
          <w:rFonts w:ascii="Book Antiqua" w:eastAsia="Times New Roman" w:hAnsi="Book Antiqua" w:cs="Times New Roman"/>
          <w:i/>
          <w:iCs/>
          <w:sz w:val="20"/>
          <w:szCs w:val="20"/>
          <w:lang w:eastAsia="pt-BR"/>
        </w:rPr>
        <w:t xml:space="preserve"> </w:t>
      </w:r>
      <w:r w:rsidR="00A55E07" w:rsidRPr="00170A03">
        <w:rPr>
          <w:rFonts w:ascii="Book Antiqua" w:eastAsia="Times New Roman" w:hAnsi="Book Antiqua" w:cs="Times New Roman"/>
          <w:sz w:val="20"/>
          <w:szCs w:val="20"/>
          <w:lang w:eastAsia="pt-BR"/>
        </w:rPr>
        <w:t>do art. 202 desta Lei).”</w:t>
      </w:r>
    </w:p>
    <w:p w:rsidR="00A55E07" w:rsidRPr="00170A03" w:rsidRDefault="00A55E07" w:rsidP="00A55E07">
      <w:pPr>
        <w:spacing w:before="100" w:beforeAutospacing="1" w:after="100" w:afterAutospacing="1" w:line="240" w:lineRule="auto"/>
        <w:ind w:right="56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Demonstrações Financeiras de Sociedades de Grande Porte</w:t>
      </w:r>
    </w:p>
    <w:p w:rsidR="00A55E07" w:rsidRPr="00170A03" w:rsidRDefault="00A55E07" w:rsidP="00A55E07">
      <w:pPr>
        <w:spacing w:before="100" w:beforeAutospacing="1" w:after="100" w:afterAutospacing="1" w:line="240" w:lineRule="auto"/>
        <w:ind w:firstLine="450"/>
        <w:jc w:val="both"/>
        <w:rPr>
          <w:rFonts w:ascii="Book Antiqua" w:eastAsia="Times New Roman" w:hAnsi="Book Antiqua" w:cs="Times New Roman"/>
          <w:b/>
          <w:color w:val="FF0000"/>
          <w:sz w:val="20"/>
          <w:szCs w:val="20"/>
          <w:u w:val="single"/>
          <w:lang w:eastAsia="pt-BR"/>
        </w:rPr>
      </w:pPr>
      <w:r w:rsidRPr="00170A03">
        <w:rPr>
          <w:rFonts w:ascii="Book Antiqua" w:eastAsia="Times New Roman" w:hAnsi="Book Antiqua" w:cs="Times New Roman"/>
          <w:b/>
          <w:sz w:val="20"/>
          <w:szCs w:val="20"/>
          <w:highlight w:val="magenta"/>
          <w:lang w:eastAsia="pt-BR"/>
        </w:rPr>
        <w:t>Art. 3</w:t>
      </w:r>
      <w:r w:rsidRPr="00170A03">
        <w:rPr>
          <w:rFonts w:ascii="Book Antiqua" w:eastAsia="Times New Roman" w:hAnsi="Book Antiqua" w:cs="Times New Roman"/>
          <w:b/>
          <w:sz w:val="20"/>
          <w:szCs w:val="20"/>
          <w:highlight w:val="magenta"/>
          <w:u w:val="single"/>
          <w:vertAlign w:val="superscript"/>
          <w:lang w:eastAsia="pt-BR"/>
        </w:rPr>
        <w:t>o</w:t>
      </w:r>
      <w:r w:rsidRPr="00170A03">
        <w:rPr>
          <w:rFonts w:ascii="Book Antiqua" w:eastAsia="Times New Roman" w:hAnsi="Book Antiqua" w:cs="Times New Roman"/>
          <w:sz w:val="20"/>
          <w:szCs w:val="20"/>
          <w:lang w:eastAsia="pt-BR"/>
        </w:rPr>
        <w:t xml:space="preserve">  Aplicam-se às sociedades de grande porte, ainda que não constituídas sob a forma de sociedades por ações, as disposições da </w:t>
      </w:r>
      <w:hyperlink r:id="rId32" w:history="1">
        <w:r w:rsidRPr="00170A03">
          <w:rPr>
            <w:rFonts w:ascii="Book Antiqua" w:eastAsia="Times New Roman" w:hAnsi="Book Antiqua" w:cs="Times New Roman"/>
            <w:color w:val="0000FF"/>
            <w:sz w:val="20"/>
            <w:szCs w:val="20"/>
            <w:u w:val="single"/>
            <w:lang w:eastAsia="pt-BR"/>
          </w:rPr>
          <w:t>Lei nº 6.404, de 15 de dezembro de 1976</w:t>
        </w:r>
      </w:hyperlink>
      <w:r w:rsidRPr="00170A03">
        <w:rPr>
          <w:rFonts w:ascii="Book Antiqua" w:eastAsia="Times New Roman" w:hAnsi="Book Antiqua" w:cs="Times New Roman"/>
          <w:sz w:val="20"/>
          <w:szCs w:val="20"/>
          <w:lang w:eastAsia="pt-BR"/>
        </w:rPr>
        <w:t>, sobre escrituração e elaboração de demonstrações financeiras e a obrigatoriedade de auditoria independente por auditor registrado na Comissão de Valores Mobiliários.</w:t>
      </w:r>
    </w:p>
    <w:tbl>
      <w:tblPr>
        <w:tblStyle w:val="Tabelacomgrade"/>
        <w:tblW w:w="0" w:type="auto"/>
        <w:shd w:val="clear" w:color="auto" w:fill="CCFFFF"/>
        <w:tblLook w:val="04A0" w:firstRow="1" w:lastRow="0" w:firstColumn="1" w:lastColumn="0" w:noHBand="0" w:noVBand="1"/>
      </w:tblPr>
      <w:tblGrid>
        <w:gridCol w:w="8494"/>
      </w:tblGrid>
      <w:tr w:rsidR="00E644CA" w:rsidRPr="00170A03" w:rsidTr="00C0751C">
        <w:tc>
          <w:tcPr>
            <w:tcW w:w="8494" w:type="dxa"/>
            <w:shd w:val="clear" w:color="auto" w:fill="CCFFFF"/>
          </w:tcPr>
          <w:p w:rsidR="00E644CA" w:rsidRPr="00170A03" w:rsidRDefault="00E644CA" w:rsidP="00E644CA">
            <w:pPr>
              <w:spacing w:before="100" w:beforeAutospacing="1" w:after="100" w:afterAutospacing="1"/>
              <w:jc w:val="both"/>
              <w:rPr>
                <w:rFonts w:ascii="Book Antiqua" w:eastAsia="Times New Roman" w:hAnsi="Book Antiqua" w:cs="Times New Roman"/>
                <w:bCs/>
                <w:sz w:val="20"/>
                <w:szCs w:val="20"/>
                <w:lang w:eastAsia="pt-BR"/>
              </w:rPr>
            </w:pPr>
            <w:r w:rsidRPr="00170A03">
              <w:rPr>
                <w:rFonts w:ascii="Book Antiqua" w:eastAsia="Times New Roman" w:hAnsi="Book Antiqua" w:cs="Times New Roman"/>
                <w:b/>
                <w:bCs/>
                <w:sz w:val="20"/>
                <w:szCs w:val="20"/>
                <w:lang w:eastAsia="pt-BR"/>
              </w:rPr>
              <w:t>(</w:t>
            </w:r>
            <w:r w:rsidRPr="00170A03">
              <w:rPr>
                <w:rFonts w:ascii="Book Antiqua" w:eastAsia="Times New Roman" w:hAnsi="Book Antiqua" w:cs="Times New Roman"/>
                <w:b/>
                <w:bCs/>
                <w:sz w:val="20"/>
                <w:szCs w:val="20"/>
                <w:highlight w:val="yellow"/>
                <w:lang w:eastAsia="pt-BR"/>
              </w:rPr>
              <w:t>TJPR</w:t>
            </w:r>
            <w:r w:rsidR="00170A03">
              <w:rPr>
                <w:rFonts w:ascii="Book Antiqua" w:eastAsia="Times New Roman" w:hAnsi="Book Antiqua" w:cs="Times New Roman"/>
                <w:b/>
                <w:bCs/>
                <w:sz w:val="20"/>
                <w:szCs w:val="20"/>
                <w:highlight w:val="yellow"/>
                <w:lang w:eastAsia="pt-BR"/>
              </w:rPr>
              <w:t>-</w:t>
            </w:r>
            <w:r w:rsidRPr="00170A03">
              <w:rPr>
                <w:rFonts w:ascii="Book Antiqua" w:eastAsia="Times New Roman" w:hAnsi="Book Antiqua" w:cs="Times New Roman"/>
                <w:b/>
                <w:bCs/>
                <w:sz w:val="20"/>
                <w:szCs w:val="20"/>
                <w:highlight w:val="yellow"/>
                <w:lang w:eastAsia="pt-BR"/>
              </w:rPr>
              <w:t>2010</w:t>
            </w:r>
            <w:r w:rsidR="00170A03">
              <w:rPr>
                <w:rFonts w:ascii="Book Antiqua" w:eastAsia="Times New Roman" w:hAnsi="Book Antiqua" w:cs="Times New Roman"/>
                <w:b/>
                <w:bCs/>
                <w:sz w:val="20"/>
                <w:szCs w:val="20"/>
                <w:highlight w:val="yellow"/>
                <w:lang w:eastAsia="pt-BR"/>
              </w:rPr>
              <w:t>-</w:t>
            </w:r>
            <w:r w:rsidRPr="00170A03">
              <w:rPr>
                <w:rFonts w:ascii="Book Antiqua" w:eastAsia="Times New Roman" w:hAnsi="Book Antiqua" w:cs="Times New Roman"/>
                <w:b/>
                <w:bCs/>
                <w:sz w:val="20"/>
                <w:szCs w:val="20"/>
                <w:highlight w:val="yellow"/>
                <w:lang w:eastAsia="pt-BR"/>
              </w:rPr>
              <w:t>PUCPR</w:t>
            </w:r>
            <w:r w:rsidRPr="00170A03">
              <w:rPr>
                <w:rFonts w:ascii="Book Antiqua" w:eastAsia="Times New Roman" w:hAnsi="Book Antiqua" w:cs="Times New Roman"/>
                <w:b/>
                <w:bCs/>
                <w:sz w:val="20"/>
                <w:szCs w:val="20"/>
                <w:lang w:eastAsia="pt-BR"/>
              </w:rPr>
              <w:t xml:space="preserve">): </w:t>
            </w:r>
            <w:r w:rsidRPr="00170A03">
              <w:rPr>
                <w:rFonts w:ascii="Book Antiqua" w:eastAsia="Times New Roman" w:hAnsi="Book Antiqua" w:cs="Times New Roman"/>
                <w:bCs/>
                <w:sz w:val="20"/>
                <w:szCs w:val="20"/>
                <w:lang w:eastAsia="pt-BR"/>
              </w:rPr>
              <w:t>As disposições da Lei das S/A, Lei 6404/76, a respeito da escrituração e elaboração de demonstrações financeiras e a obrigatoriedade de auditoria por auditor registrado perante a CVM – Comissão de Valores Imobiliários – aplicam-se às sociedades de grande porte definidas pela Lei 11.638/07.</w:t>
            </w:r>
          </w:p>
        </w:tc>
      </w:tr>
    </w:tbl>
    <w:p w:rsidR="00A55E07" w:rsidRPr="00170A03" w:rsidRDefault="00A55E07" w:rsidP="00A55E07">
      <w:pPr>
        <w:spacing w:before="100" w:beforeAutospacing="1" w:after="100" w:afterAutospacing="1" w:line="240" w:lineRule="auto"/>
        <w:ind w:firstLine="450"/>
        <w:jc w:val="both"/>
        <w:rPr>
          <w:rFonts w:ascii="Book Antiqua" w:eastAsia="Times New Roman" w:hAnsi="Book Antiqua" w:cs="Times New Roman"/>
          <w:b/>
          <w:sz w:val="20"/>
          <w:szCs w:val="20"/>
          <w:u w:val="single"/>
          <w:lang w:eastAsia="pt-BR"/>
        </w:rPr>
      </w:pPr>
      <w:r w:rsidRPr="00170A03">
        <w:rPr>
          <w:rFonts w:ascii="Book Antiqua" w:eastAsia="Times New Roman" w:hAnsi="Book Antiqua" w:cs="Times New Roman"/>
          <w:b/>
          <w:sz w:val="20"/>
          <w:szCs w:val="20"/>
          <w:highlight w:val="magenta"/>
          <w:lang w:eastAsia="pt-BR"/>
        </w:rPr>
        <w:t>Parágrafo único</w:t>
      </w:r>
      <w:r w:rsidRPr="00170A03">
        <w:rPr>
          <w:rFonts w:ascii="Book Antiqua" w:eastAsia="Times New Roman" w:hAnsi="Book Antiqua" w:cs="Times New Roman"/>
          <w:sz w:val="20"/>
          <w:szCs w:val="20"/>
          <w:lang w:eastAsia="pt-BR"/>
        </w:rPr>
        <w:t>.  Considera-se de grande porte, para os fins exclusivos desta Lei, a sociedade ou conjunto de sociedades sob controle comum que tiver, no exercício social anterior, ativo total superior a R$ 240.000.000,00 (duzentos e quarenta milhões de reais) ou receita bruta anual superior a R$ 300.000.000,00 (trezentos milhões de reais).</w:t>
      </w:r>
      <w:r w:rsidR="00CC6E5D" w:rsidRPr="00170A03">
        <w:rPr>
          <w:rFonts w:ascii="Book Antiqua" w:eastAsia="Times New Roman" w:hAnsi="Book Antiqua" w:cs="Times New Roman"/>
          <w:sz w:val="20"/>
          <w:szCs w:val="20"/>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CC6E5D" w:rsidRPr="00170A03" w:rsidTr="00C0751C">
        <w:tc>
          <w:tcPr>
            <w:tcW w:w="8494" w:type="dxa"/>
            <w:shd w:val="clear" w:color="auto" w:fill="CCFFFF"/>
          </w:tcPr>
          <w:p w:rsidR="00CC6E5D" w:rsidRPr="00170A03" w:rsidRDefault="00CC6E5D" w:rsidP="00CC6E5D">
            <w:pPr>
              <w:spacing w:before="100" w:beforeAutospacing="1" w:after="100" w:afterAutospacing="1"/>
              <w:jc w:val="both"/>
              <w:rPr>
                <w:rFonts w:ascii="Book Antiqua" w:eastAsia="Times New Roman" w:hAnsi="Book Antiqua" w:cs="Times New Roman"/>
                <w:bCs/>
                <w:sz w:val="20"/>
                <w:szCs w:val="20"/>
                <w:lang w:eastAsia="pt-BR"/>
              </w:rPr>
            </w:pPr>
            <w:r w:rsidRPr="00170A03">
              <w:rPr>
                <w:rFonts w:ascii="Book Antiqua" w:eastAsia="Times New Roman" w:hAnsi="Book Antiqua" w:cs="Times New Roman"/>
                <w:b/>
                <w:bCs/>
                <w:sz w:val="20"/>
                <w:szCs w:val="20"/>
                <w:lang w:eastAsia="pt-BR"/>
              </w:rPr>
              <w:t>(</w:t>
            </w:r>
            <w:r w:rsidRPr="00170A03">
              <w:rPr>
                <w:rFonts w:ascii="Book Antiqua" w:eastAsia="Times New Roman" w:hAnsi="Book Antiqua" w:cs="Times New Roman"/>
                <w:b/>
                <w:bCs/>
                <w:sz w:val="20"/>
                <w:szCs w:val="20"/>
                <w:highlight w:val="yellow"/>
                <w:lang w:eastAsia="pt-BR"/>
              </w:rPr>
              <w:t>TJPR</w:t>
            </w:r>
            <w:r w:rsidR="00170A03">
              <w:rPr>
                <w:rFonts w:ascii="Book Antiqua" w:eastAsia="Times New Roman" w:hAnsi="Book Antiqua" w:cs="Times New Roman"/>
                <w:b/>
                <w:bCs/>
                <w:sz w:val="20"/>
                <w:szCs w:val="20"/>
                <w:highlight w:val="yellow"/>
                <w:lang w:eastAsia="pt-BR"/>
              </w:rPr>
              <w:t>-</w:t>
            </w:r>
            <w:r w:rsidRPr="00170A03">
              <w:rPr>
                <w:rFonts w:ascii="Book Antiqua" w:eastAsia="Times New Roman" w:hAnsi="Book Antiqua" w:cs="Times New Roman"/>
                <w:b/>
                <w:bCs/>
                <w:sz w:val="20"/>
                <w:szCs w:val="20"/>
                <w:highlight w:val="yellow"/>
                <w:lang w:eastAsia="pt-BR"/>
              </w:rPr>
              <w:t>2010</w:t>
            </w:r>
            <w:r w:rsidR="00170A03">
              <w:rPr>
                <w:rFonts w:ascii="Book Antiqua" w:eastAsia="Times New Roman" w:hAnsi="Book Antiqua" w:cs="Times New Roman"/>
                <w:b/>
                <w:bCs/>
                <w:sz w:val="20"/>
                <w:szCs w:val="20"/>
                <w:highlight w:val="yellow"/>
                <w:lang w:eastAsia="pt-BR"/>
              </w:rPr>
              <w:t>-</w:t>
            </w:r>
            <w:r w:rsidRPr="00170A03">
              <w:rPr>
                <w:rFonts w:ascii="Book Antiqua" w:eastAsia="Times New Roman" w:hAnsi="Book Antiqua" w:cs="Times New Roman"/>
                <w:b/>
                <w:bCs/>
                <w:sz w:val="20"/>
                <w:szCs w:val="20"/>
                <w:highlight w:val="yellow"/>
                <w:lang w:eastAsia="pt-BR"/>
              </w:rPr>
              <w:t>PUCPR</w:t>
            </w:r>
            <w:r w:rsidRPr="00170A03">
              <w:rPr>
                <w:rFonts w:ascii="Book Antiqua" w:eastAsia="Times New Roman" w:hAnsi="Book Antiqua" w:cs="Times New Roman"/>
                <w:b/>
                <w:bCs/>
                <w:sz w:val="20"/>
                <w:szCs w:val="20"/>
                <w:lang w:eastAsia="pt-BR"/>
              </w:rPr>
              <w:t xml:space="preserve">): </w:t>
            </w:r>
            <w:r w:rsidRPr="00170A03">
              <w:rPr>
                <w:rFonts w:ascii="Book Antiqua" w:eastAsia="Times New Roman" w:hAnsi="Book Antiqua" w:cs="Times New Roman"/>
                <w:bCs/>
                <w:sz w:val="20"/>
                <w:szCs w:val="20"/>
                <w:lang w:eastAsia="pt-BR"/>
              </w:rPr>
              <w:t>A partir da vigência da Lei 11.638/07, independente da espécie societária, considera-se de grande porte, para os fins exclusivos da referida Lei, a sociedade ou conjunto de sociedades sob o controle comum que tiver, no exercício social anterior, ativo total superior a R$ 240.000.000,00 (duzentos e quarenta milhões de reais) ou receita bruta anual superior a R$ 300.000.000,00 (trezentos milhões de reais).</w:t>
            </w:r>
          </w:p>
        </w:tc>
      </w:tr>
    </w:tbl>
    <w:p w:rsidR="00A55E07" w:rsidRPr="00170A03" w:rsidRDefault="00A55E07" w:rsidP="00A55E07">
      <w:pPr>
        <w:spacing w:before="100" w:beforeAutospacing="1" w:after="100" w:afterAutospacing="1" w:line="240" w:lineRule="auto"/>
        <w:ind w:firstLine="450"/>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Art. 4</w:t>
      </w:r>
      <w:r w:rsidRPr="00170A03">
        <w:rPr>
          <w:rFonts w:ascii="Book Antiqua" w:eastAsia="Times New Roman" w:hAnsi="Book Antiqua" w:cs="Times New Roman"/>
          <w:sz w:val="20"/>
          <w:szCs w:val="20"/>
          <w:u w:val="single"/>
          <w:vertAlign w:val="superscript"/>
          <w:lang w:eastAsia="pt-BR"/>
        </w:rPr>
        <w:t>o</w:t>
      </w:r>
      <w:r w:rsidRPr="00170A03">
        <w:rPr>
          <w:rFonts w:ascii="Book Antiqua" w:eastAsia="Times New Roman" w:hAnsi="Book Antiqua" w:cs="Times New Roman"/>
          <w:sz w:val="20"/>
          <w:szCs w:val="20"/>
          <w:lang w:eastAsia="pt-BR"/>
        </w:rPr>
        <w:t xml:space="preserve">  As normas de que tratam os </w:t>
      </w:r>
      <w:hyperlink r:id="rId33" w:anchor="art22§1i" w:history="1">
        <w:r w:rsidRPr="00170A03">
          <w:rPr>
            <w:rFonts w:ascii="Book Antiqua" w:eastAsia="Times New Roman" w:hAnsi="Book Antiqua" w:cs="Times New Roman"/>
            <w:color w:val="0000FF"/>
            <w:sz w:val="20"/>
            <w:szCs w:val="20"/>
            <w:u w:val="single"/>
            <w:lang w:eastAsia="pt-BR"/>
          </w:rPr>
          <w:t xml:space="preserve">incisos I, II </w:t>
        </w:r>
      </w:hyperlink>
      <w:r w:rsidRPr="00170A03">
        <w:rPr>
          <w:rFonts w:ascii="Book Antiqua" w:eastAsia="Times New Roman" w:hAnsi="Book Antiqua" w:cs="Times New Roman"/>
          <w:sz w:val="20"/>
          <w:szCs w:val="20"/>
          <w:lang w:eastAsia="pt-BR"/>
        </w:rPr>
        <w:t xml:space="preserve">e </w:t>
      </w:r>
      <w:hyperlink r:id="rId34" w:anchor="art22§1iv" w:history="1">
        <w:r w:rsidRPr="00170A03">
          <w:rPr>
            <w:rFonts w:ascii="Book Antiqua" w:eastAsia="Times New Roman" w:hAnsi="Book Antiqua" w:cs="Times New Roman"/>
            <w:color w:val="0000FF"/>
            <w:sz w:val="20"/>
            <w:szCs w:val="20"/>
            <w:u w:val="single"/>
            <w:lang w:eastAsia="pt-BR"/>
          </w:rPr>
          <w:t>IV do § 1º do art. 22 da Lei nº 6.385, de 7 de dezembro de 1976</w:t>
        </w:r>
      </w:hyperlink>
      <w:r w:rsidRPr="00170A03">
        <w:rPr>
          <w:rFonts w:ascii="Book Antiqua" w:eastAsia="Times New Roman" w:hAnsi="Book Antiqua" w:cs="Times New Roman"/>
          <w:sz w:val="20"/>
          <w:szCs w:val="20"/>
          <w:lang w:eastAsia="pt-BR"/>
        </w:rPr>
        <w:t>, poderão ser especificadas por categorias de companhias abertas e demais emissores de valores mobiliários em função do seu porte e das espécies e classes dos valores mobiliários por eles emitidos e negociados no mercado.</w:t>
      </w:r>
    </w:p>
    <w:p w:rsidR="00A55E07" w:rsidRPr="00170A03" w:rsidRDefault="00A55E07" w:rsidP="00A55E07">
      <w:pPr>
        <w:spacing w:before="100" w:beforeAutospacing="1" w:after="100" w:afterAutospacing="1" w:line="240" w:lineRule="auto"/>
        <w:ind w:firstLine="450"/>
        <w:jc w:val="both"/>
        <w:rPr>
          <w:rFonts w:ascii="Book Antiqua" w:eastAsia="Times New Roman" w:hAnsi="Book Antiqua" w:cs="Times New Roman"/>
          <w:sz w:val="20"/>
          <w:szCs w:val="20"/>
          <w:lang w:eastAsia="pt-BR"/>
        </w:rPr>
      </w:pPr>
      <w:bookmarkStart w:id="2" w:name="art5"/>
      <w:bookmarkEnd w:id="2"/>
      <w:r w:rsidRPr="00170A03">
        <w:rPr>
          <w:rFonts w:ascii="Book Antiqua" w:eastAsia="Times New Roman" w:hAnsi="Book Antiqua" w:cs="Times New Roman"/>
          <w:sz w:val="20"/>
          <w:szCs w:val="20"/>
          <w:lang w:eastAsia="pt-BR"/>
        </w:rPr>
        <w:t>Art. 5</w:t>
      </w:r>
      <w:r w:rsidRPr="00170A03">
        <w:rPr>
          <w:rFonts w:ascii="Book Antiqua" w:eastAsia="Times New Roman" w:hAnsi="Book Antiqua" w:cs="Times New Roman"/>
          <w:sz w:val="20"/>
          <w:szCs w:val="20"/>
          <w:u w:val="single"/>
          <w:vertAlign w:val="superscript"/>
          <w:lang w:eastAsia="pt-BR"/>
        </w:rPr>
        <w:t>o</w:t>
      </w:r>
      <w:r w:rsidRPr="00170A03">
        <w:rPr>
          <w:rFonts w:ascii="Book Antiqua" w:eastAsia="Times New Roman" w:hAnsi="Book Antiqua" w:cs="Times New Roman"/>
          <w:sz w:val="20"/>
          <w:szCs w:val="20"/>
          <w:lang w:eastAsia="pt-BR"/>
        </w:rPr>
        <w:t>  A Lei n</w:t>
      </w:r>
      <w:r w:rsidRPr="00170A03">
        <w:rPr>
          <w:rFonts w:ascii="Book Antiqua" w:eastAsia="Times New Roman" w:hAnsi="Book Antiqua" w:cs="Times New Roman"/>
          <w:sz w:val="20"/>
          <w:szCs w:val="20"/>
          <w:u w:val="single"/>
          <w:vertAlign w:val="superscript"/>
          <w:lang w:eastAsia="pt-BR"/>
        </w:rPr>
        <w:t>o</w:t>
      </w:r>
      <w:r w:rsidRPr="00170A03">
        <w:rPr>
          <w:rFonts w:ascii="Book Antiqua" w:eastAsia="Times New Roman" w:hAnsi="Book Antiqua" w:cs="Times New Roman"/>
          <w:sz w:val="20"/>
          <w:szCs w:val="20"/>
          <w:lang w:eastAsia="pt-BR"/>
        </w:rPr>
        <w:t xml:space="preserve"> 6.385, de 7 de dezembro de 1976, passa a vigorar acrescida do seguinte art. 10-A:</w:t>
      </w:r>
    </w:p>
    <w:p w:rsidR="00A55E07" w:rsidRPr="00170A03" w:rsidRDefault="00A55E07" w:rsidP="00A55E07">
      <w:pPr>
        <w:spacing w:beforeAutospacing="1" w:after="100" w:afterAutospacing="1" w:line="240" w:lineRule="auto"/>
        <w:ind w:firstLine="450"/>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w:t>
      </w:r>
      <w:hyperlink r:id="rId35" w:anchor="art10A" w:history="1">
        <w:r w:rsidRPr="00170A03">
          <w:rPr>
            <w:rFonts w:ascii="Book Antiqua" w:eastAsia="Times New Roman" w:hAnsi="Book Antiqua" w:cs="Times New Roman"/>
            <w:color w:val="0000FF"/>
            <w:sz w:val="20"/>
            <w:szCs w:val="20"/>
            <w:u w:val="single"/>
            <w:lang w:eastAsia="pt-BR"/>
          </w:rPr>
          <w:t>Art. 10-A</w:t>
        </w:r>
      </w:hyperlink>
      <w:r w:rsidRPr="00170A03">
        <w:rPr>
          <w:rFonts w:ascii="Book Antiqua" w:eastAsia="Times New Roman" w:hAnsi="Book Antiqua" w:cs="Times New Roman"/>
          <w:sz w:val="20"/>
          <w:szCs w:val="20"/>
          <w:lang w:eastAsia="pt-BR"/>
        </w:rPr>
        <w:t>.  A Comissão de Valores Mobiliários, o Banco Central do Brasil e demais órgãos e agências reguladoras poderão celebrar convênio com entidade que tenha por objeto o estudo e a divulgação de princípios, normas e padrões de contabilidade e de auditoria, podendo, no exercício de suas atribuições regulamentares, adotar, no todo ou em parte, os pronunciamentos e demais orientações técnicas emitidas.</w:t>
      </w:r>
    </w:p>
    <w:p w:rsidR="00A55E07" w:rsidRPr="00170A03" w:rsidRDefault="00A55E07" w:rsidP="00A55E07">
      <w:pPr>
        <w:spacing w:before="100" w:beforeAutospacing="1" w:after="100" w:afterAutospacing="1" w:line="240" w:lineRule="auto"/>
        <w:ind w:right="2007"/>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lastRenderedPageBreak/>
        <w:t>Pa</w:t>
      </w:r>
      <w:bookmarkStart w:id="3" w:name="_GoBack"/>
      <w:bookmarkEnd w:id="3"/>
      <w:r w:rsidRPr="00170A03">
        <w:rPr>
          <w:rFonts w:ascii="Book Antiqua" w:eastAsia="Times New Roman" w:hAnsi="Book Antiqua" w:cs="Times New Roman"/>
          <w:sz w:val="20"/>
          <w:szCs w:val="20"/>
          <w:lang w:eastAsia="pt-BR"/>
        </w:rPr>
        <w:t>rágrafo único.  A entidade referida no caput deste artigo deverá ser majoritariamente composta por contadores, dela fazendo parte, paritariamente, representantes de entidades representativas de sociedades submetidas ao regime de elaboração de demonstrações financeiras previstas nesta Lei, de sociedades que auditam e analisam as demonstrações financeiras, do órgão federal de fiscalização do exercício da profissão contábil e de universidade ou instituto de pesquisa com reconhecida atuação na área contábil e de mercado de capitais.”</w:t>
      </w:r>
    </w:p>
    <w:p w:rsidR="00A55E07" w:rsidRPr="00170A03" w:rsidRDefault="00A55E07" w:rsidP="00A55E07">
      <w:pPr>
        <w:spacing w:before="100" w:beforeAutospacing="1" w:after="100" w:afterAutospacing="1" w:line="240" w:lineRule="auto"/>
        <w:ind w:firstLine="450"/>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Art. 6</w:t>
      </w:r>
      <w:r w:rsidRPr="00170A03">
        <w:rPr>
          <w:rFonts w:ascii="Book Antiqua" w:eastAsia="Times New Roman" w:hAnsi="Book Antiqua" w:cs="Times New Roman"/>
          <w:sz w:val="20"/>
          <w:szCs w:val="20"/>
          <w:u w:val="single"/>
          <w:vertAlign w:val="superscript"/>
          <w:lang w:eastAsia="pt-BR"/>
        </w:rPr>
        <w:t>o</w:t>
      </w:r>
      <w:r w:rsidRPr="00170A03">
        <w:rPr>
          <w:rFonts w:ascii="Book Antiqua" w:eastAsia="Times New Roman" w:hAnsi="Book Antiqua" w:cs="Times New Roman"/>
          <w:sz w:val="20"/>
          <w:szCs w:val="20"/>
          <w:lang w:eastAsia="pt-BR"/>
        </w:rPr>
        <w:t>  Os saldos existentes nas reservas de reavaliação deverão ser mantidos até a sua efetiva realização ou estornados até o final do exercício social em que esta Lei entrar em vigor.</w:t>
      </w:r>
    </w:p>
    <w:p w:rsidR="00A55E07" w:rsidRPr="00170A03" w:rsidRDefault="00A55E07" w:rsidP="00A55E07">
      <w:pPr>
        <w:spacing w:before="100" w:beforeAutospacing="1" w:after="100" w:afterAutospacing="1" w:line="240" w:lineRule="auto"/>
        <w:ind w:firstLine="450"/>
        <w:jc w:val="both"/>
        <w:rPr>
          <w:rFonts w:ascii="Book Antiqua" w:eastAsia="Times New Roman" w:hAnsi="Book Antiqua" w:cs="Times New Roman"/>
          <w:sz w:val="20"/>
          <w:szCs w:val="20"/>
          <w:lang w:eastAsia="pt-BR"/>
        </w:rPr>
      </w:pPr>
      <w:bookmarkStart w:id="4" w:name="art7"/>
      <w:bookmarkEnd w:id="4"/>
      <w:r w:rsidRPr="00170A03">
        <w:rPr>
          <w:rFonts w:ascii="Book Antiqua" w:eastAsia="Times New Roman" w:hAnsi="Book Antiqua" w:cs="Times New Roman"/>
          <w:sz w:val="20"/>
          <w:szCs w:val="20"/>
          <w:lang w:eastAsia="pt-BR"/>
        </w:rPr>
        <w:t>Art. 7</w:t>
      </w:r>
      <w:r w:rsidRPr="00170A03">
        <w:rPr>
          <w:rFonts w:ascii="Book Antiqua" w:eastAsia="Times New Roman" w:hAnsi="Book Antiqua" w:cs="Times New Roman"/>
          <w:sz w:val="20"/>
          <w:szCs w:val="20"/>
          <w:u w:val="single"/>
          <w:vertAlign w:val="superscript"/>
          <w:lang w:eastAsia="pt-BR"/>
        </w:rPr>
        <w:t>o</w:t>
      </w:r>
      <w:r w:rsidRPr="00170A03">
        <w:rPr>
          <w:rFonts w:ascii="Book Antiqua" w:eastAsia="Times New Roman" w:hAnsi="Book Antiqua" w:cs="Times New Roman"/>
          <w:sz w:val="20"/>
          <w:szCs w:val="20"/>
          <w:lang w:eastAsia="pt-BR"/>
        </w:rPr>
        <w:t xml:space="preserve">  As demonstrações referidas nos </w:t>
      </w:r>
      <w:hyperlink r:id="rId36" w:anchor="art176iv" w:history="1">
        <w:r w:rsidRPr="00170A03">
          <w:rPr>
            <w:rFonts w:ascii="Book Antiqua" w:eastAsia="Times New Roman" w:hAnsi="Book Antiqua" w:cs="Times New Roman"/>
            <w:color w:val="0000FF"/>
            <w:sz w:val="20"/>
            <w:szCs w:val="20"/>
            <w:u w:val="single"/>
            <w:lang w:eastAsia="pt-BR"/>
          </w:rPr>
          <w:t xml:space="preserve">incisos IV e V do </w:t>
        </w:r>
      </w:hyperlink>
      <w:hyperlink r:id="rId37" w:anchor="art176iv" w:history="1">
        <w:r w:rsidRPr="00170A03">
          <w:rPr>
            <w:rFonts w:ascii="Book Antiqua" w:eastAsia="Times New Roman" w:hAnsi="Book Antiqua" w:cs="Times New Roman"/>
            <w:color w:val="0000FF"/>
            <w:sz w:val="20"/>
            <w:szCs w:val="20"/>
            <w:u w:val="single"/>
            <w:lang w:eastAsia="pt-BR"/>
          </w:rPr>
          <w:t>caput</w:t>
        </w:r>
        <w:r w:rsidRPr="00170A03">
          <w:rPr>
            <w:rFonts w:ascii="Book Antiqua" w:eastAsia="Times New Roman" w:hAnsi="Book Antiqua" w:cs="Times New Roman"/>
            <w:i/>
            <w:iCs/>
            <w:color w:val="0000FF"/>
            <w:sz w:val="20"/>
            <w:szCs w:val="20"/>
            <w:u w:val="single"/>
            <w:lang w:eastAsia="pt-BR"/>
          </w:rPr>
          <w:t xml:space="preserve"> </w:t>
        </w:r>
        <w:r w:rsidRPr="00170A03">
          <w:rPr>
            <w:rFonts w:ascii="Book Antiqua" w:eastAsia="Times New Roman" w:hAnsi="Book Antiqua" w:cs="Times New Roman"/>
            <w:color w:val="0000FF"/>
            <w:sz w:val="20"/>
            <w:szCs w:val="20"/>
            <w:u w:val="single"/>
            <w:lang w:eastAsia="pt-BR"/>
          </w:rPr>
          <w:t>do art. 176 da Lei n</w:t>
        </w:r>
        <w:r w:rsidRPr="00170A03">
          <w:rPr>
            <w:rFonts w:ascii="Book Antiqua" w:eastAsia="Times New Roman" w:hAnsi="Book Antiqua" w:cs="Times New Roman"/>
            <w:color w:val="0000FF"/>
            <w:sz w:val="20"/>
            <w:szCs w:val="20"/>
            <w:u w:val="single"/>
            <w:vertAlign w:val="superscript"/>
            <w:lang w:eastAsia="pt-BR"/>
          </w:rPr>
          <w:t>o</w:t>
        </w:r>
        <w:r w:rsidRPr="00170A03">
          <w:rPr>
            <w:rFonts w:ascii="Book Antiqua" w:eastAsia="Times New Roman" w:hAnsi="Book Antiqua" w:cs="Times New Roman"/>
            <w:color w:val="0000FF"/>
            <w:sz w:val="20"/>
            <w:szCs w:val="20"/>
            <w:u w:val="single"/>
            <w:lang w:eastAsia="pt-BR"/>
          </w:rPr>
          <w:t xml:space="preserve"> 6.404, de 15 de dezembro de 1976</w:t>
        </w:r>
      </w:hyperlink>
      <w:r w:rsidRPr="00170A03">
        <w:rPr>
          <w:rFonts w:ascii="Book Antiqua" w:eastAsia="Times New Roman" w:hAnsi="Book Antiqua" w:cs="Times New Roman"/>
          <w:sz w:val="20"/>
          <w:szCs w:val="20"/>
          <w:lang w:eastAsia="pt-BR"/>
        </w:rPr>
        <w:t>, poderão ser divulgadas, no primeiro ano de vigência desta Lei, sem a indicação dos valores correspondentes ao exercício anterior.</w:t>
      </w:r>
    </w:p>
    <w:p w:rsidR="00A55E07" w:rsidRPr="00170A03" w:rsidRDefault="00A55E07" w:rsidP="00A55E07">
      <w:pPr>
        <w:spacing w:before="100" w:beforeAutospacing="1" w:after="100" w:afterAutospacing="1" w:line="240" w:lineRule="auto"/>
        <w:ind w:firstLine="450"/>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Art. 8</w:t>
      </w:r>
      <w:r w:rsidRPr="00170A03">
        <w:rPr>
          <w:rFonts w:ascii="Book Antiqua" w:eastAsia="Times New Roman" w:hAnsi="Book Antiqua" w:cs="Times New Roman"/>
          <w:sz w:val="20"/>
          <w:szCs w:val="20"/>
          <w:u w:val="single"/>
          <w:vertAlign w:val="superscript"/>
          <w:lang w:eastAsia="pt-BR"/>
        </w:rPr>
        <w:t>o</w:t>
      </w:r>
      <w:r w:rsidRPr="00170A03">
        <w:rPr>
          <w:rFonts w:ascii="Book Antiqua" w:eastAsia="Times New Roman" w:hAnsi="Book Antiqua" w:cs="Times New Roman"/>
          <w:sz w:val="20"/>
          <w:szCs w:val="20"/>
          <w:lang w:eastAsia="pt-BR"/>
        </w:rPr>
        <w:t xml:space="preserve">  Os textos consolidados das </w:t>
      </w:r>
      <w:hyperlink r:id="rId38" w:history="1">
        <w:r w:rsidRPr="00170A03">
          <w:rPr>
            <w:rFonts w:ascii="Book Antiqua" w:eastAsia="Times New Roman" w:hAnsi="Book Antiqua" w:cs="Times New Roman"/>
            <w:color w:val="0000FF"/>
            <w:sz w:val="20"/>
            <w:szCs w:val="20"/>
            <w:u w:val="single"/>
            <w:lang w:eastAsia="pt-BR"/>
          </w:rPr>
          <w:t xml:space="preserve">Leis </w:t>
        </w:r>
        <w:proofErr w:type="spellStart"/>
        <w:r w:rsidRPr="00170A03">
          <w:rPr>
            <w:rFonts w:ascii="Book Antiqua" w:eastAsia="Times New Roman" w:hAnsi="Book Antiqua" w:cs="Times New Roman"/>
            <w:color w:val="0000FF"/>
            <w:sz w:val="20"/>
            <w:szCs w:val="20"/>
            <w:u w:val="single"/>
            <w:lang w:eastAsia="pt-BR"/>
          </w:rPr>
          <w:t>nºs</w:t>
        </w:r>
        <w:proofErr w:type="spellEnd"/>
        <w:r w:rsidRPr="00170A03">
          <w:rPr>
            <w:rFonts w:ascii="Book Antiqua" w:eastAsia="Times New Roman" w:hAnsi="Book Antiqua" w:cs="Times New Roman"/>
            <w:color w:val="0000FF"/>
            <w:sz w:val="20"/>
            <w:szCs w:val="20"/>
            <w:u w:val="single"/>
            <w:lang w:eastAsia="pt-BR"/>
          </w:rPr>
          <w:t xml:space="preserve"> 6.404, de 15 de dezembro de 1976</w:t>
        </w:r>
      </w:hyperlink>
      <w:r w:rsidRPr="00170A03">
        <w:rPr>
          <w:rFonts w:ascii="Book Antiqua" w:eastAsia="Times New Roman" w:hAnsi="Book Antiqua" w:cs="Times New Roman"/>
          <w:sz w:val="20"/>
          <w:szCs w:val="20"/>
          <w:lang w:eastAsia="pt-BR"/>
        </w:rPr>
        <w:t xml:space="preserve">, e </w:t>
      </w:r>
      <w:hyperlink r:id="rId39" w:history="1">
        <w:r w:rsidRPr="00170A03">
          <w:rPr>
            <w:rFonts w:ascii="Book Antiqua" w:eastAsia="Times New Roman" w:hAnsi="Book Antiqua" w:cs="Times New Roman"/>
            <w:color w:val="0000FF"/>
            <w:sz w:val="20"/>
            <w:szCs w:val="20"/>
            <w:u w:val="single"/>
            <w:lang w:eastAsia="pt-BR"/>
          </w:rPr>
          <w:t>6.385, de 7 de dezembro de 1976</w:t>
        </w:r>
      </w:hyperlink>
      <w:r w:rsidRPr="00170A03">
        <w:rPr>
          <w:rFonts w:ascii="Book Antiqua" w:eastAsia="Times New Roman" w:hAnsi="Book Antiqua" w:cs="Times New Roman"/>
          <w:sz w:val="20"/>
          <w:szCs w:val="20"/>
          <w:lang w:eastAsia="pt-BR"/>
        </w:rPr>
        <w:t>, com todas as alterações nelas introduzidas pela legislação posterior, inclusive esta Lei, serão publicados no Diário Oficial da União pelo Poder Executivo.</w:t>
      </w:r>
    </w:p>
    <w:p w:rsidR="00A55E07" w:rsidRPr="00170A03" w:rsidRDefault="00A55E07" w:rsidP="00A55E07">
      <w:pPr>
        <w:spacing w:before="100" w:beforeAutospacing="1" w:after="100" w:afterAutospacing="1" w:line="240" w:lineRule="auto"/>
        <w:ind w:firstLine="450"/>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Art. 9</w:t>
      </w:r>
      <w:r w:rsidRPr="00170A03">
        <w:rPr>
          <w:rFonts w:ascii="Book Antiqua" w:eastAsia="Times New Roman" w:hAnsi="Book Antiqua" w:cs="Times New Roman"/>
          <w:sz w:val="20"/>
          <w:szCs w:val="20"/>
          <w:u w:val="single"/>
          <w:vertAlign w:val="superscript"/>
          <w:lang w:eastAsia="pt-BR"/>
        </w:rPr>
        <w:t>o</w:t>
      </w:r>
      <w:r w:rsidRPr="00170A03">
        <w:rPr>
          <w:rFonts w:ascii="Book Antiqua" w:eastAsia="Times New Roman" w:hAnsi="Book Antiqua" w:cs="Times New Roman"/>
          <w:sz w:val="20"/>
          <w:szCs w:val="20"/>
          <w:lang w:eastAsia="pt-BR"/>
        </w:rPr>
        <w:t>  Esta Lei entra em vigor no primeiro dia do exercício seguinte ao de sua publicação.</w:t>
      </w:r>
    </w:p>
    <w:p w:rsidR="00A55E07" w:rsidRPr="00170A03" w:rsidRDefault="00A55E07" w:rsidP="00A55E07">
      <w:pPr>
        <w:spacing w:before="100" w:beforeAutospacing="1" w:after="100" w:afterAutospacing="1" w:line="240" w:lineRule="auto"/>
        <w:ind w:firstLine="450"/>
        <w:jc w:val="both"/>
        <w:rPr>
          <w:rFonts w:ascii="Book Antiqua" w:eastAsia="Times New Roman" w:hAnsi="Book Antiqua" w:cs="Times New Roman"/>
          <w:sz w:val="20"/>
          <w:szCs w:val="20"/>
          <w:lang w:eastAsia="pt-BR"/>
        </w:rPr>
      </w:pPr>
      <w:bookmarkStart w:id="5" w:name="art10"/>
      <w:bookmarkEnd w:id="5"/>
      <w:r w:rsidRPr="00170A03">
        <w:rPr>
          <w:rFonts w:ascii="Book Antiqua" w:eastAsia="Times New Roman" w:hAnsi="Book Antiqua" w:cs="Times New Roman"/>
          <w:sz w:val="20"/>
          <w:szCs w:val="20"/>
          <w:lang w:eastAsia="pt-BR"/>
        </w:rPr>
        <w:t xml:space="preserve">Art. 10.  Ficam revogadas as </w:t>
      </w:r>
      <w:hyperlink r:id="rId40" w:anchor="art182§1c" w:history="1">
        <w:r w:rsidRPr="00170A03">
          <w:rPr>
            <w:rFonts w:ascii="Book Antiqua" w:eastAsia="Times New Roman" w:hAnsi="Book Antiqua" w:cs="Times New Roman"/>
            <w:color w:val="0000FF"/>
            <w:sz w:val="20"/>
            <w:szCs w:val="20"/>
            <w:u w:val="single"/>
            <w:lang w:eastAsia="pt-BR"/>
          </w:rPr>
          <w:t xml:space="preserve">alíneas </w:t>
        </w:r>
        <w:r w:rsidRPr="00170A03">
          <w:rPr>
            <w:rFonts w:ascii="Book Antiqua" w:eastAsia="Times New Roman" w:hAnsi="Book Antiqua" w:cs="Times New Roman"/>
            <w:i/>
            <w:iCs/>
            <w:color w:val="0000FF"/>
            <w:sz w:val="20"/>
            <w:szCs w:val="20"/>
            <w:u w:val="single"/>
            <w:lang w:eastAsia="pt-BR"/>
          </w:rPr>
          <w:t>c</w:t>
        </w:r>
        <w:r w:rsidRPr="00170A03">
          <w:rPr>
            <w:rFonts w:ascii="Book Antiqua" w:eastAsia="Times New Roman" w:hAnsi="Book Antiqua" w:cs="Times New Roman"/>
            <w:color w:val="0000FF"/>
            <w:sz w:val="20"/>
            <w:szCs w:val="20"/>
            <w:u w:val="single"/>
            <w:lang w:eastAsia="pt-BR"/>
          </w:rPr>
          <w:t xml:space="preserve"> e </w:t>
        </w:r>
        <w:r w:rsidRPr="00170A03">
          <w:rPr>
            <w:rFonts w:ascii="Book Antiqua" w:eastAsia="Times New Roman" w:hAnsi="Book Antiqua" w:cs="Times New Roman"/>
            <w:i/>
            <w:iCs/>
            <w:color w:val="0000FF"/>
            <w:sz w:val="20"/>
            <w:szCs w:val="20"/>
            <w:u w:val="single"/>
            <w:lang w:eastAsia="pt-BR"/>
          </w:rPr>
          <w:t>d</w:t>
        </w:r>
        <w:r w:rsidRPr="00170A03">
          <w:rPr>
            <w:rFonts w:ascii="Book Antiqua" w:eastAsia="Times New Roman" w:hAnsi="Book Antiqua" w:cs="Times New Roman"/>
            <w:color w:val="0000FF"/>
            <w:sz w:val="20"/>
            <w:szCs w:val="20"/>
            <w:u w:val="single"/>
            <w:lang w:eastAsia="pt-BR"/>
          </w:rPr>
          <w:t xml:space="preserve"> do § 1</w:t>
        </w:r>
        <w:r w:rsidRPr="00170A03">
          <w:rPr>
            <w:rFonts w:ascii="Book Antiqua" w:eastAsia="Times New Roman" w:hAnsi="Book Antiqua" w:cs="Times New Roman"/>
            <w:color w:val="0000FF"/>
            <w:sz w:val="20"/>
            <w:szCs w:val="20"/>
            <w:u w:val="single"/>
            <w:vertAlign w:val="superscript"/>
            <w:lang w:eastAsia="pt-BR"/>
          </w:rPr>
          <w:t>o</w:t>
        </w:r>
        <w:r w:rsidRPr="00170A03">
          <w:rPr>
            <w:rFonts w:ascii="Book Antiqua" w:eastAsia="Times New Roman" w:hAnsi="Book Antiqua" w:cs="Times New Roman"/>
            <w:color w:val="0000FF"/>
            <w:sz w:val="20"/>
            <w:szCs w:val="20"/>
            <w:u w:val="single"/>
            <w:lang w:eastAsia="pt-BR"/>
          </w:rPr>
          <w:t xml:space="preserve"> do art. 182 e</w:t>
        </w:r>
      </w:hyperlink>
      <w:r w:rsidRPr="00170A03">
        <w:rPr>
          <w:rFonts w:ascii="Book Antiqua" w:eastAsia="Times New Roman" w:hAnsi="Book Antiqua" w:cs="Times New Roman"/>
          <w:sz w:val="20"/>
          <w:szCs w:val="20"/>
          <w:lang w:eastAsia="pt-BR"/>
        </w:rPr>
        <w:t xml:space="preserve">  o </w:t>
      </w:r>
      <w:hyperlink r:id="rId41" w:anchor="art187§2" w:history="1">
        <w:r w:rsidRPr="00170A03">
          <w:rPr>
            <w:rFonts w:ascii="Book Antiqua" w:eastAsia="Times New Roman" w:hAnsi="Book Antiqua" w:cs="Times New Roman"/>
            <w:color w:val="0000FF"/>
            <w:sz w:val="20"/>
            <w:szCs w:val="20"/>
            <w:u w:val="single"/>
            <w:lang w:eastAsia="pt-BR"/>
          </w:rPr>
          <w:t>§ 2º do art. 187 da Lei nº 6.404, de 15 de dezembro de 1976.</w:t>
        </w:r>
      </w:hyperlink>
    </w:p>
    <w:p w:rsidR="00A55E07" w:rsidRPr="00170A03" w:rsidRDefault="00A55E07" w:rsidP="00A55E07">
      <w:pPr>
        <w:spacing w:before="100" w:beforeAutospacing="1" w:after="100" w:afterAutospacing="1" w:line="240" w:lineRule="auto"/>
        <w:ind w:firstLine="450"/>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Brasília,  28  de dezembro de 2007; 186</w:t>
      </w:r>
      <w:r w:rsidRPr="00170A03">
        <w:rPr>
          <w:rFonts w:ascii="Book Antiqua" w:eastAsia="Times New Roman" w:hAnsi="Book Antiqua" w:cs="Times New Roman"/>
          <w:sz w:val="20"/>
          <w:szCs w:val="20"/>
          <w:u w:val="single"/>
          <w:vertAlign w:val="superscript"/>
          <w:lang w:eastAsia="pt-BR"/>
        </w:rPr>
        <w:t>o</w:t>
      </w:r>
      <w:r w:rsidRPr="00170A03">
        <w:rPr>
          <w:rFonts w:ascii="Book Antiqua" w:eastAsia="Times New Roman" w:hAnsi="Book Antiqua" w:cs="Times New Roman"/>
          <w:sz w:val="20"/>
          <w:szCs w:val="20"/>
          <w:lang w:eastAsia="pt-BR"/>
        </w:rPr>
        <w:t xml:space="preserve"> da Independência e 119</w:t>
      </w:r>
      <w:r w:rsidRPr="00170A03">
        <w:rPr>
          <w:rFonts w:ascii="Book Antiqua" w:eastAsia="Times New Roman" w:hAnsi="Book Antiqua" w:cs="Times New Roman"/>
          <w:sz w:val="20"/>
          <w:szCs w:val="20"/>
          <w:u w:val="single"/>
          <w:vertAlign w:val="superscript"/>
          <w:lang w:eastAsia="pt-BR"/>
        </w:rPr>
        <w:t>o</w:t>
      </w:r>
      <w:r w:rsidRPr="00170A03">
        <w:rPr>
          <w:rFonts w:ascii="Book Antiqua" w:eastAsia="Times New Roman" w:hAnsi="Book Antiqua" w:cs="Times New Roman"/>
          <w:sz w:val="20"/>
          <w:szCs w:val="20"/>
          <w:lang w:eastAsia="pt-BR"/>
        </w:rPr>
        <w:t xml:space="preserve"> da República.</w:t>
      </w:r>
    </w:p>
    <w:p w:rsidR="00A55E07" w:rsidRPr="00170A03" w:rsidRDefault="00A55E07" w:rsidP="00A55E07">
      <w:pPr>
        <w:spacing w:before="100" w:beforeAutospacing="1" w:after="100" w:afterAutospacing="1" w:line="240" w:lineRule="auto"/>
        <w:jc w:val="both"/>
        <w:rPr>
          <w:rFonts w:ascii="Book Antiqua" w:eastAsia="Times New Roman" w:hAnsi="Book Antiqua" w:cs="Times New Roman"/>
          <w:sz w:val="20"/>
          <w:szCs w:val="20"/>
          <w:lang w:eastAsia="pt-BR"/>
        </w:rPr>
      </w:pPr>
      <w:r w:rsidRPr="00170A03">
        <w:rPr>
          <w:rFonts w:ascii="Book Antiqua" w:eastAsia="Times New Roman" w:hAnsi="Book Antiqua" w:cs="Times New Roman"/>
          <w:color w:val="000000"/>
          <w:sz w:val="20"/>
          <w:szCs w:val="20"/>
          <w:lang w:eastAsia="pt-BR"/>
        </w:rPr>
        <w:t>LUIZ INÁCIO LULA DA SILVA</w:t>
      </w:r>
      <w:r w:rsidRPr="00170A03">
        <w:rPr>
          <w:rFonts w:ascii="Book Antiqua" w:eastAsia="Times New Roman" w:hAnsi="Book Antiqua" w:cs="Times New Roman"/>
          <w:color w:val="000000"/>
          <w:sz w:val="20"/>
          <w:szCs w:val="20"/>
          <w:lang w:eastAsia="pt-BR"/>
        </w:rPr>
        <w:br/>
      </w:r>
      <w:r w:rsidRPr="00170A03">
        <w:rPr>
          <w:rFonts w:ascii="Book Antiqua" w:eastAsia="Times New Roman" w:hAnsi="Book Antiqua" w:cs="Times New Roman"/>
          <w:i/>
          <w:iCs/>
          <w:color w:val="000000"/>
          <w:sz w:val="20"/>
          <w:szCs w:val="20"/>
          <w:lang w:eastAsia="pt-BR"/>
        </w:rPr>
        <w:t>Arno Hugo Augustin Filho</w:t>
      </w:r>
    </w:p>
    <w:p w:rsidR="00A55E07" w:rsidRPr="00170A03" w:rsidRDefault="00A55E07" w:rsidP="00A55E07">
      <w:pPr>
        <w:spacing w:before="100" w:beforeAutospacing="1" w:after="100" w:afterAutospacing="1" w:line="240" w:lineRule="auto"/>
        <w:jc w:val="both"/>
        <w:rPr>
          <w:rFonts w:ascii="Book Antiqua" w:eastAsia="Times New Roman" w:hAnsi="Book Antiqua" w:cs="Times New Roman"/>
          <w:sz w:val="20"/>
          <w:szCs w:val="20"/>
          <w:lang w:eastAsia="pt-BR"/>
        </w:rPr>
      </w:pPr>
      <w:r w:rsidRPr="00170A03">
        <w:rPr>
          <w:rFonts w:ascii="Book Antiqua" w:eastAsia="Times New Roman" w:hAnsi="Book Antiqua" w:cs="Times New Roman"/>
          <w:color w:val="FF0000"/>
          <w:sz w:val="20"/>
          <w:szCs w:val="20"/>
          <w:lang w:eastAsia="pt-BR"/>
        </w:rPr>
        <w:t>Este texto não substitui o publicado no DOU de 28.12.2007 - Edição extra.</w:t>
      </w:r>
    </w:p>
    <w:p w:rsidR="00A55E07" w:rsidRPr="00170A03" w:rsidRDefault="00A55E07" w:rsidP="00A55E07">
      <w:pPr>
        <w:spacing w:before="100" w:beforeAutospacing="1" w:after="100" w:afterAutospacing="1" w:line="240" w:lineRule="auto"/>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 </w:t>
      </w:r>
    </w:p>
    <w:p w:rsidR="00A55E07" w:rsidRPr="00170A03" w:rsidRDefault="00A55E07" w:rsidP="00A55E07">
      <w:pPr>
        <w:spacing w:before="100" w:beforeAutospacing="1" w:after="100" w:afterAutospacing="1" w:line="240" w:lineRule="auto"/>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 </w:t>
      </w:r>
    </w:p>
    <w:p w:rsidR="00A55E07" w:rsidRPr="00170A03" w:rsidRDefault="00A55E07" w:rsidP="00A55E07">
      <w:pPr>
        <w:spacing w:before="100" w:beforeAutospacing="1" w:after="100" w:afterAutospacing="1" w:line="240" w:lineRule="auto"/>
        <w:jc w:val="both"/>
        <w:rPr>
          <w:rFonts w:ascii="Book Antiqua" w:eastAsia="Times New Roman" w:hAnsi="Book Antiqua" w:cs="Times New Roman"/>
          <w:sz w:val="20"/>
          <w:szCs w:val="20"/>
          <w:lang w:eastAsia="pt-BR"/>
        </w:rPr>
      </w:pPr>
      <w:r w:rsidRPr="00170A03">
        <w:rPr>
          <w:rFonts w:ascii="Book Antiqua" w:eastAsia="Times New Roman" w:hAnsi="Book Antiqua" w:cs="Times New Roman"/>
          <w:sz w:val="20"/>
          <w:szCs w:val="20"/>
          <w:lang w:eastAsia="pt-BR"/>
        </w:rPr>
        <w:t> </w:t>
      </w:r>
    </w:p>
    <w:p w:rsidR="00DA7599" w:rsidRPr="00170A03" w:rsidRDefault="00DA7599" w:rsidP="00A55E07">
      <w:pPr>
        <w:spacing w:before="100" w:beforeAutospacing="1" w:after="100" w:afterAutospacing="1" w:line="240" w:lineRule="auto"/>
        <w:jc w:val="both"/>
        <w:rPr>
          <w:rFonts w:ascii="Book Antiqua" w:eastAsia="Times New Roman" w:hAnsi="Book Antiqua" w:cs="Times New Roman"/>
          <w:sz w:val="20"/>
          <w:szCs w:val="20"/>
          <w:lang w:eastAsia="pt-BR"/>
        </w:rPr>
      </w:pPr>
    </w:p>
    <w:sectPr w:rsidR="00DA7599" w:rsidRPr="00170A03" w:rsidSect="00E84E97">
      <w:pgSz w:w="11906" w:h="16838"/>
      <w:pgMar w:top="1134"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14044" w:rsidRDefault="00114044" w:rsidP="00887BA4">
      <w:pPr>
        <w:spacing w:after="0" w:line="240" w:lineRule="auto"/>
      </w:pPr>
      <w:r>
        <w:separator/>
      </w:r>
    </w:p>
  </w:endnote>
  <w:endnote w:type="continuationSeparator" w:id="0">
    <w:p w:rsidR="00114044" w:rsidRDefault="00114044" w:rsidP="00887B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14044" w:rsidRDefault="00114044" w:rsidP="00887BA4">
      <w:pPr>
        <w:spacing w:after="0" w:line="240" w:lineRule="auto"/>
      </w:pPr>
      <w:r>
        <w:separator/>
      </w:r>
    </w:p>
  </w:footnote>
  <w:footnote w:type="continuationSeparator" w:id="0">
    <w:p w:rsidR="00114044" w:rsidRDefault="00114044" w:rsidP="00887BA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36A"/>
    <w:rsid w:val="00081167"/>
    <w:rsid w:val="00114044"/>
    <w:rsid w:val="00170A03"/>
    <w:rsid w:val="00887BA4"/>
    <w:rsid w:val="00A55E07"/>
    <w:rsid w:val="00CC6E5D"/>
    <w:rsid w:val="00DA7599"/>
    <w:rsid w:val="00E1536A"/>
    <w:rsid w:val="00E644CA"/>
    <w:rsid w:val="00E84E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AC5983"/>
  <w15:chartTrackingRefBased/>
  <w15:docId w15:val="{39E5ABA5-9D7F-45AF-9DC0-8088F2B49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A55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887BA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87BA4"/>
  </w:style>
  <w:style w:type="paragraph" w:styleId="Rodap">
    <w:name w:val="footer"/>
    <w:basedOn w:val="Normal"/>
    <w:link w:val="RodapChar"/>
    <w:uiPriority w:val="99"/>
    <w:unhideWhenUsed/>
    <w:rsid w:val="00887BA4"/>
    <w:pPr>
      <w:tabs>
        <w:tab w:val="center" w:pos="4252"/>
        <w:tab w:val="right" w:pos="8504"/>
      </w:tabs>
      <w:spacing w:after="0" w:line="240" w:lineRule="auto"/>
    </w:pPr>
  </w:style>
  <w:style w:type="character" w:customStyle="1" w:styleId="RodapChar">
    <w:name w:val="Rodapé Char"/>
    <w:basedOn w:val="Fontepargpadro"/>
    <w:link w:val="Rodap"/>
    <w:uiPriority w:val="99"/>
    <w:rsid w:val="00887B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895331">
      <w:bodyDiv w:val="1"/>
      <w:marLeft w:val="0"/>
      <w:marRight w:val="0"/>
      <w:marTop w:val="0"/>
      <w:marBottom w:val="0"/>
      <w:divBdr>
        <w:top w:val="none" w:sz="0" w:space="0" w:color="auto"/>
        <w:left w:val="none" w:sz="0" w:space="0" w:color="auto"/>
        <w:bottom w:val="none" w:sz="0" w:space="0" w:color="auto"/>
        <w:right w:val="none" w:sz="0" w:space="0" w:color="auto"/>
      </w:divBdr>
      <w:divsChild>
        <w:div w:id="5097607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29895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3571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9384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2549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0331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65740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3121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2103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5126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97847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85105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16461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2807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79565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6716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6237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2263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9958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9878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3324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7154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10220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5774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07-2010/2007/Msg/VEP-1045-07.htm" TargetMode="External"/><Relationship Id="rId13" Type="http://schemas.openxmlformats.org/officeDocument/2006/relationships/hyperlink" Target="http://www.planalto.gov.br/ccivil_03/LEIS/L6404consol.htm" TargetMode="External"/><Relationship Id="rId18" Type="http://schemas.openxmlformats.org/officeDocument/2006/relationships/hyperlink" Target="http://www.planalto.gov.br/ccivil_03/LEIS/L6404consol.htm" TargetMode="External"/><Relationship Id="rId26" Type="http://schemas.openxmlformats.org/officeDocument/2006/relationships/hyperlink" Target="http://www.planalto.gov.br/ccivil_03/LEIS/L6404consol.htm" TargetMode="External"/><Relationship Id="rId39" Type="http://schemas.openxmlformats.org/officeDocument/2006/relationships/hyperlink" Target="http://www.planalto.gov.br/ccivil_03/LEIS/L6385.htm" TargetMode="External"/><Relationship Id="rId3" Type="http://schemas.openxmlformats.org/officeDocument/2006/relationships/webSettings" Target="webSettings.xml"/><Relationship Id="rId21" Type="http://schemas.openxmlformats.org/officeDocument/2006/relationships/hyperlink" Target="http://www.planalto.gov.br/ccivil_03/LEIS/L6404consol.htm" TargetMode="External"/><Relationship Id="rId34" Type="http://schemas.openxmlformats.org/officeDocument/2006/relationships/hyperlink" Target="http://www.planalto.gov.br/ccivil_03/LEIS/L6385.htm" TargetMode="External"/><Relationship Id="rId42" Type="http://schemas.openxmlformats.org/officeDocument/2006/relationships/fontTable" Target="fontTable.xml"/><Relationship Id="rId7" Type="http://schemas.openxmlformats.org/officeDocument/2006/relationships/hyperlink" Target="http://legislacao.planalto.gov.br/legisla/legislacao.nsf/Viw_Identificacao/lei%2011.638-2007?OpenDocument" TargetMode="External"/><Relationship Id="rId12" Type="http://schemas.openxmlformats.org/officeDocument/2006/relationships/hyperlink" Target="http://www.planalto.gov.br/ccivil_03/LEIS/L6404consol.htm" TargetMode="External"/><Relationship Id="rId17" Type="http://schemas.openxmlformats.org/officeDocument/2006/relationships/hyperlink" Target="http://www.planalto.gov.br/ccivil_03/LEIS/L6404consol.htm" TargetMode="External"/><Relationship Id="rId25" Type="http://schemas.openxmlformats.org/officeDocument/2006/relationships/hyperlink" Target="http://www.planalto.gov.br/ccivil_03/LEIS/L6404consol.htm" TargetMode="External"/><Relationship Id="rId33" Type="http://schemas.openxmlformats.org/officeDocument/2006/relationships/hyperlink" Target="http://www.planalto.gov.br/ccivil_03/LEIS/L6385.htm" TargetMode="External"/><Relationship Id="rId38" Type="http://schemas.openxmlformats.org/officeDocument/2006/relationships/hyperlink" Target="http://www.planalto.gov.br/ccivil_03/LEIS/L6404consol.htm" TargetMode="External"/><Relationship Id="rId2" Type="http://schemas.openxmlformats.org/officeDocument/2006/relationships/settings" Target="settings.xml"/><Relationship Id="rId16" Type="http://schemas.openxmlformats.org/officeDocument/2006/relationships/hyperlink" Target="http://www.planalto.gov.br/ccivil_03/_ato2007-2010/2007/Msg/VEP-1045-07.htm" TargetMode="External"/><Relationship Id="rId20" Type="http://schemas.openxmlformats.org/officeDocument/2006/relationships/hyperlink" Target="http://www.planalto.gov.br/ccivil_03/LEIS/L6404consol.htm" TargetMode="External"/><Relationship Id="rId29" Type="http://schemas.openxmlformats.org/officeDocument/2006/relationships/hyperlink" Target="http://www.planalto.gov.br/ccivil_03/LEIS/L6404consol.htm" TargetMode="External"/><Relationship Id="rId41" Type="http://schemas.openxmlformats.org/officeDocument/2006/relationships/hyperlink" Target="http://www.planalto.gov.br/ccivil_03/LEIS/L6404consol.htm" TargetMode="External"/><Relationship Id="rId1" Type="http://schemas.openxmlformats.org/officeDocument/2006/relationships/styles" Target="styles.xml"/><Relationship Id="rId6" Type="http://schemas.openxmlformats.org/officeDocument/2006/relationships/hyperlink" Target="http://legislacao.planalto.gov.br/legisla/legislacao.nsf/Viw_Identificacao/lei%2011.639-2008?OpenDocument" TargetMode="External"/><Relationship Id="rId11" Type="http://schemas.openxmlformats.org/officeDocument/2006/relationships/hyperlink" Target="http://www.planalto.gov.br/ccivil_03/LEIS/L6404consol.htm" TargetMode="External"/><Relationship Id="rId24" Type="http://schemas.openxmlformats.org/officeDocument/2006/relationships/hyperlink" Target="http://www.planalto.gov.br/ccivil_03/LEIS/L6404consol.htm" TargetMode="External"/><Relationship Id="rId32" Type="http://schemas.openxmlformats.org/officeDocument/2006/relationships/hyperlink" Target="http://www.planalto.gov.br/ccivil_03/LEIS/L6404consol.htm" TargetMode="External"/><Relationship Id="rId37" Type="http://schemas.openxmlformats.org/officeDocument/2006/relationships/hyperlink" Target="http://www.planalto.gov.br/ccivil_03/LEIS/L6404consol.htm" TargetMode="External"/><Relationship Id="rId40" Type="http://schemas.openxmlformats.org/officeDocument/2006/relationships/hyperlink" Target="http://www.planalto.gov.br/ccivil_03/LEIS/L6404consol.htm" TargetMode="External"/><Relationship Id="rId5" Type="http://schemas.openxmlformats.org/officeDocument/2006/relationships/endnotes" Target="endnotes.xml"/><Relationship Id="rId15" Type="http://schemas.openxmlformats.org/officeDocument/2006/relationships/hyperlink" Target="http://www.planalto.gov.br/ccivil_03/_ato2007-2010/2007/Msg/VEP-1045-07.htm" TargetMode="External"/><Relationship Id="rId23" Type="http://schemas.openxmlformats.org/officeDocument/2006/relationships/hyperlink" Target="http://www.planalto.gov.br/ccivil_03/LEIS/L6404consol.htm" TargetMode="External"/><Relationship Id="rId28" Type="http://schemas.openxmlformats.org/officeDocument/2006/relationships/hyperlink" Target="http://www.planalto.gov.br/ccivil_03/LEIS/L6404consol.htm" TargetMode="External"/><Relationship Id="rId36" Type="http://schemas.openxmlformats.org/officeDocument/2006/relationships/hyperlink" Target="http://www.planalto.gov.br/ccivil_03/LEIS/L6404consol.htm" TargetMode="External"/><Relationship Id="rId10" Type="http://schemas.openxmlformats.org/officeDocument/2006/relationships/hyperlink" Target="http://www.planalto.gov.br/ccivil_03/LEIS/L6404consol.htm" TargetMode="External"/><Relationship Id="rId19" Type="http://schemas.openxmlformats.org/officeDocument/2006/relationships/hyperlink" Target="http://www.planalto.gov.br/ccivil_03/LEIS/L6404consol.htm" TargetMode="External"/><Relationship Id="rId31" Type="http://schemas.openxmlformats.org/officeDocument/2006/relationships/hyperlink" Target="http://www.planalto.gov.br/ccivil_03/LEIS/L6404consol.htm" TargetMode="External"/><Relationship Id="rId4" Type="http://schemas.openxmlformats.org/officeDocument/2006/relationships/footnotes" Target="footnotes.xml"/><Relationship Id="rId9" Type="http://schemas.openxmlformats.org/officeDocument/2006/relationships/hyperlink" Target="http://www.planalto.gov.br/ccivil_03/LEIS/L6404consol.htm" TargetMode="External"/><Relationship Id="rId14" Type="http://schemas.openxmlformats.org/officeDocument/2006/relationships/hyperlink" Target="http://www.planalto.gov.br/ccivil_03/LEIS/L6404consol.htm" TargetMode="External"/><Relationship Id="rId22" Type="http://schemas.openxmlformats.org/officeDocument/2006/relationships/hyperlink" Target="http://www.planalto.gov.br/ccivil_03/LEIS/L6404consol.htm" TargetMode="External"/><Relationship Id="rId27" Type="http://schemas.openxmlformats.org/officeDocument/2006/relationships/hyperlink" Target="http://www.planalto.gov.br/ccivil_03/LEIS/L6404consol.htm" TargetMode="External"/><Relationship Id="rId30" Type="http://schemas.openxmlformats.org/officeDocument/2006/relationships/hyperlink" Target="http://www.planalto.gov.br/ccivil_03/LEIS/L6404consol.htm" TargetMode="External"/><Relationship Id="rId35" Type="http://schemas.openxmlformats.org/officeDocument/2006/relationships/hyperlink" Target="http://www.planalto.gov.br/ccivil_03/LEIS/L6385.htm" TargetMode="External"/><Relationship Id="rId43"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3065</Words>
  <Characters>16557</Characters>
  <Application>Microsoft Office Word</Application>
  <DocSecurity>0</DocSecurity>
  <Lines>137</Lines>
  <Paragraphs>39</Paragraphs>
  <ScaleCrop>false</ScaleCrop>
  <Company/>
  <LinksUpToDate>false</LinksUpToDate>
  <CharactersWithSpaces>19583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 Silva Teixeira</cp:lastModifiedBy>
  <cp:revision>8</cp:revision>
  <dcterms:created xsi:type="dcterms:W3CDTF">2015-09-21T20:37:00Z</dcterms:created>
  <dcterms:modified xsi:type="dcterms:W3CDTF">2019-05-20T19:54:00Z</dcterms:modified>
</cp:coreProperties>
</file>