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DB800" w14:textId="2C2FDF11" w:rsidR="007E07AD" w:rsidRPr="00FD12C0" w:rsidRDefault="007E07AD" w:rsidP="007E07AD">
      <w:pPr>
        <w:pStyle w:val="NormalWeb"/>
        <w:ind w:left="567" w:right="1134"/>
        <w:jc w:val="center"/>
        <w:rPr>
          <w:rFonts w:ascii="Book Antiqua" w:hAnsi="Book Antiqua" w:cs="Times New Roman"/>
          <w:b/>
          <w:bCs/>
          <w:color w:val="FF0000"/>
          <w:sz w:val="19"/>
          <w:szCs w:val="19"/>
        </w:rPr>
      </w:pPr>
      <w:r w:rsidRPr="00FD12C0">
        <w:rPr>
          <w:rFonts w:ascii="Book Antiqua" w:hAnsi="Book Antiqua" w:cs="Times New Roman"/>
          <w:b/>
          <w:bCs/>
          <w:color w:val="FF0000"/>
          <w:sz w:val="19"/>
          <w:szCs w:val="19"/>
        </w:rPr>
        <w:t xml:space="preserve">(Atualização em </w:t>
      </w:r>
      <w:r w:rsidR="008262BC">
        <w:rPr>
          <w:rFonts w:ascii="Book Antiqua" w:hAnsi="Book Antiqua" w:cs="Times New Roman"/>
          <w:b/>
          <w:bCs/>
          <w:color w:val="FF0000"/>
          <w:sz w:val="19"/>
          <w:szCs w:val="19"/>
        </w:rPr>
        <w:t>03/02/2022</w:t>
      </w:r>
      <w:r w:rsidRPr="00FD12C0">
        <w:rPr>
          <w:rFonts w:ascii="Book Antiqua" w:hAnsi="Book Antiqua" w:cs="Times New Roman"/>
          <w:b/>
          <w:bCs/>
          <w:color w:val="FF0000"/>
          <w:sz w:val="19"/>
          <w:szCs w:val="19"/>
        </w:rPr>
        <w:t>: questões de concurso)</w:t>
      </w:r>
    </w:p>
    <w:p w14:paraId="6C3D7D6F" w14:textId="46F5D065" w:rsidR="009A152E" w:rsidRPr="009A152E" w:rsidRDefault="009A152E" w:rsidP="009A152E">
      <w:pPr>
        <w:spacing w:before="200" w:after="200" w:line="240" w:lineRule="auto"/>
        <w:ind w:left="567" w:right="1134"/>
        <w:jc w:val="both"/>
        <w:rPr>
          <w:rFonts w:ascii="Book Antiqua" w:eastAsia="Times New Roman" w:hAnsi="Book Antiqua" w:cs="Times New Roman"/>
          <w:b/>
          <w:bCs/>
          <w:sz w:val="19"/>
          <w:szCs w:val="19"/>
          <w:lang w:eastAsia="pt-BR"/>
        </w:rPr>
      </w:pPr>
      <w:r w:rsidRPr="009A152E">
        <w:rPr>
          <w:rFonts w:ascii="Book Antiqua" w:eastAsia="Times New Roman" w:hAnsi="Book Antiqua" w:cs="Times New Roman"/>
          <w:b/>
          <w:bCs/>
          <w:sz w:val="19"/>
          <w:szCs w:val="19"/>
          <w:lang w:eastAsia="pt-BR"/>
        </w:rPr>
        <w:t>TEXTO INTEGRAL DA INSTRUÇÃO CVM N</w:t>
      </w:r>
      <w:r w:rsidRPr="009A152E">
        <w:rPr>
          <w:rFonts w:ascii="Book Antiqua" w:eastAsia="Times New Roman" w:hAnsi="Book Antiqua" w:cs="Times New Roman"/>
          <w:b/>
          <w:bCs/>
          <w:sz w:val="19"/>
          <w:szCs w:val="19"/>
          <w:u w:val="single"/>
          <w:vertAlign w:val="superscript"/>
          <w:lang w:eastAsia="pt-BR"/>
        </w:rPr>
        <w:t>o</w:t>
      </w:r>
      <w:r w:rsidRPr="009A152E">
        <w:rPr>
          <w:rFonts w:ascii="Book Antiqua" w:eastAsia="Times New Roman" w:hAnsi="Book Antiqua" w:cs="Times New Roman"/>
          <w:b/>
          <w:bCs/>
          <w:sz w:val="19"/>
          <w:szCs w:val="19"/>
          <w:lang w:eastAsia="pt-BR"/>
        </w:rPr>
        <w:t xml:space="preserve"> 134, DE 1 DE NOVEMBRO DE 1990, COM AS ALTERAÇÕES INTRODUZIDAS PELAS INSTRUÇÕES CVM N</w:t>
      </w:r>
      <w:r w:rsidRPr="009A152E">
        <w:rPr>
          <w:rFonts w:ascii="Book Antiqua" w:eastAsia="Times New Roman" w:hAnsi="Book Antiqua" w:cs="Times New Roman"/>
          <w:b/>
          <w:bCs/>
          <w:sz w:val="19"/>
          <w:szCs w:val="19"/>
          <w:u w:val="single"/>
          <w:vertAlign w:val="superscript"/>
          <w:lang w:eastAsia="pt-BR"/>
        </w:rPr>
        <w:t>os</w:t>
      </w:r>
      <w:r w:rsidRPr="009A152E">
        <w:rPr>
          <w:rFonts w:ascii="Book Antiqua" w:eastAsia="Times New Roman" w:hAnsi="Book Antiqua" w:cs="Times New Roman"/>
          <w:b/>
          <w:bCs/>
          <w:sz w:val="19"/>
          <w:szCs w:val="19"/>
          <w:lang w:eastAsia="pt-BR"/>
        </w:rPr>
        <w:t xml:space="preserve"> 292/98 E 480/09.</w:t>
      </w:r>
    </w:p>
    <w:p w14:paraId="0E01FA26"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INSTRUÇÃO CVM Nº 134, DE 1 DE NOVEMBRO DE 1990.</w:t>
      </w:r>
    </w:p>
    <w:p w14:paraId="7CE629CA" w14:textId="77777777" w:rsidR="009A152E" w:rsidRPr="009A152E" w:rsidRDefault="009A152E" w:rsidP="009A152E">
      <w:pPr>
        <w:spacing w:after="0" w:line="240" w:lineRule="auto"/>
        <w:ind w:left="567" w:right="1134"/>
        <w:rPr>
          <w:rFonts w:ascii="Book Antiqua" w:eastAsia="Times New Roman" w:hAnsi="Book Antiqua" w:cs="Times New Roman"/>
          <w:sz w:val="19"/>
          <w:szCs w:val="19"/>
          <w:lang w:eastAsia="pt-BR"/>
        </w:rPr>
      </w:pPr>
    </w:p>
    <w:p w14:paraId="24DE2E1C" w14:textId="77777777" w:rsidR="009A152E" w:rsidRPr="009A152E" w:rsidRDefault="009A152E" w:rsidP="009A152E">
      <w:pPr>
        <w:spacing w:after="0" w:line="240" w:lineRule="auto"/>
        <w:ind w:left="567" w:right="1134"/>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Dispõe acerca da emissão de Nota Promissória para distribuição pública.</w:t>
      </w:r>
    </w:p>
    <w:p w14:paraId="7A9BA83B" w14:textId="77777777" w:rsidR="009A152E" w:rsidRPr="009A152E" w:rsidRDefault="009A152E" w:rsidP="009A152E">
      <w:pPr>
        <w:spacing w:after="0" w:line="240" w:lineRule="auto"/>
        <w:ind w:left="567" w:right="1134"/>
        <w:jc w:val="both"/>
        <w:rPr>
          <w:rFonts w:ascii="Book Antiqua" w:eastAsia="Times New Roman" w:hAnsi="Book Antiqua" w:cs="Times New Roman"/>
          <w:sz w:val="19"/>
          <w:szCs w:val="19"/>
          <w:lang w:eastAsia="pt-BR"/>
        </w:rPr>
      </w:pPr>
    </w:p>
    <w:p w14:paraId="4091EB40"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O </w:t>
      </w:r>
      <w:r w:rsidRPr="009A152E">
        <w:rPr>
          <w:rFonts w:ascii="Book Antiqua" w:eastAsia="Times New Roman" w:hAnsi="Book Antiqua" w:cs="Times New Roman"/>
          <w:b/>
          <w:bCs/>
          <w:sz w:val="19"/>
          <w:szCs w:val="19"/>
          <w:lang w:eastAsia="pt-BR"/>
        </w:rPr>
        <w:t>COLEGIADO DA COMISSÃO DE VALORES MOBILIÁRIOS</w:t>
      </w:r>
      <w:r w:rsidRPr="009A152E">
        <w:rPr>
          <w:rFonts w:ascii="Book Antiqua" w:eastAsia="Times New Roman" w:hAnsi="Book Antiqua" w:cs="Times New Roman"/>
          <w:sz w:val="19"/>
          <w:szCs w:val="19"/>
          <w:lang w:eastAsia="pt-BR"/>
        </w:rPr>
        <w:t xml:space="preserve"> torna público que em reunião realizada nesta data, com fundamento no disposto na Convenção para Adoção de uma Lei Uniforme sobre Letras de Câmbio e Notas Promissórias, promulgada pelo Decreto nº 57.663, de 24 de janeiro de 1966, e no artigo 8º da LEI Nº 6.385, de 07 de dezembro de 1976, bem como na Resolução CMN nº 1.723, de 27 de junho de 1990, resolveu baixar a seguinte Instrução:</w:t>
      </w:r>
    </w:p>
    <w:p w14:paraId="38FACDFE"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DA EMISSÃO</w:t>
      </w:r>
    </w:p>
    <w:p w14:paraId="08BD57A7"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1º  As companhias poderão emitir, para colocação pública, notas promissórias que conferirão a seus titulares direito de crédito contra a emitente.</w:t>
      </w:r>
    </w:p>
    <w:p w14:paraId="62D854FE" w14:textId="3039AE9F" w:rsidR="009A152E" w:rsidRPr="008262BC" w:rsidRDefault="009A152E" w:rsidP="009A152E">
      <w:pPr>
        <w:spacing w:before="200" w:after="200" w:line="240" w:lineRule="auto"/>
        <w:ind w:left="567" w:right="1134" w:firstLine="567"/>
        <w:jc w:val="both"/>
        <w:rPr>
          <w:rFonts w:ascii="Book Antiqua" w:eastAsia="Times New Roman" w:hAnsi="Book Antiqua" w:cs="Times New Roman"/>
          <w:b/>
          <w:bCs/>
          <w:sz w:val="19"/>
          <w:szCs w:val="19"/>
          <w:lang w:eastAsia="pt-BR"/>
        </w:rPr>
      </w:pPr>
      <w:r w:rsidRPr="008262BC">
        <w:rPr>
          <w:rFonts w:ascii="Book Antiqua" w:eastAsia="Times New Roman" w:hAnsi="Book Antiqua" w:cs="Times New Roman"/>
          <w:b/>
          <w:bCs/>
          <w:sz w:val="19"/>
          <w:szCs w:val="19"/>
          <w:highlight w:val="magenta"/>
          <w:lang w:eastAsia="pt-BR"/>
        </w:rPr>
        <w:t>Art. 2º</w:t>
      </w:r>
      <w:r w:rsidRPr="008262BC">
        <w:rPr>
          <w:rFonts w:ascii="Book Antiqua" w:eastAsia="Times New Roman" w:hAnsi="Book Antiqua" w:cs="Times New Roman"/>
          <w:b/>
          <w:bCs/>
          <w:sz w:val="19"/>
          <w:szCs w:val="19"/>
          <w:lang w:eastAsia="pt-BR"/>
        </w:rPr>
        <w:t xml:space="preserve">  As notas promissórias circularão por endosso em preto, de mera transferência de titularidade, conforme previsto no artigo 15 do Anexo I da Convenção para Adoção de uma Lei Uniforme sobre Letras de Câmbio e Notas Promissórias, promulgada pelo Decreto nº 57.663, de 24 de janeiro de 1966.</w:t>
      </w:r>
      <w:r w:rsidR="008262BC">
        <w:rPr>
          <w:rFonts w:ascii="Book Antiqua" w:eastAsia="Times New Roman" w:hAnsi="Book Antiqua" w:cs="Times New Roman"/>
          <w:b/>
          <w:bCs/>
          <w:sz w:val="19"/>
          <w:szCs w:val="19"/>
          <w:lang w:eastAsia="pt-BR"/>
        </w:rPr>
        <w:t xml:space="preserve"> </w:t>
      </w:r>
      <w:r w:rsidR="008262BC" w:rsidRPr="008262BC">
        <w:rPr>
          <w:rFonts w:ascii="Book Antiqua" w:eastAsia="Times New Roman" w:hAnsi="Book Antiqua" w:cs="Times New Roman"/>
          <w:b/>
          <w:bCs/>
          <w:color w:val="FF0000"/>
          <w:sz w:val="18"/>
          <w:szCs w:val="18"/>
          <w:u w:val="single"/>
          <w:lang w:eastAsia="pt-BR"/>
        </w:rPr>
        <w:t>(TJPR-2021)</w:t>
      </w:r>
    </w:p>
    <w:p w14:paraId="20417E60" w14:textId="61B2795D" w:rsidR="009A152E" w:rsidRDefault="009A152E" w:rsidP="008262BC">
      <w:pPr>
        <w:spacing w:before="100" w:beforeAutospacing="1" w:after="100" w:afterAutospacing="1" w:line="240" w:lineRule="auto"/>
        <w:ind w:left="567" w:right="1134" w:firstLine="567"/>
        <w:jc w:val="both"/>
        <w:rPr>
          <w:rFonts w:ascii="Book Antiqua" w:eastAsia="Times New Roman" w:hAnsi="Book Antiqua" w:cs="Times New Roman"/>
          <w:sz w:val="19"/>
          <w:szCs w:val="19"/>
          <w:lang w:eastAsia="pt-BR"/>
        </w:rPr>
      </w:pPr>
      <w:r w:rsidRPr="008262BC">
        <w:rPr>
          <w:rFonts w:ascii="Book Antiqua" w:eastAsia="Times New Roman" w:hAnsi="Book Antiqua" w:cs="Times New Roman"/>
          <w:b/>
          <w:bCs/>
          <w:sz w:val="19"/>
          <w:szCs w:val="19"/>
          <w:highlight w:val="magenta"/>
          <w:lang w:eastAsia="pt-BR"/>
        </w:rPr>
        <w:t>Parágrafo único</w:t>
      </w:r>
      <w:r w:rsidRPr="008262BC">
        <w:rPr>
          <w:rFonts w:ascii="Book Antiqua" w:eastAsia="Times New Roman" w:hAnsi="Book Antiqua" w:cs="Times New Roman"/>
          <w:b/>
          <w:bCs/>
          <w:sz w:val="19"/>
          <w:szCs w:val="19"/>
          <w:lang w:eastAsia="pt-BR"/>
        </w:rPr>
        <w:t>.  Constará obrigatoriamente do endosso a cláusula " sem garantia", devendo tal condição constar, ainda, necessariamente, do prospecto de lançamento (artigo 22</w:t>
      </w:r>
      <w:r w:rsidRPr="009A152E">
        <w:rPr>
          <w:rFonts w:ascii="Book Antiqua" w:eastAsia="Times New Roman" w:hAnsi="Book Antiqua" w:cs="Times New Roman"/>
          <w:sz w:val="19"/>
          <w:szCs w:val="19"/>
          <w:lang w:eastAsia="pt-BR"/>
        </w:rPr>
        <w:t>).</w:t>
      </w:r>
      <w:r w:rsidR="008262BC">
        <w:rPr>
          <w:rFonts w:ascii="Book Antiqua" w:eastAsia="Times New Roman" w:hAnsi="Book Antiqua" w:cs="Times New Roman"/>
          <w:sz w:val="19"/>
          <w:szCs w:val="19"/>
          <w:lang w:eastAsia="pt-BR"/>
        </w:rPr>
        <w:t xml:space="preserve"> </w:t>
      </w:r>
      <w:r w:rsidR="008262BC" w:rsidRPr="008262BC">
        <w:rPr>
          <w:rFonts w:ascii="Book Antiqua" w:eastAsia="Times New Roman" w:hAnsi="Book Antiqua" w:cs="Times New Roman"/>
          <w:b/>
          <w:bCs/>
          <w:color w:val="FF0000"/>
          <w:sz w:val="18"/>
          <w:szCs w:val="18"/>
          <w:u w:val="single"/>
          <w:lang w:eastAsia="pt-BR"/>
        </w:rPr>
        <w:t>(TJPR-2021)</w:t>
      </w:r>
    </w:p>
    <w:tbl>
      <w:tblPr>
        <w:tblStyle w:val="Tabelacomgrade"/>
        <w:tblW w:w="0" w:type="auto"/>
        <w:tblInd w:w="567" w:type="dxa"/>
        <w:tblLook w:val="04A0" w:firstRow="1" w:lastRow="0" w:firstColumn="1" w:lastColumn="0" w:noHBand="0" w:noVBand="1"/>
      </w:tblPr>
      <w:tblGrid>
        <w:gridCol w:w="8500"/>
      </w:tblGrid>
      <w:tr w:rsidR="008262BC" w14:paraId="0CA7D4DC" w14:textId="77777777" w:rsidTr="008262BC">
        <w:tc>
          <w:tcPr>
            <w:tcW w:w="8500" w:type="dxa"/>
            <w:shd w:val="clear" w:color="auto" w:fill="CCFFFF"/>
          </w:tcPr>
          <w:p w14:paraId="64AE455C" w14:textId="544EE344" w:rsidR="008262BC" w:rsidRPr="008262BC" w:rsidRDefault="008262BC" w:rsidP="008262B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262BC">
              <w:rPr>
                <w:rFonts w:ascii="Book Antiqua" w:eastAsia="Times New Roman" w:hAnsi="Book Antiqua" w:cs="Times New Roman"/>
                <w:b/>
                <w:bCs/>
                <w:sz w:val="19"/>
                <w:szCs w:val="19"/>
                <w:highlight w:val="yellow"/>
                <w:lang w:eastAsia="pt-BR"/>
              </w:rPr>
              <w:t>TJPR-2021-FGV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62BC">
              <w:rPr>
                <w:rFonts w:ascii="Book Antiqua" w:eastAsia="Times New Roman" w:hAnsi="Book Antiqua" w:cs="Times New Roman"/>
                <w:sz w:val="19"/>
                <w:szCs w:val="19"/>
                <w:lang w:eastAsia="pt-BR"/>
              </w:rPr>
              <w:t xml:space="preserve">Quanto ao </w:t>
            </w:r>
            <w:proofErr w:type="spellStart"/>
            <w:r w:rsidRPr="008262BC">
              <w:rPr>
                <w:rFonts w:ascii="Book Antiqua" w:eastAsia="Times New Roman" w:hAnsi="Book Antiqua" w:cs="Times New Roman"/>
                <w:i/>
                <w:iCs/>
                <w:sz w:val="19"/>
                <w:szCs w:val="19"/>
                <w:lang w:eastAsia="pt-BR"/>
              </w:rPr>
              <w:t>commercial</w:t>
            </w:r>
            <w:proofErr w:type="spellEnd"/>
            <w:r w:rsidRPr="008262BC">
              <w:rPr>
                <w:rFonts w:ascii="Book Antiqua" w:eastAsia="Times New Roman" w:hAnsi="Book Antiqua" w:cs="Times New Roman"/>
                <w:i/>
                <w:iCs/>
                <w:sz w:val="19"/>
                <w:szCs w:val="19"/>
                <w:lang w:eastAsia="pt-BR"/>
              </w:rPr>
              <w:t xml:space="preserve"> </w:t>
            </w:r>
            <w:proofErr w:type="spellStart"/>
            <w:r w:rsidRPr="008262BC">
              <w:rPr>
                <w:rFonts w:ascii="Book Antiqua" w:eastAsia="Times New Roman" w:hAnsi="Book Antiqua" w:cs="Times New Roman"/>
                <w:i/>
                <w:iCs/>
                <w:sz w:val="19"/>
                <w:szCs w:val="19"/>
                <w:lang w:eastAsia="pt-BR"/>
              </w:rPr>
              <w:t>paper</w:t>
            </w:r>
            <w:proofErr w:type="spellEnd"/>
            <w:r w:rsidRPr="008262BC">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8262BC">
              <w:rPr>
                <w:rFonts w:ascii="Book Antiqua" w:eastAsia="Times New Roman" w:hAnsi="Book Antiqua" w:cs="Times New Roman"/>
                <w:sz w:val="19"/>
                <w:szCs w:val="19"/>
                <w:lang w:eastAsia="pt-BR"/>
              </w:rPr>
              <w:t xml:space="preserve"> afirmar que:</w:t>
            </w:r>
            <w:r>
              <w:t xml:space="preserve"> </w:t>
            </w:r>
            <w:r w:rsidRPr="008262BC">
              <w:rPr>
                <w:rFonts w:ascii="Book Antiqua" w:eastAsia="Times New Roman" w:hAnsi="Book Antiqua" w:cs="Times New Roman"/>
                <w:sz w:val="19"/>
                <w:szCs w:val="19"/>
                <w:lang w:eastAsia="pt-BR"/>
              </w:rPr>
              <w:t xml:space="preserve">os </w:t>
            </w:r>
            <w:proofErr w:type="spellStart"/>
            <w:r w:rsidRPr="008262BC">
              <w:rPr>
                <w:rFonts w:ascii="Book Antiqua" w:eastAsia="Times New Roman" w:hAnsi="Book Antiqua" w:cs="Times New Roman"/>
                <w:i/>
                <w:iCs/>
                <w:sz w:val="19"/>
                <w:szCs w:val="19"/>
                <w:lang w:eastAsia="pt-BR"/>
              </w:rPr>
              <w:t>commercial</w:t>
            </w:r>
            <w:proofErr w:type="spellEnd"/>
            <w:r w:rsidRPr="008262BC">
              <w:rPr>
                <w:rFonts w:ascii="Book Antiqua" w:eastAsia="Times New Roman" w:hAnsi="Book Antiqua" w:cs="Times New Roman"/>
                <w:i/>
                <w:iCs/>
                <w:sz w:val="19"/>
                <w:szCs w:val="19"/>
                <w:lang w:eastAsia="pt-BR"/>
              </w:rPr>
              <w:t xml:space="preserve"> </w:t>
            </w:r>
            <w:proofErr w:type="spellStart"/>
            <w:r w:rsidRPr="008262BC">
              <w:rPr>
                <w:rFonts w:ascii="Book Antiqua" w:eastAsia="Times New Roman" w:hAnsi="Book Antiqua" w:cs="Times New Roman"/>
                <w:i/>
                <w:iCs/>
                <w:sz w:val="19"/>
                <w:szCs w:val="19"/>
                <w:lang w:eastAsia="pt-BR"/>
              </w:rPr>
              <w:t>papers</w:t>
            </w:r>
            <w:proofErr w:type="spellEnd"/>
            <w:r w:rsidRPr="008262BC">
              <w:rPr>
                <w:rFonts w:ascii="Book Antiqua" w:eastAsia="Times New Roman" w:hAnsi="Book Antiqua" w:cs="Times New Roman"/>
                <w:sz w:val="19"/>
                <w:szCs w:val="19"/>
                <w:lang w:eastAsia="pt-BR"/>
              </w:rPr>
              <w:t xml:space="preserve"> devem circular por endosso em preto, desde que conste obrigatoriamente menção cláusula “sem garantia” dada pelo endossante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IN 134, CVM.</w:t>
            </w:r>
          </w:p>
        </w:tc>
      </w:tr>
    </w:tbl>
    <w:p w14:paraId="28BC1033" w14:textId="3DAF92EE" w:rsidR="00DC4B01" w:rsidRPr="009A152E" w:rsidRDefault="009A152E" w:rsidP="00DC4B01">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Art. 3º  </w:t>
      </w:r>
      <w:bookmarkStart w:id="0" w:name="_Hlk50458831"/>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bookmarkEnd w:id="0"/>
    </w:p>
    <w:p w14:paraId="29D22CEB" w14:textId="2E0E978E"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Art. 4º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2B360EAC" w14:textId="78E25FC4" w:rsidR="00DC4B01" w:rsidRPr="009A152E" w:rsidRDefault="009A152E" w:rsidP="00DC4B01">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Art. 5º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760DF433"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DO VALOR NOMINAL</w:t>
      </w:r>
    </w:p>
    <w:p w14:paraId="105E4570"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6º  O valor nominal da nota promissória, expresso em moeda nacional, não poderá ser inferior a quantia equivalente a 80.000 BTNF, na data da deliberação de sua emissão.</w:t>
      </w:r>
    </w:p>
    <w:p w14:paraId="0B9A8560"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DO PRAZO DE VENCIMENTO E DATA DE EMISSÃO</w:t>
      </w:r>
    </w:p>
    <w:p w14:paraId="2F00E149" w14:textId="02558B40" w:rsidR="009A152E" w:rsidRPr="008262BC" w:rsidRDefault="009A152E" w:rsidP="009A152E">
      <w:pPr>
        <w:spacing w:before="200" w:after="200" w:line="240" w:lineRule="auto"/>
        <w:ind w:left="567" w:right="1134" w:firstLine="567"/>
        <w:jc w:val="both"/>
        <w:rPr>
          <w:rFonts w:ascii="Book Antiqua" w:eastAsia="Times New Roman" w:hAnsi="Book Antiqua" w:cs="Times New Roman"/>
          <w:sz w:val="19"/>
          <w:szCs w:val="19"/>
          <w:u w:val="single"/>
          <w:lang w:eastAsia="pt-BR"/>
        </w:rPr>
      </w:pPr>
      <w:r w:rsidRPr="009A152E">
        <w:rPr>
          <w:rFonts w:ascii="Book Antiqua" w:eastAsia="Times New Roman" w:hAnsi="Book Antiqua" w:cs="Times New Roman"/>
          <w:b/>
          <w:bCs/>
          <w:sz w:val="19"/>
          <w:szCs w:val="19"/>
          <w:highlight w:val="magenta"/>
          <w:lang w:eastAsia="pt-BR"/>
        </w:rPr>
        <w:t>Art. 7º</w:t>
      </w:r>
      <w:r w:rsidRPr="009A152E">
        <w:rPr>
          <w:rFonts w:ascii="Book Antiqua" w:eastAsia="Times New Roman" w:hAnsi="Book Antiqua" w:cs="Times New Roman"/>
          <w:sz w:val="19"/>
          <w:szCs w:val="19"/>
          <w:lang w:eastAsia="pt-BR"/>
        </w:rPr>
        <w:t xml:space="preserve">  </w:t>
      </w:r>
      <w:r w:rsidRPr="008262BC">
        <w:rPr>
          <w:rFonts w:ascii="Book Antiqua" w:eastAsia="Times New Roman" w:hAnsi="Book Antiqua" w:cs="Times New Roman"/>
          <w:b/>
          <w:bCs/>
          <w:sz w:val="19"/>
          <w:szCs w:val="19"/>
          <w:lang w:eastAsia="pt-BR"/>
        </w:rPr>
        <w:t>O prazo de vencimento das notas promissórias, contado a partir da data da emissão, será de</w:t>
      </w:r>
      <w:r w:rsidRPr="009A152E">
        <w:rPr>
          <w:rFonts w:ascii="Book Antiqua" w:eastAsia="Times New Roman" w:hAnsi="Book Antiqua" w:cs="Times New Roman"/>
          <w:sz w:val="19"/>
          <w:szCs w:val="19"/>
          <w:lang w:eastAsia="pt-BR"/>
        </w:rPr>
        <w:t xml:space="preserve">: </w:t>
      </w:r>
      <w:r w:rsidR="00DC4B01">
        <w:rPr>
          <w:rFonts w:ascii="Book Antiqua" w:eastAsia="Times New Roman" w:hAnsi="Book Antiqua" w:cs="Times New Roman"/>
          <w:sz w:val="19"/>
          <w:szCs w:val="19"/>
          <w:lang w:eastAsia="pt-BR"/>
        </w:rPr>
        <w:t xml:space="preserve"> (R</w:t>
      </w:r>
      <w:r w:rsidR="00DC4B01" w:rsidRPr="00DC4B01">
        <w:rPr>
          <w:rFonts w:ascii="Book Antiqua" w:eastAsia="Times New Roman" w:hAnsi="Book Antiqua" w:cs="Times New Roman"/>
          <w:sz w:val="19"/>
          <w:szCs w:val="19"/>
          <w:lang w:eastAsia="pt-BR"/>
        </w:rPr>
        <w:t>edação dada pela Instrução CVM nº 292, de 15 de outubro de 1998</w:t>
      </w:r>
      <w:r w:rsidR="00DC4B01">
        <w:rPr>
          <w:rFonts w:ascii="Book Antiqua" w:eastAsia="Times New Roman" w:hAnsi="Book Antiqua" w:cs="Times New Roman"/>
          <w:sz w:val="19"/>
          <w:szCs w:val="19"/>
          <w:lang w:eastAsia="pt-BR"/>
        </w:rPr>
        <w:t>)</w:t>
      </w:r>
      <w:r w:rsidR="008262BC">
        <w:rPr>
          <w:rFonts w:ascii="Book Antiqua" w:eastAsia="Times New Roman" w:hAnsi="Book Antiqua" w:cs="Times New Roman"/>
          <w:sz w:val="19"/>
          <w:szCs w:val="19"/>
          <w:lang w:eastAsia="pt-BR"/>
        </w:rPr>
        <w:t xml:space="preserve"> </w:t>
      </w:r>
      <w:r w:rsidR="008262BC" w:rsidRPr="008262BC">
        <w:rPr>
          <w:rFonts w:ascii="Book Antiqua" w:eastAsia="Times New Roman" w:hAnsi="Book Antiqua" w:cs="Times New Roman"/>
          <w:b/>
          <w:bCs/>
          <w:color w:val="FF0000"/>
          <w:sz w:val="18"/>
          <w:szCs w:val="18"/>
          <w:u w:val="single"/>
          <w:lang w:eastAsia="pt-BR"/>
        </w:rPr>
        <w:t>(T</w:t>
      </w:r>
      <w:r w:rsidR="008262BC">
        <w:rPr>
          <w:rFonts w:ascii="Book Antiqua" w:eastAsia="Times New Roman" w:hAnsi="Book Antiqua" w:cs="Times New Roman"/>
          <w:b/>
          <w:bCs/>
          <w:color w:val="FF0000"/>
          <w:sz w:val="18"/>
          <w:szCs w:val="18"/>
          <w:u w:val="single"/>
          <w:lang w:eastAsia="pt-BR"/>
        </w:rPr>
        <w:t>RF2-</w:t>
      </w:r>
      <w:r w:rsidR="008262BC" w:rsidRPr="008262BC">
        <w:rPr>
          <w:rFonts w:ascii="Book Antiqua" w:eastAsia="Times New Roman" w:hAnsi="Book Antiqua" w:cs="Times New Roman"/>
          <w:b/>
          <w:bCs/>
          <w:color w:val="FF0000"/>
          <w:sz w:val="18"/>
          <w:szCs w:val="18"/>
          <w:u w:val="single"/>
          <w:lang w:eastAsia="pt-BR"/>
        </w:rPr>
        <w:t>20</w:t>
      </w:r>
      <w:r w:rsidR="008262BC">
        <w:rPr>
          <w:rFonts w:ascii="Book Antiqua" w:eastAsia="Times New Roman" w:hAnsi="Book Antiqua" w:cs="Times New Roman"/>
          <w:b/>
          <w:bCs/>
          <w:color w:val="FF0000"/>
          <w:sz w:val="18"/>
          <w:szCs w:val="18"/>
          <w:u w:val="single"/>
          <w:lang w:eastAsia="pt-BR"/>
        </w:rPr>
        <w:t>11</w:t>
      </w:r>
      <w:r w:rsidR="008262BC" w:rsidRPr="008262BC">
        <w:rPr>
          <w:rFonts w:ascii="Book Antiqua" w:eastAsia="Times New Roman" w:hAnsi="Book Antiqua" w:cs="Times New Roman"/>
          <w:b/>
          <w:bCs/>
          <w:color w:val="FF0000"/>
          <w:sz w:val="18"/>
          <w:szCs w:val="18"/>
          <w:u w:val="single"/>
          <w:lang w:eastAsia="pt-BR"/>
        </w:rPr>
        <w:t>)</w:t>
      </w:r>
      <w:r w:rsidR="008262BC" w:rsidRPr="008262BC">
        <w:rPr>
          <w:rFonts w:ascii="Book Antiqua" w:eastAsia="Times New Roman" w:hAnsi="Book Antiqua" w:cs="Times New Roman"/>
          <w:b/>
          <w:bCs/>
          <w:color w:val="FF0000"/>
          <w:sz w:val="18"/>
          <w:szCs w:val="18"/>
          <w:lang w:eastAsia="pt-BR"/>
        </w:rPr>
        <w:t xml:space="preserve"> </w:t>
      </w:r>
      <w:r w:rsidR="008262BC" w:rsidRPr="008262BC">
        <w:rPr>
          <w:rFonts w:ascii="Book Antiqua" w:eastAsia="Times New Roman" w:hAnsi="Book Antiqua" w:cs="Times New Roman"/>
          <w:b/>
          <w:bCs/>
          <w:color w:val="FF0000"/>
          <w:sz w:val="18"/>
          <w:szCs w:val="18"/>
          <w:lang w:eastAsia="pt-BR"/>
        </w:rPr>
        <w:t>(</w:t>
      </w:r>
      <w:r w:rsidR="008262BC" w:rsidRPr="008262BC">
        <w:rPr>
          <w:rFonts w:ascii="Book Antiqua" w:eastAsia="Times New Roman" w:hAnsi="Book Antiqua" w:cs="Times New Roman"/>
          <w:b/>
          <w:bCs/>
          <w:color w:val="FF0000"/>
          <w:sz w:val="18"/>
          <w:szCs w:val="18"/>
          <w:u w:val="single"/>
          <w:lang w:eastAsia="pt-BR"/>
        </w:rPr>
        <w:t>TJPR-2021)</w:t>
      </w:r>
    </w:p>
    <w:p w14:paraId="1CC9BB0B" w14:textId="3917DB7B" w:rsidR="00DC4B01" w:rsidRPr="008262BC" w:rsidRDefault="009A152E" w:rsidP="00DC4B01">
      <w:pPr>
        <w:spacing w:before="200" w:after="200" w:line="240" w:lineRule="auto"/>
        <w:ind w:left="567" w:right="1134" w:firstLine="567"/>
        <w:jc w:val="both"/>
        <w:rPr>
          <w:rFonts w:ascii="Book Antiqua" w:eastAsia="Times New Roman" w:hAnsi="Book Antiqua" w:cs="Times New Roman"/>
          <w:b/>
          <w:bCs/>
          <w:sz w:val="19"/>
          <w:szCs w:val="19"/>
          <w:u w:val="single"/>
          <w:lang w:eastAsia="pt-BR"/>
        </w:rPr>
      </w:pPr>
      <w:r w:rsidRPr="008262BC">
        <w:rPr>
          <w:rFonts w:ascii="Book Antiqua" w:eastAsia="Times New Roman" w:hAnsi="Book Antiqua" w:cs="Times New Roman"/>
          <w:b/>
          <w:bCs/>
          <w:sz w:val="19"/>
          <w:szCs w:val="19"/>
          <w:lang w:eastAsia="pt-BR"/>
        </w:rPr>
        <w:t xml:space="preserve">I - </w:t>
      </w:r>
      <w:r w:rsidRPr="008262BC">
        <w:rPr>
          <w:rFonts w:ascii="Book Antiqua" w:eastAsia="Times New Roman" w:hAnsi="Book Antiqua" w:cs="Times New Roman"/>
          <w:b/>
          <w:bCs/>
          <w:sz w:val="19"/>
          <w:szCs w:val="19"/>
          <w:highlight w:val="cyan"/>
          <w:lang w:eastAsia="pt-BR"/>
        </w:rPr>
        <w:t>trinta dias</w:t>
      </w:r>
      <w:r w:rsidRPr="008262BC">
        <w:rPr>
          <w:rFonts w:ascii="Book Antiqua" w:eastAsia="Times New Roman" w:hAnsi="Book Antiqua" w:cs="Times New Roman"/>
          <w:b/>
          <w:bCs/>
          <w:sz w:val="19"/>
          <w:szCs w:val="19"/>
          <w:lang w:eastAsia="pt-BR"/>
        </w:rPr>
        <w:t xml:space="preserve">, no mínimo, e </w:t>
      </w:r>
      <w:r w:rsidRPr="008262BC">
        <w:rPr>
          <w:rFonts w:ascii="Book Antiqua" w:eastAsia="Times New Roman" w:hAnsi="Book Antiqua" w:cs="Times New Roman"/>
          <w:b/>
          <w:bCs/>
          <w:sz w:val="19"/>
          <w:szCs w:val="19"/>
          <w:highlight w:val="cyan"/>
          <w:lang w:eastAsia="pt-BR"/>
        </w:rPr>
        <w:t>cento e oitenta dias</w:t>
      </w:r>
      <w:r w:rsidRPr="008262BC">
        <w:rPr>
          <w:rFonts w:ascii="Book Antiqua" w:eastAsia="Times New Roman" w:hAnsi="Book Antiqua" w:cs="Times New Roman"/>
          <w:b/>
          <w:bCs/>
          <w:sz w:val="19"/>
          <w:szCs w:val="19"/>
          <w:lang w:eastAsia="pt-BR"/>
        </w:rPr>
        <w:t xml:space="preserve">, no máximo, quando emitidas </w:t>
      </w:r>
      <w:r w:rsidRPr="008262BC">
        <w:rPr>
          <w:rFonts w:ascii="Book Antiqua" w:eastAsia="Times New Roman" w:hAnsi="Book Antiqua" w:cs="Times New Roman"/>
          <w:b/>
          <w:bCs/>
          <w:sz w:val="19"/>
          <w:szCs w:val="19"/>
          <w:highlight w:val="yellow"/>
          <w:lang w:eastAsia="pt-BR"/>
        </w:rPr>
        <w:t>por companhia fechada;</w:t>
      </w:r>
      <w:r w:rsidR="00DC4B01" w:rsidRPr="008262BC">
        <w:rPr>
          <w:rFonts w:ascii="Book Antiqua" w:eastAsia="Times New Roman" w:hAnsi="Book Antiqua" w:cs="Times New Roman"/>
          <w:b/>
          <w:bCs/>
          <w:sz w:val="19"/>
          <w:szCs w:val="19"/>
          <w:lang w:eastAsia="pt-BR"/>
        </w:rPr>
        <w:t xml:space="preserve"> </w:t>
      </w:r>
      <w:r w:rsidR="00DC4B01" w:rsidRPr="008262BC">
        <w:rPr>
          <w:rFonts w:ascii="Book Antiqua" w:eastAsia="Times New Roman" w:hAnsi="Book Antiqua" w:cs="Times New Roman"/>
          <w:sz w:val="19"/>
          <w:szCs w:val="19"/>
          <w:lang w:eastAsia="pt-BR"/>
        </w:rPr>
        <w:t>(Redação dada pela Instrução CVM nº 292, de 15 de outubro de 1998)</w:t>
      </w:r>
      <w:r w:rsidR="008262BC" w:rsidRPr="008262BC">
        <w:rPr>
          <w:rFonts w:ascii="Book Antiqua" w:eastAsia="Times New Roman" w:hAnsi="Book Antiqua" w:cs="Times New Roman"/>
          <w:sz w:val="19"/>
          <w:szCs w:val="19"/>
          <w:lang w:eastAsia="pt-BR"/>
        </w:rPr>
        <w:t xml:space="preserve"> </w:t>
      </w:r>
      <w:r w:rsidR="008262BC" w:rsidRPr="008262BC">
        <w:rPr>
          <w:rFonts w:ascii="Book Antiqua" w:eastAsia="Times New Roman" w:hAnsi="Book Antiqua" w:cs="Times New Roman"/>
          <w:b/>
          <w:bCs/>
          <w:color w:val="FF0000"/>
          <w:sz w:val="18"/>
          <w:szCs w:val="18"/>
          <w:lang w:eastAsia="pt-BR"/>
        </w:rPr>
        <w:t>(</w:t>
      </w:r>
      <w:r w:rsidR="008262BC" w:rsidRPr="008262BC">
        <w:rPr>
          <w:rFonts w:ascii="Book Antiqua" w:eastAsia="Times New Roman" w:hAnsi="Book Antiqua" w:cs="Times New Roman"/>
          <w:b/>
          <w:bCs/>
          <w:color w:val="FF0000"/>
          <w:sz w:val="18"/>
          <w:szCs w:val="18"/>
          <w:u w:val="single"/>
          <w:lang w:eastAsia="pt-BR"/>
        </w:rPr>
        <w:t>T</w:t>
      </w:r>
      <w:r w:rsidR="008262BC">
        <w:rPr>
          <w:rFonts w:ascii="Book Antiqua" w:eastAsia="Times New Roman" w:hAnsi="Book Antiqua" w:cs="Times New Roman"/>
          <w:b/>
          <w:bCs/>
          <w:color w:val="FF0000"/>
          <w:sz w:val="18"/>
          <w:szCs w:val="18"/>
          <w:u w:val="single"/>
          <w:lang w:eastAsia="pt-BR"/>
        </w:rPr>
        <w:t>RF2-</w:t>
      </w:r>
      <w:r w:rsidR="008262BC" w:rsidRPr="008262BC">
        <w:rPr>
          <w:rFonts w:ascii="Book Antiqua" w:eastAsia="Times New Roman" w:hAnsi="Book Antiqua" w:cs="Times New Roman"/>
          <w:b/>
          <w:bCs/>
          <w:color w:val="FF0000"/>
          <w:sz w:val="18"/>
          <w:szCs w:val="18"/>
          <w:u w:val="single"/>
          <w:lang w:eastAsia="pt-BR"/>
        </w:rPr>
        <w:t>20</w:t>
      </w:r>
      <w:r w:rsidR="008262BC">
        <w:rPr>
          <w:rFonts w:ascii="Book Antiqua" w:eastAsia="Times New Roman" w:hAnsi="Book Antiqua" w:cs="Times New Roman"/>
          <w:b/>
          <w:bCs/>
          <w:color w:val="FF0000"/>
          <w:sz w:val="18"/>
          <w:szCs w:val="18"/>
          <w:u w:val="single"/>
          <w:lang w:eastAsia="pt-BR"/>
        </w:rPr>
        <w:t>11</w:t>
      </w:r>
      <w:r w:rsidR="008262BC" w:rsidRPr="008262BC">
        <w:rPr>
          <w:rFonts w:ascii="Book Antiqua" w:eastAsia="Times New Roman" w:hAnsi="Book Antiqua" w:cs="Times New Roman"/>
          <w:b/>
          <w:bCs/>
          <w:color w:val="FF0000"/>
          <w:sz w:val="18"/>
          <w:szCs w:val="18"/>
          <w:u w:val="single"/>
          <w:lang w:eastAsia="pt-BR"/>
        </w:rPr>
        <w:t>)</w:t>
      </w:r>
      <w:r w:rsidR="008262BC" w:rsidRPr="008262BC">
        <w:rPr>
          <w:rFonts w:ascii="Book Antiqua" w:eastAsia="Times New Roman" w:hAnsi="Book Antiqua" w:cs="Times New Roman"/>
          <w:b/>
          <w:bCs/>
          <w:sz w:val="18"/>
          <w:szCs w:val="18"/>
          <w:lang w:eastAsia="pt-BR"/>
        </w:rPr>
        <w:t xml:space="preserve"> </w:t>
      </w:r>
      <w:r w:rsidR="008262BC" w:rsidRPr="008262BC">
        <w:rPr>
          <w:rFonts w:ascii="Book Antiqua" w:eastAsia="Times New Roman" w:hAnsi="Book Antiqua" w:cs="Times New Roman"/>
          <w:b/>
          <w:bCs/>
          <w:color w:val="FF0000"/>
          <w:sz w:val="18"/>
          <w:szCs w:val="18"/>
          <w:u w:val="single"/>
          <w:lang w:eastAsia="pt-BR"/>
        </w:rPr>
        <w:t>(TJPR-2021)</w:t>
      </w:r>
    </w:p>
    <w:p w14:paraId="0565DCA0" w14:textId="2C8AC1B5" w:rsidR="00DC4B01" w:rsidRDefault="009A152E" w:rsidP="00DC4B01">
      <w:pPr>
        <w:spacing w:before="200" w:after="200" w:line="240" w:lineRule="auto"/>
        <w:ind w:left="567" w:right="1134" w:firstLine="567"/>
        <w:jc w:val="both"/>
        <w:rPr>
          <w:rFonts w:ascii="Book Antiqua" w:eastAsia="Times New Roman" w:hAnsi="Book Antiqua" w:cs="Times New Roman"/>
          <w:b/>
          <w:bCs/>
          <w:color w:val="FF0000"/>
          <w:sz w:val="18"/>
          <w:szCs w:val="18"/>
          <w:lang w:eastAsia="pt-BR"/>
        </w:rPr>
      </w:pPr>
      <w:r w:rsidRPr="008262BC">
        <w:rPr>
          <w:rFonts w:ascii="Book Antiqua" w:eastAsia="Times New Roman" w:hAnsi="Book Antiqua" w:cs="Times New Roman"/>
          <w:b/>
          <w:bCs/>
          <w:sz w:val="19"/>
          <w:szCs w:val="19"/>
          <w:lang w:eastAsia="pt-BR"/>
        </w:rPr>
        <w:t xml:space="preserve">II  </w:t>
      </w:r>
      <w:r w:rsidRPr="008262BC">
        <w:rPr>
          <w:rFonts w:ascii="Book Antiqua" w:eastAsia="Times New Roman" w:hAnsi="Book Antiqua" w:cs="Times New Roman"/>
          <w:b/>
          <w:bCs/>
          <w:sz w:val="19"/>
          <w:szCs w:val="19"/>
          <w:highlight w:val="cyan"/>
          <w:lang w:eastAsia="pt-BR"/>
        </w:rPr>
        <w:t>trinta dias</w:t>
      </w:r>
      <w:r w:rsidRPr="008262BC">
        <w:rPr>
          <w:rFonts w:ascii="Book Antiqua" w:eastAsia="Times New Roman" w:hAnsi="Book Antiqua" w:cs="Times New Roman"/>
          <w:b/>
          <w:bCs/>
          <w:sz w:val="19"/>
          <w:szCs w:val="19"/>
          <w:lang w:eastAsia="pt-BR"/>
        </w:rPr>
        <w:t xml:space="preserve">, no mínimo, e </w:t>
      </w:r>
      <w:r w:rsidRPr="008262BC">
        <w:rPr>
          <w:rFonts w:ascii="Book Antiqua" w:eastAsia="Times New Roman" w:hAnsi="Book Antiqua" w:cs="Times New Roman"/>
          <w:b/>
          <w:bCs/>
          <w:sz w:val="19"/>
          <w:szCs w:val="19"/>
          <w:highlight w:val="cyan"/>
          <w:lang w:eastAsia="pt-BR"/>
        </w:rPr>
        <w:t>trezentos e sessenta dias</w:t>
      </w:r>
      <w:r w:rsidRPr="008262BC">
        <w:rPr>
          <w:rFonts w:ascii="Book Antiqua" w:eastAsia="Times New Roman" w:hAnsi="Book Antiqua" w:cs="Times New Roman"/>
          <w:b/>
          <w:bCs/>
          <w:sz w:val="19"/>
          <w:szCs w:val="19"/>
          <w:lang w:eastAsia="pt-BR"/>
        </w:rPr>
        <w:t>, no máximo, na hipótese de emissão por companhia aberta</w:t>
      </w:r>
      <w:r w:rsidRPr="008262BC">
        <w:rPr>
          <w:rFonts w:ascii="Book Antiqua" w:eastAsia="Times New Roman" w:hAnsi="Book Antiqua" w:cs="Times New Roman"/>
          <w:sz w:val="19"/>
          <w:szCs w:val="19"/>
          <w:lang w:eastAsia="pt-BR"/>
        </w:rPr>
        <w:t>.</w:t>
      </w:r>
      <w:r w:rsidR="00DC4B01" w:rsidRPr="008262BC">
        <w:rPr>
          <w:rFonts w:ascii="Book Antiqua" w:eastAsia="Times New Roman" w:hAnsi="Book Antiqua" w:cs="Times New Roman"/>
          <w:sz w:val="19"/>
          <w:szCs w:val="19"/>
          <w:lang w:eastAsia="pt-BR"/>
        </w:rPr>
        <w:t xml:space="preserve"> (Redação dada pela Instrução CVM nº 292, de 15 de outubro de 1998)</w:t>
      </w:r>
      <w:r w:rsidR="00B86DD6">
        <w:rPr>
          <w:rFonts w:ascii="Book Antiqua" w:eastAsia="Times New Roman" w:hAnsi="Book Antiqua" w:cs="Times New Roman"/>
          <w:sz w:val="19"/>
          <w:szCs w:val="19"/>
          <w:lang w:eastAsia="pt-BR"/>
        </w:rPr>
        <w:t xml:space="preserve"> </w:t>
      </w:r>
      <w:r w:rsidR="00B86DD6" w:rsidRPr="008262BC">
        <w:rPr>
          <w:rFonts w:ascii="Book Antiqua" w:eastAsia="Times New Roman" w:hAnsi="Book Antiqua" w:cs="Times New Roman"/>
          <w:b/>
          <w:bCs/>
          <w:color w:val="FF0000"/>
          <w:sz w:val="18"/>
          <w:szCs w:val="18"/>
          <w:u w:val="single"/>
          <w:lang w:eastAsia="pt-BR"/>
        </w:rPr>
        <w:t>(T</w:t>
      </w:r>
      <w:r w:rsidR="00B86DD6">
        <w:rPr>
          <w:rFonts w:ascii="Book Antiqua" w:eastAsia="Times New Roman" w:hAnsi="Book Antiqua" w:cs="Times New Roman"/>
          <w:b/>
          <w:bCs/>
          <w:color w:val="FF0000"/>
          <w:sz w:val="18"/>
          <w:szCs w:val="18"/>
          <w:u w:val="single"/>
          <w:lang w:eastAsia="pt-BR"/>
        </w:rPr>
        <w:t>RF2-</w:t>
      </w:r>
      <w:r w:rsidR="00B86DD6" w:rsidRPr="008262BC">
        <w:rPr>
          <w:rFonts w:ascii="Book Antiqua" w:eastAsia="Times New Roman" w:hAnsi="Book Antiqua" w:cs="Times New Roman"/>
          <w:b/>
          <w:bCs/>
          <w:color w:val="FF0000"/>
          <w:sz w:val="18"/>
          <w:szCs w:val="18"/>
          <w:u w:val="single"/>
          <w:lang w:eastAsia="pt-BR"/>
        </w:rPr>
        <w:t>20</w:t>
      </w:r>
      <w:r w:rsidR="00B86DD6">
        <w:rPr>
          <w:rFonts w:ascii="Book Antiqua" w:eastAsia="Times New Roman" w:hAnsi="Book Antiqua" w:cs="Times New Roman"/>
          <w:b/>
          <w:bCs/>
          <w:color w:val="FF0000"/>
          <w:sz w:val="18"/>
          <w:szCs w:val="18"/>
          <w:u w:val="single"/>
          <w:lang w:eastAsia="pt-BR"/>
        </w:rPr>
        <w:t>11</w:t>
      </w:r>
      <w:r w:rsidR="00B86DD6" w:rsidRPr="008262BC">
        <w:rPr>
          <w:rFonts w:ascii="Book Antiqua" w:eastAsia="Times New Roman" w:hAnsi="Book Antiqua" w:cs="Times New Roman"/>
          <w:b/>
          <w:bCs/>
          <w:color w:val="FF0000"/>
          <w:sz w:val="18"/>
          <w:szCs w:val="18"/>
          <w:u w:val="single"/>
          <w:lang w:eastAsia="pt-BR"/>
        </w:rPr>
        <w:t>)</w:t>
      </w:r>
      <w:r w:rsidR="008262BC">
        <w:rPr>
          <w:rFonts w:ascii="Book Antiqua" w:eastAsia="Times New Roman" w:hAnsi="Book Antiqua" w:cs="Times New Roman"/>
          <w:sz w:val="19"/>
          <w:szCs w:val="19"/>
          <w:lang w:eastAsia="pt-BR"/>
        </w:rPr>
        <w:t xml:space="preserve"> </w:t>
      </w:r>
      <w:r w:rsidR="008262BC" w:rsidRPr="008262BC">
        <w:rPr>
          <w:rFonts w:ascii="Book Antiqua" w:eastAsia="Times New Roman" w:hAnsi="Book Antiqua" w:cs="Times New Roman"/>
          <w:b/>
          <w:bCs/>
          <w:color w:val="FF0000"/>
          <w:sz w:val="18"/>
          <w:szCs w:val="18"/>
          <w:u w:val="single"/>
          <w:lang w:eastAsia="pt-BR"/>
        </w:rPr>
        <w:t>(TJPR-2021)</w:t>
      </w:r>
    </w:p>
    <w:tbl>
      <w:tblPr>
        <w:tblStyle w:val="Tabelacomgrade"/>
        <w:tblW w:w="0" w:type="auto"/>
        <w:tblInd w:w="567" w:type="dxa"/>
        <w:tblLook w:val="04A0" w:firstRow="1" w:lastRow="0" w:firstColumn="1" w:lastColumn="0" w:noHBand="0" w:noVBand="1"/>
      </w:tblPr>
      <w:tblGrid>
        <w:gridCol w:w="8500"/>
      </w:tblGrid>
      <w:tr w:rsidR="00B86DD6" w14:paraId="45A1F56F" w14:textId="77777777" w:rsidTr="00941216">
        <w:tc>
          <w:tcPr>
            <w:tcW w:w="8500" w:type="dxa"/>
            <w:shd w:val="clear" w:color="auto" w:fill="CCFFFF"/>
          </w:tcPr>
          <w:p w14:paraId="114CAD53" w14:textId="741F27FD" w:rsidR="00B86DD6" w:rsidRPr="008262BC" w:rsidRDefault="00B86DD6" w:rsidP="0094121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262BC">
              <w:rPr>
                <w:rFonts w:ascii="Book Antiqua" w:eastAsia="Times New Roman" w:hAnsi="Book Antiqua" w:cs="Times New Roman"/>
                <w:b/>
                <w:bCs/>
                <w:sz w:val="19"/>
                <w:szCs w:val="19"/>
                <w:highlight w:val="yellow"/>
                <w:lang w:eastAsia="pt-BR"/>
              </w:rPr>
              <w:t>TJPR-2021-FGV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62BC">
              <w:rPr>
                <w:rFonts w:ascii="Book Antiqua" w:eastAsia="Times New Roman" w:hAnsi="Book Antiqua" w:cs="Times New Roman"/>
                <w:sz w:val="19"/>
                <w:szCs w:val="19"/>
                <w:lang w:eastAsia="pt-BR"/>
              </w:rPr>
              <w:t xml:space="preserve">Quanto ao </w:t>
            </w:r>
            <w:proofErr w:type="spellStart"/>
            <w:r w:rsidRPr="008262BC">
              <w:rPr>
                <w:rFonts w:ascii="Book Antiqua" w:eastAsia="Times New Roman" w:hAnsi="Book Antiqua" w:cs="Times New Roman"/>
                <w:i/>
                <w:iCs/>
                <w:sz w:val="19"/>
                <w:szCs w:val="19"/>
                <w:lang w:eastAsia="pt-BR"/>
              </w:rPr>
              <w:t>commercial</w:t>
            </w:r>
            <w:proofErr w:type="spellEnd"/>
            <w:r w:rsidRPr="008262BC">
              <w:rPr>
                <w:rFonts w:ascii="Book Antiqua" w:eastAsia="Times New Roman" w:hAnsi="Book Antiqua" w:cs="Times New Roman"/>
                <w:i/>
                <w:iCs/>
                <w:sz w:val="19"/>
                <w:szCs w:val="19"/>
                <w:lang w:eastAsia="pt-BR"/>
              </w:rPr>
              <w:t xml:space="preserve"> </w:t>
            </w:r>
            <w:proofErr w:type="spellStart"/>
            <w:r w:rsidRPr="008262BC">
              <w:rPr>
                <w:rFonts w:ascii="Book Antiqua" w:eastAsia="Times New Roman" w:hAnsi="Book Antiqua" w:cs="Times New Roman"/>
                <w:i/>
                <w:iCs/>
                <w:sz w:val="19"/>
                <w:szCs w:val="19"/>
                <w:lang w:eastAsia="pt-BR"/>
              </w:rPr>
              <w:t>paper</w:t>
            </w:r>
            <w:proofErr w:type="spellEnd"/>
            <w:r w:rsidRPr="008262BC">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8262BC">
              <w:rPr>
                <w:rFonts w:ascii="Book Antiqua" w:eastAsia="Times New Roman" w:hAnsi="Book Antiqua" w:cs="Times New Roman"/>
                <w:sz w:val="19"/>
                <w:szCs w:val="19"/>
                <w:lang w:eastAsia="pt-BR"/>
              </w:rPr>
              <w:t xml:space="preserve"> afirmar que:</w:t>
            </w:r>
            <w:r>
              <w:t xml:space="preserve"> </w:t>
            </w:r>
            <w:r w:rsidRPr="00B86DD6">
              <w:rPr>
                <w:rFonts w:ascii="Book Antiqua" w:eastAsia="Times New Roman" w:hAnsi="Book Antiqua" w:cs="Times New Roman"/>
                <w:sz w:val="19"/>
                <w:szCs w:val="19"/>
                <w:lang w:eastAsia="pt-BR"/>
              </w:rPr>
              <w:t xml:space="preserve">o </w:t>
            </w:r>
            <w:proofErr w:type="spellStart"/>
            <w:r w:rsidRPr="00B86DD6">
              <w:rPr>
                <w:rFonts w:ascii="Book Antiqua" w:eastAsia="Times New Roman" w:hAnsi="Book Antiqua" w:cs="Times New Roman"/>
                <w:i/>
                <w:iCs/>
                <w:sz w:val="19"/>
                <w:szCs w:val="19"/>
                <w:lang w:eastAsia="pt-BR"/>
              </w:rPr>
              <w:t>commercial</w:t>
            </w:r>
            <w:proofErr w:type="spellEnd"/>
            <w:r w:rsidRPr="00B86DD6">
              <w:rPr>
                <w:rFonts w:ascii="Book Antiqua" w:eastAsia="Times New Roman" w:hAnsi="Book Antiqua" w:cs="Times New Roman"/>
                <w:i/>
                <w:iCs/>
                <w:sz w:val="19"/>
                <w:szCs w:val="19"/>
                <w:lang w:eastAsia="pt-BR"/>
              </w:rPr>
              <w:t xml:space="preserve"> </w:t>
            </w:r>
            <w:proofErr w:type="spellStart"/>
            <w:r w:rsidRPr="00B86DD6">
              <w:rPr>
                <w:rFonts w:ascii="Book Antiqua" w:eastAsia="Times New Roman" w:hAnsi="Book Antiqua" w:cs="Times New Roman"/>
                <w:i/>
                <w:iCs/>
                <w:sz w:val="19"/>
                <w:szCs w:val="19"/>
                <w:lang w:eastAsia="pt-BR"/>
              </w:rPr>
              <w:t>paper</w:t>
            </w:r>
            <w:proofErr w:type="spellEnd"/>
            <w:r w:rsidRPr="00B86DD6">
              <w:rPr>
                <w:rFonts w:ascii="Book Antiqua" w:eastAsia="Times New Roman" w:hAnsi="Book Antiqua" w:cs="Times New Roman"/>
                <w:sz w:val="19"/>
                <w:szCs w:val="19"/>
                <w:lang w:eastAsia="pt-BR"/>
              </w:rPr>
              <w:t xml:space="preserve"> é uma nota promissória emitida para distribuição pública no mercado de valores mobiliários com prazo de vencimento de até trezentos e sessenta dias a contar da data de sua emissão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7</w:t>
            </w:r>
            <w:r>
              <w:rPr>
                <w:rFonts w:ascii="Book Antiqua" w:eastAsia="Times New Roman" w:hAnsi="Book Antiqua" w:cs="Times New Roman"/>
                <w:b/>
                <w:bCs/>
                <w:sz w:val="19"/>
                <w:szCs w:val="19"/>
                <w:lang w:eastAsia="pt-BR"/>
              </w:rPr>
              <w:t>º,</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IN 134, CVM.</w:t>
            </w:r>
          </w:p>
        </w:tc>
      </w:tr>
    </w:tbl>
    <w:p w14:paraId="556920BD" w14:textId="3D17F41B"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§1º  Na data de vencimento, a nota promissória deve ser liquidada.</w:t>
      </w:r>
      <w:r w:rsidR="00DC4B01">
        <w:rPr>
          <w:rFonts w:ascii="Book Antiqua" w:eastAsia="Times New Roman" w:hAnsi="Book Antiqua" w:cs="Times New Roman"/>
          <w:sz w:val="19"/>
          <w:szCs w:val="19"/>
          <w:lang w:eastAsia="pt-BR"/>
        </w:rPr>
        <w:t xml:space="preserve"> (R</w:t>
      </w:r>
      <w:r w:rsidR="00DC4B01" w:rsidRPr="00DC4B01">
        <w:rPr>
          <w:rFonts w:ascii="Book Antiqua" w:eastAsia="Times New Roman" w:hAnsi="Book Antiqua" w:cs="Times New Roman"/>
          <w:sz w:val="19"/>
          <w:szCs w:val="19"/>
          <w:lang w:eastAsia="pt-BR"/>
        </w:rPr>
        <w:t>edação dada pela Instrução CVM nº 292, de 15 de outubro de 1998</w:t>
      </w:r>
      <w:r w:rsidR="00DC4B01">
        <w:rPr>
          <w:rFonts w:ascii="Book Antiqua" w:eastAsia="Times New Roman" w:hAnsi="Book Antiqua" w:cs="Times New Roman"/>
          <w:sz w:val="19"/>
          <w:szCs w:val="19"/>
          <w:lang w:eastAsia="pt-BR"/>
        </w:rPr>
        <w:t>)</w:t>
      </w:r>
    </w:p>
    <w:p w14:paraId="3D19E66D" w14:textId="5C3A1B1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b/>
          <w:bCs/>
          <w:sz w:val="19"/>
          <w:szCs w:val="19"/>
          <w:highlight w:val="magenta"/>
          <w:lang w:eastAsia="pt-BR"/>
        </w:rPr>
        <w:lastRenderedPageBreak/>
        <w:t>§2º</w:t>
      </w:r>
      <w:r w:rsidRPr="009A152E">
        <w:rPr>
          <w:rFonts w:ascii="Book Antiqua" w:eastAsia="Times New Roman" w:hAnsi="Book Antiqua" w:cs="Times New Roman"/>
          <w:sz w:val="19"/>
          <w:szCs w:val="19"/>
          <w:lang w:eastAsia="pt-BR"/>
        </w:rPr>
        <w:t xml:space="preserve">  </w:t>
      </w:r>
      <w:r w:rsidRPr="00B86DD6">
        <w:rPr>
          <w:rFonts w:ascii="Book Antiqua" w:eastAsia="Times New Roman" w:hAnsi="Book Antiqua" w:cs="Times New Roman"/>
          <w:b/>
          <w:bCs/>
          <w:sz w:val="19"/>
          <w:szCs w:val="19"/>
          <w:lang w:eastAsia="pt-BR"/>
        </w:rPr>
        <w:t>A emissora pode, havendo anuência expressa do titular, resgatar antecipadamente as notas promissórias</w:t>
      </w:r>
      <w:r w:rsidRPr="009A152E">
        <w:rPr>
          <w:rFonts w:ascii="Book Antiqua" w:eastAsia="Times New Roman" w:hAnsi="Book Antiqua" w:cs="Times New Roman"/>
          <w:sz w:val="19"/>
          <w:szCs w:val="19"/>
          <w:lang w:eastAsia="pt-BR"/>
        </w:rPr>
        <w:t>.</w:t>
      </w:r>
      <w:r w:rsidR="00DC4B01">
        <w:rPr>
          <w:rFonts w:ascii="Book Antiqua" w:eastAsia="Times New Roman" w:hAnsi="Book Antiqua" w:cs="Times New Roman"/>
          <w:sz w:val="19"/>
          <w:szCs w:val="19"/>
          <w:lang w:eastAsia="pt-BR"/>
        </w:rPr>
        <w:t xml:space="preserve"> (R</w:t>
      </w:r>
      <w:r w:rsidR="00DC4B01" w:rsidRPr="00DC4B01">
        <w:rPr>
          <w:rFonts w:ascii="Book Antiqua" w:eastAsia="Times New Roman" w:hAnsi="Book Antiqua" w:cs="Times New Roman"/>
          <w:sz w:val="19"/>
          <w:szCs w:val="19"/>
          <w:lang w:eastAsia="pt-BR"/>
        </w:rPr>
        <w:t>edação dada pela Instrução CVM nº 292, de 15 de outubro de 1998</w:t>
      </w:r>
      <w:r w:rsidR="00DC4B01">
        <w:rPr>
          <w:rFonts w:ascii="Book Antiqua" w:eastAsia="Times New Roman" w:hAnsi="Book Antiqua" w:cs="Times New Roman"/>
          <w:sz w:val="19"/>
          <w:szCs w:val="19"/>
          <w:lang w:eastAsia="pt-BR"/>
        </w:rPr>
        <w:t>)</w:t>
      </w:r>
      <w:r w:rsidR="00B86DD6">
        <w:rPr>
          <w:rFonts w:ascii="Book Antiqua" w:eastAsia="Times New Roman" w:hAnsi="Book Antiqua" w:cs="Times New Roman"/>
          <w:sz w:val="19"/>
          <w:szCs w:val="19"/>
          <w:lang w:eastAsia="pt-BR"/>
        </w:rPr>
        <w:t xml:space="preserve"> </w:t>
      </w:r>
      <w:r w:rsidR="00B86DD6" w:rsidRPr="008262BC">
        <w:rPr>
          <w:rFonts w:ascii="Book Antiqua" w:eastAsia="Times New Roman" w:hAnsi="Book Antiqua" w:cs="Times New Roman"/>
          <w:b/>
          <w:bCs/>
          <w:color w:val="FF0000"/>
          <w:sz w:val="18"/>
          <w:szCs w:val="18"/>
          <w:u w:val="single"/>
          <w:lang w:eastAsia="pt-BR"/>
        </w:rPr>
        <w:t>(T</w:t>
      </w:r>
      <w:r w:rsidR="00B86DD6">
        <w:rPr>
          <w:rFonts w:ascii="Book Antiqua" w:eastAsia="Times New Roman" w:hAnsi="Book Antiqua" w:cs="Times New Roman"/>
          <w:b/>
          <w:bCs/>
          <w:color w:val="FF0000"/>
          <w:sz w:val="18"/>
          <w:szCs w:val="18"/>
          <w:u w:val="single"/>
          <w:lang w:eastAsia="pt-BR"/>
        </w:rPr>
        <w:t>RF2-</w:t>
      </w:r>
      <w:r w:rsidR="00B86DD6" w:rsidRPr="008262BC">
        <w:rPr>
          <w:rFonts w:ascii="Book Antiqua" w:eastAsia="Times New Roman" w:hAnsi="Book Antiqua" w:cs="Times New Roman"/>
          <w:b/>
          <w:bCs/>
          <w:color w:val="FF0000"/>
          <w:sz w:val="18"/>
          <w:szCs w:val="18"/>
          <w:u w:val="single"/>
          <w:lang w:eastAsia="pt-BR"/>
        </w:rPr>
        <w:t>20</w:t>
      </w:r>
      <w:r w:rsidR="00B86DD6">
        <w:rPr>
          <w:rFonts w:ascii="Book Antiqua" w:eastAsia="Times New Roman" w:hAnsi="Book Antiqua" w:cs="Times New Roman"/>
          <w:b/>
          <w:bCs/>
          <w:color w:val="FF0000"/>
          <w:sz w:val="18"/>
          <w:szCs w:val="18"/>
          <w:u w:val="single"/>
          <w:lang w:eastAsia="pt-BR"/>
        </w:rPr>
        <w:t>11</w:t>
      </w:r>
      <w:r w:rsidR="00B86DD6" w:rsidRPr="008262BC">
        <w:rPr>
          <w:rFonts w:ascii="Book Antiqua" w:eastAsia="Times New Roman" w:hAnsi="Book Antiqua" w:cs="Times New Roman"/>
          <w:b/>
          <w:bCs/>
          <w:color w:val="FF0000"/>
          <w:sz w:val="18"/>
          <w:szCs w:val="18"/>
          <w:u w:val="single"/>
          <w:lang w:eastAsia="pt-BR"/>
        </w:rPr>
        <w:t>)</w:t>
      </w:r>
    </w:p>
    <w:p w14:paraId="25A9AF6D" w14:textId="55F04EE2"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§3º  O resgate da nota promissória implica a extinção do título, vedada sua manutenção em tesouraria.</w:t>
      </w:r>
      <w:r w:rsidR="00DC4B01">
        <w:rPr>
          <w:rFonts w:ascii="Book Antiqua" w:eastAsia="Times New Roman" w:hAnsi="Book Antiqua" w:cs="Times New Roman"/>
          <w:sz w:val="19"/>
          <w:szCs w:val="19"/>
          <w:lang w:eastAsia="pt-BR"/>
        </w:rPr>
        <w:t xml:space="preserve"> (R</w:t>
      </w:r>
      <w:r w:rsidR="00DC4B01" w:rsidRPr="00DC4B01">
        <w:rPr>
          <w:rFonts w:ascii="Book Antiqua" w:eastAsia="Times New Roman" w:hAnsi="Book Antiqua" w:cs="Times New Roman"/>
          <w:sz w:val="19"/>
          <w:szCs w:val="19"/>
          <w:lang w:eastAsia="pt-BR"/>
        </w:rPr>
        <w:t>edação dada pela Instrução CVM nº 292, de 15 de outubro de 1998</w:t>
      </w:r>
      <w:r w:rsidR="00DC4B01">
        <w:rPr>
          <w:rFonts w:ascii="Book Antiqua" w:eastAsia="Times New Roman" w:hAnsi="Book Antiqua" w:cs="Times New Roman"/>
          <w:sz w:val="19"/>
          <w:szCs w:val="19"/>
          <w:lang w:eastAsia="pt-BR"/>
        </w:rPr>
        <w:t>)</w:t>
      </w:r>
    </w:p>
    <w:p w14:paraId="79BBBB8A" w14:textId="5476698D" w:rsidR="009A152E" w:rsidRDefault="009A152E" w:rsidP="00DC4B01">
      <w:pPr>
        <w:spacing w:before="100" w:beforeAutospacing="1" w:after="100" w:afterAutospacing="1"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b/>
          <w:bCs/>
          <w:sz w:val="19"/>
          <w:szCs w:val="19"/>
          <w:highlight w:val="magenta"/>
          <w:lang w:eastAsia="pt-BR"/>
        </w:rPr>
        <w:t>§4º</w:t>
      </w:r>
      <w:r w:rsidRPr="009A152E">
        <w:rPr>
          <w:rFonts w:ascii="Book Antiqua" w:eastAsia="Times New Roman" w:hAnsi="Book Antiqua" w:cs="Times New Roman"/>
          <w:b/>
          <w:bCs/>
          <w:sz w:val="19"/>
          <w:szCs w:val="19"/>
          <w:lang w:eastAsia="pt-BR"/>
        </w:rPr>
        <w:t xml:space="preserve"> </w:t>
      </w:r>
      <w:r w:rsidRPr="009A152E">
        <w:rPr>
          <w:rFonts w:ascii="Book Antiqua" w:eastAsia="Times New Roman" w:hAnsi="Book Antiqua" w:cs="Times New Roman"/>
          <w:sz w:val="19"/>
          <w:szCs w:val="19"/>
          <w:lang w:eastAsia="pt-BR"/>
        </w:rPr>
        <w:t xml:space="preserve"> </w:t>
      </w:r>
      <w:r w:rsidRPr="00B86DD6">
        <w:rPr>
          <w:rFonts w:ascii="Book Antiqua" w:eastAsia="Times New Roman" w:hAnsi="Book Antiqua" w:cs="Times New Roman"/>
          <w:b/>
          <w:bCs/>
          <w:sz w:val="19"/>
          <w:szCs w:val="19"/>
          <w:lang w:eastAsia="pt-BR"/>
        </w:rPr>
        <w:t>O resgate parcial deve ser efetivado mediante sorteio ou leilão, observado o prazo mínimo deste artigo</w:t>
      </w:r>
      <w:r w:rsidRPr="009A152E">
        <w:rPr>
          <w:rFonts w:ascii="Book Antiqua" w:eastAsia="Times New Roman" w:hAnsi="Book Antiqua" w:cs="Times New Roman"/>
          <w:sz w:val="19"/>
          <w:szCs w:val="19"/>
          <w:lang w:eastAsia="pt-BR"/>
        </w:rPr>
        <w:t>.</w:t>
      </w:r>
      <w:r w:rsidR="00DC4B01">
        <w:rPr>
          <w:rFonts w:ascii="Book Antiqua" w:eastAsia="Times New Roman" w:hAnsi="Book Antiqua" w:cs="Times New Roman"/>
          <w:sz w:val="19"/>
          <w:szCs w:val="19"/>
          <w:lang w:eastAsia="pt-BR"/>
        </w:rPr>
        <w:t xml:space="preserve"> (R</w:t>
      </w:r>
      <w:r w:rsidR="00DC4B01" w:rsidRPr="00DC4B01">
        <w:rPr>
          <w:rFonts w:ascii="Book Antiqua" w:eastAsia="Times New Roman" w:hAnsi="Book Antiqua" w:cs="Times New Roman"/>
          <w:sz w:val="19"/>
          <w:szCs w:val="19"/>
          <w:lang w:eastAsia="pt-BR"/>
        </w:rPr>
        <w:t>edação dada pela Instrução CVM nº 292, de 15 de outubro de 1998</w:t>
      </w:r>
      <w:r w:rsidR="00DC4B01">
        <w:rPr>
          <w:rFonts w:ascii="Book Antiqua" w:eastAsia="Times New Roman" w:hAnsi="Book Antiqua" w:cs="Times New Roman"/>
          <w:sz w:val="19"/>
          <w:szCs w:val="19"/>
          <w:lang w:eastAsia="pt-BR"/>
        </w:rPr>
        <w:t>)</w:t>
      </w:r>
      <w:r w:rsidR="00B86DD6">
        <w:rPr>
          <w:rFonts w:ascii="Book Antiqua" w:eastAsia="Times New Roman" w:hAnsi="Book Antiqua" w:cs="Times New Roman"/>
          <w:sz w:val="19"/>
          <w:szCs w:val="19"/>
          <w:lang w:eastAsia="pt-BR"/>
        </w:rPr>
        <w:t xml:space="preserve"> </w:t>
      </w:r>
      <w:r w:rsidR="00B86DD6" w:rsidRPr="008262BC">
        <w:rPr>
          <w:rFonts w:ascii="Book Antiqua" w:eastAsia="Times New Roman" w:hAnsi="Book Antiqua" w:cs="Times New Roman"/>
          <w:b/>
          <w:bCs/>
          <w:color w:val="FF0000"/>
          <w:sz w:val="18"/>
          <w:szCs w:val="18"/>
          <w:u w:val="single"/>
          <w:lang w:eastAsia="pt-BR"/>
        </w:rPr>
        <w:t>(T</w:t>
      </w:r>
      <w:r w:rsidR="00B86DD6">
        <w:rPr>
          <w:rFonts w:ascii="Book Antiqua" w:eastAsia="Times New Roman" w:hAnsi="Book Antiqua" w:cs="Times New Roman"/>
          <w:b/>
          <w:bCs/>
          <w:color w:val="FF0000"/>
          <w:sz w:val="18"/>
          <w:szCs w:val="18"/>
          <w:u w:val="single"/>
          <w:lang w:eastAsia="pt-BR"/>
        </w:rPr>
        <w:t>RF2-</w:t>
      </w:r>
      <w:r w:rsidR="00B86DD6" w:rsidRPr="008262BC">
        <w:rPr>
          <w:rFonts w:ascii="Book Antiqua" w:eastAsia="Times New Roman" w:hAnsi="Book Antiqua" w:cs="Times New Roman"/>
          <w:b/>
          <w:bCs/>
          <w:color w:val="FF0000"/>
          <w:sz w:val="18"/>
          <w:szCs w:val="18"/>
          <w:u w:val="single"/>
          <w:lang w:eastAsia="pt-BR"/>
        </w:rPr>
        <w:t>20</w:t>
      </w:r>
      <w:r w:rsidR="00B86DD6">
        <w:rPr>
          <w:rFonts w:ascii="Book Antiqua" w:eastAsia="Times New Roman" w:hAnsi="Book Antiqua" w:cs="Times New Roman"/>
          <w:b/>
          <w:bCs/>
          <w:color w:val="FF0000"/>
          <w:sz w:val="18"/>
          <w:szCs w:val="18"/>
          <w:u w:val="single"/>
          <w:lang w:eastAsia="pt-BR"/>
        </w:rPr>
        <w:t>11</w:t>
      </w:r>
      <w:r w:rsidR="00B86DD6" w:rsidRPr="008262BC">
        <w:rPr>
          <w:rFonts w:ascii="Book Antiqua" w:eastAsia="Times New Roman" w:hAnsi="Book Antiqua" w:cs="Times New Roman"/>
          <w:b/>
          <w:bCs/>
          <w:color w:val="FF0000"/>
          <w:sz w:val="18"/>
          <w:szCs w:val="18"/>
          <w:u w:val="single"/>
          <w:lang w:eastAsia="pt-BR"/>
        </w:rPr>
        <w:t>)</w:t>
      </w:r>
    </w:p>
    <w:tbl>
      <w:tblPr>
        <w:tblStyle w:val="Tabelacomgrade"/>
        <w:tblW w:w="0" w:type="auto"/>
        <w:tblInd w:w="567" w:type="dxa"/>
        <w:shd w:val="clear" w:color="auto" w:fill="CCFFFF"/>
        <w:tblLook w:val="04A0" w:firstRow="1" w:lastRow="0" w:firstColumn="1" w:lastColumn="0" w:noHBand="0" w:noVBand="1"/>
      </w:tblPr>
      <w:tblGrid>
        <w:gridCol w:w="8500"/>
      </w:tblGrid>
      <w:tr w:rsidR="00DC4B01" w14:paraId="1858D3D4" w14:textId="77777777" w:rsidTr="00DC4B01">
        <w:tc>
          <w:tcPr>
            <w:tcW w:w="8500" w:type="dxa"/>
            <w:shd w:val="clear" w:color="auto" w:fill="CCFFFF"/>
          </w:tcPr>
          <w:p w14:paraId="3FF70C3D" w14:textId="77777777" w:rsidR="00DC4B01" w:rsidRDefault="00DC4B01" w:rsidP="00DC4B01">
            <w:pPr>
              <w:jc w:val="both"/>
              <w:rPr>
                <w:rFonts w:ascii="Book Antiqua" w:eastAsia="Times New Roman" w:hAnsi="Book Antiqua" w:cs="Times New Roman"/>
                <w:b/>
                <w:bCs/>
                <w:sz w:val="21"/>
                <w:szCs w:val="21"/>
                <w:lang w:eastAsia="pt-BR"/>
              </w:rPr>
            </w:pPr>
            <w:r>
              <w:rPr>
                <w:rFonts w:ascii="Book Antiqua" w:eastAsia="Times New Roman" w:hAnsi="Book Antiqua" w:cs="Times New Roman"/>
                <w:b/>
                <w:bCs/>
                <w:sz w:val="19"/>
                <w:szCs w:val="19"/>
                <w:lang w:eastAsia="pt-BR"/>
              </w:rPr>
              <w:t>(</w:t>
            </w:r>
            <w:r w:rsidRPr="00DC4B01">
              <w:rPr>
                <w:rFonts w:ascii="Book Antiqua" w:eastAsia="Times New Roman" w:hAnsi="Book Antiqua" w:cs="Times New Roman"/>
                <w:b/>
                <w:bCs/>
                <w:sz w:val="19"/>
                <w:szCs w:val="19"/>
                <w:highlight w:val="yellow"/>
                <w:lang w:eastAsia="pt-BR"/>
              </w:rPr>
              <w:t>TRF2-2011-CESPE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C4B01">
              <w:rPr>
                <w:rFonts w:ascii="Book Antiqua" w:eastAsia="Times New Roman" w:hAnsi="Book Antiqua" w:cs="Times New Roman"/>
                <w:sz w:val="19"/>
                <w:szCs w:val="19"/>
                <w:lang w:eastAsia="pt-BR"/>
              </w:rPr>
              <w:t>O modelo da sociedade anônima foi concebido originalmente para viabilizar grandes empreendimentos, constituindo instrumento próprio para a captação de recursos perante número expressivo de investidores. Com relação a esse tipo de sociedade, assinale a opção correta</w:t>
            </w:r>
            <w:r>
              <w:rPr>
                <w:rFonts w:ascii="Book Antiqua" w:eastAsia="Times New Roman" w:hAnsi="Book Antiqua" w:cs="Times New Roman"/>
                <w:sz w:val="19"/>
                <w:szCs w:val="19"/>
                <w:lang w:eastAsia="pt-BR"/>
              </w:rPr>
              <w:t xml:space="preserve">: </w:t>
            </w:r>
            <w:r w:rsidRPr="00DC4B01">
              <w:rPr>
                <w:rFonts w:ascii="Book Antiqua" w:eastAsia="Times New Roman" w:hAnsi="Book Antiqua" w:cs="Times New Roman"/>
                <w:sz w:val="19"/>
                <w:szCs w:val="19"/>
                <w:lang w:eastAsia="pt-BR"/>
              </w:rPr>
              <w:t xml:space="preserve">O </w:t>
            </w:r>
            <w:proofErr w:type="spellStart"/>
            <w:r w:rsidRPr="00DC4B01">
              <w:rPr>
                <w:rFonts w:ascii="Book Antiqua" w:eastAsia="Times New Roman" w:hAnsi="Book Antiqua" w:cs="Times New Roman"/>
                <w:i/>
                <w:iCs/>
                <w:sz w:val="19"/>
                <w:szCs w:val="19"/>
                <w:lang w:eastAsia="pt-BR"/>
              </w:rPr>
              <w:t>commercial</w:t>
            </w:r>
            <w:proofErr w:type="spellEnd"/>
            <w:r w:rsidRPr="00DC4B01">
              <w:rPr>
                <w:rFonts w:ascii="Book Antiqua" w:eastAsia="Times New Roman" w:hAnsi="Book Antiqua" w:cs="Times New Roman"/>
                <w:i/>
                <w:iCs/>
                <w:sz w:val="19"/>
                <w:szCs w:val="19"/>
                <w:lang w:eastAsia="pt-BR"/>
              </w:rPr>
              <w:t xml:space="preserve"> </w:t>
            </w:r>
            <w:proofErr w:type="spellStart"/>
            <w:r w:rsidRPr="00DC4B01">
              <w:rPr>
                <w:rFonts w:ascii="Book Antiqua" w:eastAsia="Times New Roman" w:hAnsi="Book Antiqua" w:cs="Times New Roman"/>
                <w:i/>
                <w:iCs/>
                <w:sz w:val="19"/>
                <w:szCs w:val="19"/>
                <w:lang w:eastAsia="pt-BR"/>
              </w:rPr>
              <w:t>paper</w:t>
            </w:r>
            <w:proofErr w:type="spellEnd"/>
            <w:r w:rsidRPr="00DC4B01">
              <w:rPr>
                <w:rFonts w:ascii="Book Antiqua" w:eastAsia="Times New Roman" w:hAnsi="Book Antiqua" w:cs="Times New Roman"/>
                <w:sz w:val="19"/>
                <w:szCs w:val="19"/>
                <w:lang w:eastAsia="pt-BR"/>
              </w:rPr>
              <w:t>, por constituir título de curto prazo, deve ser emitido com vencimento mínimo de trinta dias contados da emissão do título. Em se tratando de companhia fechada, o prazo máximo será de cento e oitenta dias; tratando-se de companhia aberta, o prazo poderá chegar a trezentos e sessenta dias. Existe a possibilidade de resgate antecipado do referido título, desde que com anuência do titular; se o resgate for parcial, deverá ser realizado sorteio ou leilão entre os titulares.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w:t>
            </w:r>
            <w:r>
              <w:rPr>
                <w:rFonts w:ascii="Book Antiqua" w:eastAsia="Times New Roman" w:hAnsi="Book Antiqua" w:cs="Times New Roman"/>
                <w:b/>
                <w:bCs/>
                <w:sz w:val="21"/>
                <w:szCs w:val="21"/>
                <w:lang w:eastAsia="pt-BR"/>
              </w:rPr>
              <w:t>º, I e II c/c §§2º e 4º da IN 134/CVM.</w:t>
            </w:r>
          </w:p>
          <w:p w14:paraId="4727FCF2" w14:textId="77777777" w:rsidR="00DC4B01" w:rsidRDefault="00DC4B01" w:rsidP="00DC4B01">
            <w:pPr>
              <w:jc w:val="both"/>
              <w:rPr>
                <w:rFonts w:ascii="Book Antiqua" w:eastAsia="Times New Roman" w:hAnsi="Book Antiqua" w:cs="Times New Roman"/>
                <w:sz w:val="19"/>
                <w:szCs w:val="19"/>
                <w:lang w:eastAsia="pt-BR"/>
              </w:rPr>
            </w:pPr>
          </w:p>
          <w:p w14:paraId="38044F09" w14:textId="4265F98D" w:rsidR="00DC4B01" w:rsidRPr="00DC4B01" w:rsidRDefault="00DC4B01" w:rsidP="00DC4B01">
            <w:pPr>
              <w:jc w:val="both"/>
              <w:rPr>
                <w:rFonts w:ascii="Book Antiqua" w:eastAsia="Times New Roman" w:hAnsi="Book Antiqua" w:cs="Times New Roman"/>
                <w:sz w:val="19"/>
                <w:szCs w:val="19"/>
                <w:lang w:eastAsia="pt-BR"/>
              </w:rPr>
            </w:pPr>
            <w:r w:rsidRPr="00DC4B01">
              <w:rPr>
                <w:rFonts w:ascii="Book Antiqua" w:eastAsia="Times New Roman" w:hAnsi="Book Antiqua" w:cs="Times New Roman"/>
                <w:b/>
                <w:bCs/>
                <w:i/>
                <w:iCs/>
                <w:color w:val="FF0000"/>
                <w:sz w:val="19"/>
                <w:szCs w:val="19"/>
                <w:lang w:eastAsia="pt-BR"/>
              </w:rPr>
              <w:t>##</w:t>
            </w:r>
            <w:r w:rsidRPr="00DC4B0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C4B01">
              <w:rPr>
                <w:rFonts w:ascii="Book Antiqua" w:eastAsia="Times New Roman" w:hAnsi="Book Antiqua" w:cs="Times New Roman"/>
                <w:sz w:val="19"/>
                <w:szCs w:val="19"/>
                <w:lang w:eastAsia="pt-BR"/>
              </w:rPr>
              <w:t xml:space="preserve">O </w:t>
            </w:r>
            <w:proofErr w:type="spellStart"/>
            <w:r w:rsidRPr="00DC4B01">
              <w:rPr>
                <w:rFonts w:ascii="Book Antiqua" w:eastAsia="Times New Roman" w:hAnsi="Book Antiqua" w:cs="Times New Roman"/>
                <w:i/>
                <w:iCs/>
                <w:sz w:val="19"/>
                <w:szCs w:val="19"/>
                <w:lang w:eastAsia="pt-BR"/>
              </w:rPr>
              <w:t>Commercial</w:t>
            </w:r>
            <w:proofErr w:type="spellEnd"/>
            <w:r w:rsidRPr="00DC4B01">
              <w:rPr>
                <w:rFonts w:ascii="Book Antiqua" w:eastAsia="Times New Roman" w:hAnsi="Book Antiqua" w:cs="Times New Roman"/>
                <w:i/>
                <w:iCs/>
                <w:sz w:val="19"/>
                <w:szCs w:val="19"/>
                <w:lang w:eastAsia="pt-BR"/>
              </w:rPr>
              <w:t xml:space="preserve"> </w:t>
            </w:r>
            <w:proofErr w:type="spellStart"/>
            <w:r w:rsidRPr="00DC4B01">
              <w:rPr>
                <w:rFonts w:ascii="Book Antiqua" w:eastAsia="Times New Roman" w:hAnsi="Book Antiqua" w:cs="Times New Roman"/>
                <w:i/>
                <w:iCs/>
                <w:sz w:val="19"/>
                <w:szCs w:val="19"/>
                <w:lang w:eastAsia="pt-BR"/>
              </w:rPr>
              <w:t>Paper</w:t>
            </w:r>
            <w:proofErr w:type="spellEnd"/>
            <w:r w:rsidRPr="00DC4B01">
              <w:rPr>
                <w:rFonts w:ascii="Book Antiqua" w:eastAsia="Times New Roman" w:hAnsi="Book Antiqua" w:cs="Times New Roman"/>
                <w:sz w:val="19"/>
                <w:szCs w:val="19"/>
                <w:lang w:eastAsia="pt-BR"/>
              </w:rPr>
              <w:t xml:space="preserve"> tem sido utilizado para viabilizar a captação de recursos financeiros para o custeio de empresas, geralmente com momentâneos problemas de liquidez, como uma alternativa além dos empréstimos bancários. O objetivo principal deste título é a obtenção de recursos reclamados pelo desenvolvimento da atividade econômica de uma sociedade anônima, constituindo-se como instrumento para financiamento do capital de giro destas empresas e contribuindo para a redução dos custos que oneram as atividades econômicas.</w:t>
            </w:r>
            <w:r>
              <w:rPr>
                <w:rFonts w:ascii="Book Antiqua" w:eastAsia="Times New Roman" w:hAnsi="Book Antiqua" w:cs="Times New Roman"/>
                <w:sz w:val="19"/>
                <w:szCs w:val="19"/>
                <w:lang w:eastAsia="pt-BR"/>
              </w:rPr>
              <w:t xml:space="preserve"> T</w:t>
            </w:r>
            <w:r w:rsidRPr="00DC4B01">
              <w:rPr>
                <w:rFonts w:ascii="Book Antiqua" w:eastAsia="Times New Roman" w:hAnsi="Book Antiqua" w:cs="Times New Roman"/>
                <w:sz w:val="19"/>
                <w:szCs w:val="19"/>
                <w:lang w:eastAsia="pt-BR"/>
              </w:rPr>
              <w:t xml:space="preserve">odavia, o </w:t>
            </w:r>
            <w:proofErr w:type="spellStart"/>
            <w:r w:rsidRPr="00DC4B01">
              <w:rPr>
                <w:rFonts w:ascii="Book Antiqua" w:eastAsia="Times New Roman" w:hAnsi="Book Antiqua" w:cs="Times New Roman"/>
                <w:i/>
                <w:iCs/>
                <w:sz w:val="19"/>
                <w:szCs w:val="19"/>
                <w:lang w:eastAsia="pt-BR"/>
              </w:rPr>
              <w:t>Commercial</w:t>
            </w:r>
            <w:proofErr w:type="spellEnd"/>
            <w:r w:rsidRPr="00DC4B01">
              <w:rPr>
                <w:rFonts w:ascii="Book Antiqua" w:eastAsia="Times New Roman" w:hAnsi="Book Antiqua" w:cs="Times New Roman"/>
                <w:i/>
                <w:iCs/>
                <w:sz w:val="19"/>
                <w:szCs w:val="19"/>
                <w:lang w:eastAsia="pt-BR"/>
              </w:rPr>
              <w:t xml:space="preserve"> </w:t>
            </w:r>
            <w:proofErr w:type="spellStart"/>
            <w:r w:rsidRPr="00DC4B01">
              <w:rPr>
                <w:rFonts w:ascii="Book Antiqua" w:eastAsia="Times New Roman" w:hAnsi="Book Antiqua" w:cs="Times New Roman"/>
                <w:i/>
                <w:iCs/>
                <w:sz w:val="19"/>
                <w:szCs w:val="19"/>
                <w:lang w:eastAsia="pt-BR"/>
              </w:rPr>
              <w:t>Paper</w:t>
            </w:r>
            <w:proofErr w:type="spellEnd"/>
            <w:r w:rsidRPr="00DC4B01">
              <w:rPr>
                <w:rFonts w:ascii="Book Antiqua" w:eastAsia="Times New Roman" w:hAnsi="Book Antiqua" w:cs="Times New Roman"/>
                <w:sz w:val="19"/>
                <w:szCs w:val="19"/>
                <w:lang w:eastAsia="pt-BR"/>
              </w:rPr>
              <w:t xml:space="preserve"> não é regulamentado no Direito brasileiro como um tipo de título de crédito distinto dos já existentes. Os juristas da Comissão de Valores Mobiliários, quando da sua criação, optaram pela nota promissória, não apenas por ser título de largo uso no mercado interno, mas, ainda, porque para criar um novo título de crédito seria necessária a aprovação do Congresso Nacional.</w:t>
            </w:r>
            <w:r>
              <w:rPr>
                <w:rFonts w:ascii="Book Antiqua" w:eastAsia="Times New Roman" w:hAnsi="Book Antiqua" w:cs="Times New Roman"/>
                <w:sz w:val="19"/>
                <w:szCs w:val="19"/>
                <w:lang w:eastAsia="pt-BR"/>
              </w:rPr>
              <w:t xml:space="preserve"> </w:t>
            </w:r>
            <w:r w:rsidRPr="00DC4B01">
              <w:rPr>
                <w:rFonts w:ascii="Book Antiqua" w:eastAsia="Times New Roman" w:hAnsi="Book Antiqua" w:cs="Times New Roman"/>
                <w:b/>
                <w:bCs/>
                <w:sz w:val="19"/>
                <w:szCs w:val="19"/>
                <w:highlight w:val="yellow"/>
                <w:lang w:eastAsia="pt-BR"/>
              </w:rPr>
              <w:t>Este novo valor mobiliário é, na verdade, uma nota promissória garantida ou não, negociável, de curto prazo, valor fixo e vencimento em data certa</w:t>
            </w:r>
            <w:r w:rsidRPr="00DC4B0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C4B01">
              <w:rPr>
                <w:rFonts w:ascii="Book Antiqua" w:eastAsia="Times New Roman" w:hAnsi="Book Antiqua" w:cs="Times New Roman"/>
                <w:sz w:val="19"/>
                <w:szCs w:val="19"/>
                <w:lang w:eastAsia="pt-BR"/>
              </w:rPr>
              <w:t xml:space="preserve">Uma das particularidades do </w:t>
            </w:r>
            <w:proofErr w:type="spellStart"/>
            <w:r w:rsidRPr="00B86DD6">
              <w:rPr>
                <w:rFonts w:ascii="Book Antiqua" w:eastAsia="Times New Roman" w:hAnsi="Book Antiqua" w:cs="Times New Roman"/>
                <w:i/>
                <w:iCs/>
                <w:sz w:val="19"/>
                <w:szCs w:val="19"/>
                <w:lang w:eastAsia="pt-BR"/>
              </w:rPr>
              <w:t>Commercial</w:t>
            </w:r>
            <w:proofErr w:type="spellEnd"/>
            <w:r w:rsidRPr="00B86DD6">
              <w:rPr>
                <w:rFonts w:ascii="Book Antiqua" w:eastAsia="Times New Roman" w:hAnsi="Book Antiqua" w:cs="Times New Roman"/>
                <w:i/>
                <w:iCs/>
                <w:sz w:val="19"/>
                <w:szCs w:val="19"/>
                <w:lang w:eastAsia="pt-BR"/>
              </w:rPr>
              <w:t xml:space="preserve"> </w:t>
            </w:r>
            <w:proofErr w:type="spellStart"/>
            <w:r w:rsidRPr="00B86DD6">
              <w:rPr>
                <w:rFonts w:ascii="Book Antiqua" w:eastAsia="Times New Roman" w:hAnsi="Book Antiqua" w:cs="Times New Roman"/>
                <w:i/>
                <w:iCs/>
                <w:sz w:val="19"/>
                <w:szCs w:val="19"/>
                <w:lang w:eastAsia="pt-BR"/>
              </w:rPr>
              <w:t>Paper</w:t>
            </w:r>
            <w:proofErr w:type="spellEnd"/>
            <w:r w:rsidRPr="00DC4B01">
              <w:rPr>
                <w:rFonts w:ascii="Book Antiqua" w:eastAsia="Times New Roman" w:hAnsi="Book Antiqua" w:cs="Times New Roman"/>
                <w:sz w:val="19"/>
                <w:szCs w:val="19"/>
                <w:lang w:eastAsia="pt-BR"/>
              </w:rPr>
              <w:t xml:space="preserve"> é que ele é uma nota promissória que só pode ser emitida por uma S.A., enquanto a nota promissória pode ser emitida por pessoas físicas ou jurídicas, podendo ainda ser civil ou comercial.</w:t>
            </w:r>
          </w:p>
        </w:tc>
      </w:tr>
    </w:tbl>
    <w:p w14:paraId="290ED906" w14:textId="55077CD5" w:rsidR="009A152E" w:rsidRDefault="009A152E" w:rsidP="009A152E">
      <w:pPr>
        <w:spacing w:before="200" w:after="200" w:line="240" w:lineRule="auto"/>
        <w:ind w:left="567" w:right="1134" w:firstLine="567"/>
        <w:jc w:val="both"/>
        <w:rPr>
          <w:rFonts w:ascii="Book Antiqua" w:eastAsia="Times New Roman" w:hAnsi="Book Antiqua" w:cs="Times New Roman"/>
          <w:b/>
          <w:bCs/>
          <w:color w:val="FF0000"/>
          <w:sz w:val="18"/>
          <w:szCs w:val="18"/>
          <w:u w:val="single"/>
          <w:lang w:eastAsia="pt-BR"/>
        </w:rPr>
      </w:pPr>
      <w:r w:rsidRPr="00B86DD6">
        <w:rPr>
          <w:rFonts w:ascii="Book Antiqua" w:eastAsia="Times New Roman" w:hAnsi="Book Antiqua" w:cs="Times New Roman"/>
          <w:b/>
          <w:bCs/>
          <w:sz w:val="19"/>
          <w:szCs w:val="19"/>
          <w:highlight w:val="magenta"/>
          <w:lang w:eastAsia="pt-BR"/>
        </w:rPr>
        <w:t>Art. 8º</w:t>
      </w:r>
      <w:r w:rsidRPr="009A152E">
        <w:rPr>
          <w:rFonts w:ascii="Book Antiqua" w:eastAsia="Times New Roman" w:hAnsi="Book Antiqua" w:cs="Times New Roman"/>
          <w:sz w:val="19"/>
          <w:szCs w:val="19"/>
          <w:lang w:eastAsia="pt-BR"/>
        </w:rPr>
        <w:t xml:space="preserve">  </w:t>
      </w:r>
      <w:r w:rsidRPr="00B86DD6">
        <w:rPr>
          <w:rFonts w:ascii="Book Antiqua" w:eastAsia="Times New Roman" w:hAnsi="Book Antiqua" w:cs="Times New Roman"/>
          <w:b/>
          <w:bCs/>
          <w:sz w:val="19"/>
          <w:szCs w:val="19"/>
          <w:lang w:eastAsia="pt-BR"/>
        </w:rPr>
        <w:t>Para todos os fins e efeitos, a data de emissão das notas promissórias deverá ser a data de sua efetiva integralização, a qual será feita em moeda corrente, à vista, quando da subscrição</w:t>
      </w:r>
      <w:r w:rsidRPr="009A152E">
        <w:rPr>
          <w:rFonts w:ascii="Book Antiqua" w:eastAsia="Times New Roman" w:hAnsi="Book Antiqua" w:cs="Times New Roman"/>
          <w:sz w:val="19"/>
          <w:szCs w:val="19"/>
          <w:lang w:eastAsia="pt-BR"/>
        </w:rPr>
        <w:t>.</w:t>
      </w:r>
      <w:r w:rsidR="00B86DD6">
        <w:rPr>
          <w:rFonts w:ascii="Book Antiqua" w:eastAsia="Times New Roman" w:hAnsi="Book Antiqua" w:cs="Times New Roman"/>
          <w:sz w:val="19"/>
          <w:szCs w:val="19"/>
          <w:lang w:eastAsia="pt-BR"/>
        </w:rPr>
        <w:t xml:space="preserve"> </w:t>
      </w:r>
      <w:r w:rsidR="00B86DD6" w:rsidRPr="008262BC">
        <w:rPr>
          <w:rFonts w:ascii="Book Antiqua" w:eastAsia="Times New Roman" w:hAnsi="Book Antiqua" w:cs="Times New Roman"/>
          <w:b/>
          <w:bCs/>
          <w:color w:val="FF0000"/>
          <w:sz w:val="18"/>
          <w:szCs w:val="18"/>
          <w:u w:val="single"/>
          <w:lang w:eastAsia="pt-BR"/>
        </w:rPr>
        <w:t>(TJPR-2021)</w:t>
      </w:r>
    </w:p>
    <w:tbl>
      <w:tblPr>
        <w:tblStyle w:val="Tabelacomgrade"/>
        <w:tblW w:w="0" w:type="auto"/>
        <w:tblInd w:w="567" w:type="dxa"/>
        <w:tblLook w:val="04A0" w:firstRow="1" w:lastRow="0" w:firstColumn="1" w:lastColumn="0" w:noHBand="0" w:noVBand="1"/>
      </w:tblPr>
      <w:tblGrid>
        <w:gridCol w:w="8500"/>
      </w:tblGrid>
      <w:tr w:rsidR="00B86DD6" w14:paraId="46704DDB" w14:textId="77777777" w:rsidTr="00941216">
        <w:tc>
          <w:tcPr>
            <w:tcW w:w="8500" w:type="dxa"/>
            <w:shd w:val="clear" w:color="auto" w:fill="CCFFFF"/>
          </w:tcPr>
          <w:p w14:paraId="0025D530" w14:textId="0CD0F0E5" w:rsidR="00B86DD6" w:rsidRPr="008262BC" w:rsidRDefault="00B86DD6" w:rsidP="00B86DD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262BC">
              <w:rPr>
                <w:rFonts w:ascii="Book Antiqua" w:eastAsia="Times New Roman" w:hAnsi="Book Antiqua" w:cs="Times New Roman"/>
                <w:b/>
                <w:bCs/>
                <w:sz w:val="19"/>
                <w:szCs w:val="19"/>
                <w:highlight w:val="yellow"/>
                <w:lang w:eastAsia="pt-BR"/>
              </w:rPr>
              <w:t>TJPR-2021-FGV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62BC">
              <w:rPr>
                <w:rFonts w:ascii="Book Antiqua" w:eastAsia="Times New Roman" w:hAnsi="Book Antiqua" w:cs="Times New Roman"/>
                <w:sz w:val="19"/>
                <w:szCs w:val="19"/>
                <w:lang w:eastAsia="pt-BR"/>
              </w:rPr>
              <w:t xml:space="preserve">Quanto ao </w:t>
            </w:r>
            <w:proofErr w:type="spellStart"/>
            <w:r w:rsidRPr="008262BC">
              <w:rPr>
                <w:rFonts w:ascii="Book Antiqua" w:eastAsia="Times New Roman" w:hAnsi="Book Antiqua" w:cs="Times New Roman"/>
                <w:i/>
                <w:iCs/>
                <w:sz w:val="19"/>
                <w:szCs w:val="19"/>
                <w:lang w:eastAsia="pt-BR"/>
              </w:rPr>
              <w:t>commercial</w:t>
            </w:r>
            <w:proofErr w:type="spellEnd"/>
            <w:r w:rsidRPr="008262BC">
              <w:rPr>
                <w:rFonts w:ascii="Book Antiqua" w:eastAsia="Times New Roman" w:hAnsi="Book Antiqua" w:cs="Times New Roman"/>
                <w:i/>
                <w:iCs/>
                <w:sz w:val="19"/>
                <w:szCs w:val="19"/>
                <w:lang w:eastAsia="pt-BR"/>
              </w:rPr>
              <w:t xml:space="preserve"> </w:t>
            </w:r>
            <w:proofErr w:type="spellStart"/>
            <w:r w:rsidRPr="008262BC">
              <w:rPr>
                <w:rFonts w:ascii="Book Antiqua" w:eastAsia="Times New Roman" w:hAnsi="Book Antiqua" w:cs="Times New Roman"/>
                <w:i/>
                <w:iCs/>
                <w:sz w:val="19"/>
                <w:szCs w:val="19"/>
                <w:lang w:eastAsia="pt-BR"/>
              </w:rPr>
              <w:t>paper</w:t>
            </w:r>
            <w:proofErr w:type="spellEnd"/>
            <w:r w:rsidRPr="008262BC">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8262BC">
              <w:rPr>
                <w:rFonts w:ascii="Book Antiqua" w:eastAsia="Times New Roman" w:hAnsi="Book Antiqua" w:cs="Times New Roman"/>
                <w:sz w:val="19"/>
                <w:szCs w:val="19"/>
                <w:lang w:eastAsia="pt-BR"/>
              </w:rPr>
              <w:t xml:space="preserve"> afirmar que:</w:t>
            </w:r>
            <w:r>
              <w:t xml:space="preserve"> </w:t>
            </w:r>
            <w:r w:rsidRPr="00B86DD6">
              <w:rPr>
                <w:rFonts w:ascii="Book Antiqua" w:eastAsia="Times New Roman" w:hAnsi="Book Antiqua" w:cs="Times New Roman"/>
                <w:sz w:val="19"/>
                <w:szCs w:val="19"/>
                <w:lang w:eastAsia="pt-BR"/>
              </w:rPr>
              <w:t xml:space="preserve">os </w:t>
            </w:r>
            <w:r w:rsidRPr="00B86DD6">
              <w:rPr>
                <w:rFonts w:ascii="Book Antiqua" w:eastAsia="Times New Roman" w:hAnsi="Book Antiqua" w:cs="Times New Roman"/>
                <w:i/>
                <w:iCs/>
                <w:sz w:val="19"/>
                <w:szCs w:val="19"/>
                <w:lang w:eastAsia="pt-BR"/>
              </w:rPr>
              <w:t>c</w:t>
            </w:r>
            <w:proofErr w:type="spellStart"/>
            <w:r w:rsidRPr="00B86DD6">
              <w:rPr>
                <w:rFonts w:ascii="Book Antiqua" w:eastAsia="Times New Roman" w:hAnsi="Book Antiqua" w:cs="Times New Roman"/>
                <w:i/>
                <w:iCs/>
                <w:sz w:val="19"/>
                <w:szCs w:val="19"/>
                <w:lang w:eastAsia="pt-BR"/>
              </w:rPr>
              <w:t>ommercial</w:t>
            </w:r>
            <w:proofErr w:type="spellEnd"/>
            <w:r w:rsidRPr="00B86DD6">
              <w:rPr>
                <w:rFonts w:ascii="Book Antiqua" w:eastAsia="Times New Roman" w:hAnsi="Book Antiqua" w:cs="Times New Roman"/>
                <w:i/>
                <w:iCs/>
                <w:sz w:val="19"/>
                <w:szCs w:val="19"/>
                <w:lang w:eastAsia="pt-BR"/>
              </w:rPr>
              <w:t xml:space="preserve"> </w:t>
            </w:r>
            <w:proofErr w:type="spellStart"/>
            <w:r w:rsidRPr="00B86DD6">
              <w:rPr>
                <w:rFonts w:ascii="Book Antiqua" w:eastAsia="Times New Roman" w:hAnsi="Book Antiqua" w:cs="Times New Roman"/>
                <w:i/>
                <w:iCs/>
                <w:sz w:val="19"/>
                <w:szCs w:val="19"/>
                <w:lang w:eastAsia="pt-BR"/>
              </w:rPr>
              <w:t>papers</w:t>
            </w:r>
            <w:proofErr w:type="spellEnd"/>
            <w:r w:rsidRPr="00B86DD6">
              <w:rPr>
                <w:rFonts w:ascii="Book Antiqua" w:eastAsia="Times New Roman" w:hAnsi="Book Antiqua" w:cs="Times New Roman"/>
                <w:sz w:val="19"/>
                <w:szCs w:val="19"/>
                <w:lang w:eastAsia="pt-BR"/>
              </w:rPr>
              <w:t xml:space="preserve"> devem ser integralizados no ato de sua emissão e subscrição, à vista e em moeda corrente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8</w:t>
            </w:r>
            <w:r>
              <w:rPr>
                <w:rFonts w:ascii="Book Antiqua" w:eastAsia="Times New Roman" w:hAnsi="Book Antiqua" w:cs="Times New Roman"/>
                <w:b/>
                <w:bCs/>
                <w:sz w:val="19"/>
                <w:szCs w:val="19"/>
                <w:lang w:eastAsia="pt-BR"/>
              </w:rPr>
              <w:t>º, IN 134, CVM.</w:t>
            </w:r>
          </w:p>
        </w:tc>
      </w:tr>
    </w:tbl>
    <w:p w14:paraId="39A874E0"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DA DELIBERAÇÃO</w:t>
      </w:r>
    </w:p>
    <w:p w14:paraId="0E9889F9" w14:textId="563F410C" w:rsid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B86DD6">
        <w:rPr>
          <w:rFonts w:ascii="Book Antiqua" w:eastAsia="Times New Roman" w:hAnsi="Book Antiqua" w:cs="Times New Roman"/>
          <w:b/>
          <w:bCs/>
          <w:sz w:val="19"/>
          <w:szCs w:val="19"/>
          <w:highlight w:val="magenta"/>
          <w:lang w:eastAsia="pt-BR"/>
        </w:rPr>
        <w:t>Art. 9º</w:t>
      </w:r>
      <w:r w:rsidRPr="009A152E">
        <w:rPr>
          <w:rFonts w:ascii="Book Antiqua" w:eastAsia="Times New Roman" w:hAnsi="Book Antiqua" w:cs="Times New Roman"/>
          <w:sz w:val="19"/>
          <w:szCs w:val="19"/>
          <w:lang w:eastAsia="pt-BR"/>
        </w:rPr>
        <w:t xml:space="preserve">  </w:t>
      </w:r>
      <w:r w:rsidRPr="00B86DD6">
        <w:rPr>
          <w:rFonts w:ascii="Book Antiqua" w:eastAsia="Times New Roman" w:hAnsi="Book Antiqua" w:cs="Times New Roman"/>
          <w:b/>
          <w:bCs/>
          <w:sz w:val="19"/>
          <w:szCs w:val="19"/>
          <w:lang w:eastAsia="pt-BR"/>
        </w:rPr>
        <w:t xml:space="preserve">O estatuto social da emissora deverá dispor quanto à competência para deliberar sobre a emissão de notas promissórias, que poderá ser a </w:t>
      </w:r>
      <w:proofErr w:type="spellStart"/>
      <w:r w:rsidRPr="00B86DD6">
        <w:rPr>
          <w:rFonts w:ascii="Book Antiqua" w:eastAsia="Times New Roman" w:hAnsi="Book Antiqua" w:cs="Times New Roman"/>
          <w:b/>
          <w:bCs/>
          <w:sz w:val="19"/>
          <w:szCs w:val="19"/>
          <w:lang w:eastAsia="pt-BR"/>
        </w:rPr>
        <w:t>assembléia</w:t>
      </w:r>
      <w:proofErr w:type="spellEnd"/>
      <w:r w:rsidRPr="00B86DD6">
        <w:rPr>
          <w:rFonts w:ascii="Book Antiqua" w:eastAsia="Times New Roman" w:hAnsi="Book Antiqua" w:cs="Times New Roman"/>
          <w:b/>
          <w:bCs/>
          <w:sz w:val="19"/>
          <w:szCs w:val="19"/>
          <w:lang w:eastAsia="pt-BR"/>
        </w:rPr>
        <w:t xml:space="preserve"> de acionistas ou órgãos da administração</w:t>
      </w:r>
      <w:r w:rsidRPr="009A152E">
        <w:rPr>
          <w:rFonts w:ascii="Book Antiqua" w:eastAsia="Times New Roman" w:hAnsi="Book Antiqua" w:cs="Times New Roman"/>
          <w:sz w:val="19"/>
          <w:szCs w:val="19"/>
          <w:lang w:eastAsia="pt-BR"/>
        </w:rPr>
        <w:t>.</w:t>
      </w:r>
      <w:r w:rsidR="00B86DD6">
        <w:rPr>
          <w:rFonts w:ascii="Book Antiqua" w:eastAsia="Times New Roman" w:hAnsi="Book Antiqua" w:cs="Times New Roman"/>
          <w:sz w:val="19"/>
          <w:szCs w:val="19"/>
          <w:lang w:eastAsia="pt-BR"/>
        </w:rPr>
        <w:t xml:space="preserve"> </w:t>
      </w:r>
      <w:r w:rsidR="00B86DD6" w:rsidRPr="008262BC">
        <w:rPr>
          <w:rFonts w:ascii="Book Antiqua" w:eastAsia="Times New Roman" w:hAnsi="Book Antiqua" w:cs="Times New Roman"/>
          <w:b/>
          <w:bCs/>
          <w:color w:val="FF0000"/>
          <w:sz w:val="18"/>
          <w:szCs w:val="18"/>
          <w:u w:val="single"/>
          <w:lang w:eastAsia="pt-BR"/>
        </w:rPr>
        <w:t>(TJPR-2021)</w:t>
      </w:r>
    </w:p>
    <w:tbl>
      <w:tblPr>
        <w:tblStyle w:val="Tabelacomgrade"/>
        <w:tblW w:w="0" w:type="auto"/>
        <w:tblInd w:w="567" w:type="dxa"/>
        <w:tblLook w:val="04A0" w:firstRow="1" w:lastRow="0" w:firstColumn="1" w:lastColumn="0" w:noHBand="0" w:noVBand="1"/>
      </w:tblPr>
      <w:tblGrid>
        <w:gridCol w:w="8500"/>
      </w:tblGrid>
      <w:tr w:rsidR="00B86DD6" w14:paraId="49B306BF" w14:textId="77777777" w:rsidTr="00941216">
        <w:tc>
          <w:tcPr>
            <w:tcW w:w="8500" w:type="dxa"/>
            <w:shd w:val="clear" w:color="auto" w:fill="CCFFFF"/>
          </w:tcPr>
          <w:p w14:paraId="592A6008" w14:textId="4EB5F620" w:rsidR="00B86DD6" w:rsidRPr="008262BC" w:rsidRDefault="00B86DD6" w:rsidP="0094121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262BC">
              <w:rPr>
                <w:rFonts w:ascii="Book Antiqua" w:eastAsia="Times New Roman" w:hAnsi="Book Antiqua" w:cs="Times New Roman"/>
                <w:b/>
                <w:bCs/>
                <w:sz w:val="19"/>
                <w:szCs w:val="19"/>
                <w:highlight w:val="yellow"/>
                <w:lang w:eastAsia="pt-BR"/>
              </w:rPr>
              <w:t>TJPR-2021-FGV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62BC">
              <w:rPr>
                <w:rFonts w:ascii="Book Antiqua" w:eastAsia="Times New Roman" w:hAnsi="Book Antiqua" w:cs="Times New Roman"/>
                <w:sz w:val="19"/>
                <w:szCs w:val="19"/>
                <w:lang w:eastAsia="pt-BR"/>
              </w:rPr>
              <w:t xml:space="preserve">Quanto ao </w:t>
            </w:r>
            <w:proofErr w:type="spellStart"/>
            <w:r w:rsidRPr="008262BC">
              <w:rPr>
                <w:rFonts w:ascii="Book Antiqua" w:eastAsia="Times New Roman" w:hAnsi="Book Antiqua" w:cs="Times New Roman"/>
                <w:i/>
                <w:iCs/>
                <w:sz w:val="19"/>
                <w:szCs w:val="19"/>
                <w:lang w:eastAsia="pt-BR"/>
              </w:rPr>
              <w:t>commercial</w:t>
            </w:r>
            <w:proofErr w:type="spellEnd"/>
            <w:r w:rsidRPr="008262BC">
              <w:rPr>
                <w:rFonts w:ascii="Book Antiqua" w:eastAsia="Times New Roman" w:hAnsi="Book Antiqua" w:cs="Times New Roman"/>
                <w:i/>
                <w:iCs/>
                <w:sz w:val="19"/>
                <w:szCs w:val="19"/>
                <w:lang w:eastAsia="pt-BR"/>
              </w:rPr>
              <w:t xml:space="preserve"> </w:t>
            </w:r>
            <w:proofErr w:type="spellStart"/>
            <w:r w:rsidRPr="008262BC">
              <w:rPr>
                <w:rFonts w:ascii="Book Antiqua" w:eastAsia="Times New Roman" w:hAnsi="Book Antiqua" w:cs="Times New Roman"/>
                <w:i/>
                <w:iCs/>
                <w:sz w:val="19"/>
                <w:szCs w:val="19"/>
                <w:lang w:eastAsia="pt-BR"/>
              </w:rPr>
              <w:t>paper</w:t>
            </w:r>
            <w:proofErr w:type="spellEnd"/>
            <w:r w:rsidRPr="008262BC">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8262BC">
              <w:rPr>
                <w:rFonts w:ascii="Book Antiqua" w:eastAsia="Times New Roman" w:hAnsi="Book Antiqua" w:cs="Times New Roman"/>
                <w:sz w:val="19"/>
                <w:szCs w:val="19"/>
                <w:lang w:eastAsia="pt-BR"/>
              </w:rPr>
              <w:t xml:space="preserve"> afirmar que:</w:t>
            </w:r>
            <w:r>
              <w:t xml:space="preserve"> </w:t>
            </w:r>
            <w:r w:rsidRPr="00B86DD6">
              <w:rPr>
                <w:rFonts w:ascii="Book Antiqua" w:eastAsia="Times New Roman" w:hAnsi="Book Antiqua" w:cs="Times New Roman"/>
                <w:sz w:val="19"/>
                <w:szCs w:val="19"/>
                <w:lang w:eastAsia="pt-BR"/>
              </w:rPr>
              <w:t xml:space="preserve">o estatuto ou contrato social deve dispor sobre o órgão que terá competência para autorizar a emissão do </w:t>
            </w:r>
            <w:proofErr w:type="spellStart"/>
            <w:r w:rsidRPr="00B86DD6">
              <w:rPr>
                <w:rFonts w:ascii="Book Antiqua" w:eastAsia="Times New Roman" w:hAnsi="Book Antiqua" w:cs="Times New Roman"/>
                <w:i/>
                <w:iCs/>
                <w:sz w:val="19"/>
                <w:szCs w:val="19"/>
                <w:lang w:eastAsia="pt-BR"/>
              </w:rPr>
              <w:t>commercial</w:t>
            </w:r>
            <w:proofErr w:type="spellEnd"/>
            <w:r w:rsidRPr="00B86DD6">
              <w:rPr>
                <w:rFonts w:ascii="Book Antiqua" w:eastAsia="Times New Roman" w:hAnsi="Book Antiqua" w:cs="Times New Roman"/>
                <w:i/>
                <w:iCs/>
                <w:sz w:val="19"/>
                <w:szCs w:val="19"/>
                <w:lang w:eastAsia="pt-BR"/>
              </w:rPr>
              <w:t xml:space="preserve"> </w:t>
            </w:r>
            <w:proofErr w:type="spellStart"/>
            <w:r w:rsidRPr="00B86DD6">
              <w:rPr>
                <w:rFonts w:ascii="Book Antiqua" w:eastAsia="Times New Roman" w:hAnsi="Book Antiqua" w:cs="Times New Roman"/>
                <w:i/>
                <w:iCs/>
                <w:sz w:val="19"/>
                <w:szCs w:val="19"/>
                <w:lang w:eastAsia="pt-BR"/>
              </w:rPr>
              <w:t>paper</w:t>
            </w:r>
            <w:proofErr w:type="spellEnd"/>
            <w:r>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9</w:t>
            </w:r>
            <w:r>
              <w:rPr>
                <w:rFonts w:ascii="Book Antiqua" w:eastAsia="Times New Roman" w:hAnsi="Book Antiqua" w:cs="Times New Roman"/>
                <w:b/>
                <w:bCs/>
                <w:sz w:val="19"/>
                <w:szCs w:val="19"/>
                <w:lang w:eastAsia="pt-BR"/>
              </w:rPr>
              <w:t>º, IN 134, CVM.</w:t>
            </w:r>
          </w:p>
        </w:tc>
      </w:tr>
    </w:tbl>
    <w:p w14:paraId="0CF1CBB5"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10  A deliberação de emitir notas promissórias deverá dispor sobre o seguinte:</w:t>
      </w:r>
    </w:p>
    <w:p w14:paraId="3320A5B6"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 - o valor da emissão, e a sua divisão em séries, se for o caso;</w:t>
      </w:r>
    </w:p>
    <w:p w14:paraId="0682117C"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II - quantidade e valor nominal das notas promissórias;</w:t>
      </w:r>
    </w:p>
    <w:p w14:paraId="46E577C5"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III - as condições de remuneração e de atualização monetária, se houver;</w:t>
      </w:r>
    </w:p>
    <w:p w14:paraId="6C30A378"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IV - prazo de vencimento dos títulos;</w:t>
      </w:r>
    </w:p>
    <w:p w14:paraId="20FC29CF"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lastRenderedPageBreak/>
        <w:t>V - garantias, quando for o caso;</w:t>
      </w:r>
    </w:p>
    <w:p w14:paraId="04DC9D61"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VI - demonstrativo para comprovação dos limites previstos nesta Instrução;</w:t>
      </w:r>
    </w:p>
    <w:p w14:paraId="1E8E480A"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VII - local de pagamento;</w:t>
      </w:r>
    </w:p>
    <w:p w14:paraId="536E6B24"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VIII - contratação de prestação de serviços, tais como custódia, liquidação, emissão de certificados, agente pagador, conforme o caso.</w:t>
      </w:r>
    </w:p>
    <w:p w14:paraId="4E11372B"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Parágrafo único.  A atualização monetária pós-fixada da Nota Promissória deve obedecer os prazos mínimos estabelecidos pelo Banco Central do Brasil para o Certificado de Depósito Bancário.</w:t>
      </w:r>
    </w:p>
    <w:p w14:paraId="277CABBD" w14:textId="77777777" w:rsidR="00DC4B01"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DO REGISTRO DA COMPANHIA EMISSORA</w:t>
      </w:r>
      <w:r w:rsidR="00DC4B01">
        <w:rPr>
          <w:rFonts w:ascii="Book Antiqua" w:eastAsia="Times New Roman" w:hAnsi="Book Antiqua" w:cs="Times New Roman"/>
          <w:b/>
          <w:kern w:val="28"/>
          <w:sz w:val="19"/>
          <w:szCs w:val="19"/>
          <w:lang w:eastAsia="pt-BR"/>
        </w:rPr>
        <w:t xml:space="preserve"> </w:t>
      </w:r>
    </w:p>
    <w:p w14:paraId="057E4677" w14:textId="66215311" w:rsidR="009A152E" w:rsidRPr="009A152E" w:rsidRDefault="00DC4B01"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Pr>
          <w:rFonts w:ascii="Book Antiqua" w:eastAsia="Times New Roman" w:hAnsi="Book Antiqua" w:cs="Times New Roman"/>
          <w:sz w:val="19"/>
          <w:szCs w:val="19"/>
          <w:lang w:eastAsia="pt-BR"/>
        </w:rPr>
        <w:t>(R</w:t>
      </w:r>
      <w:r w:rsidRPr="00DC4B01">
        <w:rPr>
          <w:rFonts w:ascii="Book Antiqua" w:eastAsia="Times New Roman" w:hAnsi="Book Antiqua" w:cs="Times New Roman"/>
          <w:sz w:val="19"/>
          <w:szCs w:val="19"/>
          <w:lang w:eastAsia="pt-BR"/>
        </w:rPr>
        <w:t>evogado pela Instrução 480, de 7 de dezembro de 2009</w:t>
      </w:r>
      <w:r>
        <w:rPr>
          <w:rFonts w:ascii="Book Antiqua" w:eastAsia="Times New Roman" w:hAnsi="Book Antiqua" w:cs="Times New Roman"/>
          <w:sz w:val="19"/>
          <w:szCs w:val="19"/>
          <w:lang w:eastAsia="pt-BR"/>
        </w:rPr>
        <w:t>)</w:t>
      </w:r>
    </w:p>
    <w:p w14:paraId="5861EE8A" w14:textId="317CD030"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Art. 11.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4008FD86" w14:textId="19DBD820"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Art. 12.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29ED1FF5" w14:textId="77777777" w:rsidR="00DC4B01" w:rsidRDefault="009A152E" w:rsidP="00DC4B01">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Art. 13.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168976B8" w14:textId="724026EA" w:rsidR="009A152E" w:rsidRPr="009A152E" w:rsidRDefault="009A152E" w:rsidP="00DC4B01">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Parágrafo único.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329C3614" w14:textId="05503B48" w:rsidR="00DC4B01" w:rsidRPr="009A152E" w:rsidRDefault="009A152E" w:rsidP="00DC4B01">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Art. 14.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78778D0E" w14:textId="61D5FEEA"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Art. 15.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1D6B49D3" w14:textId="6834E27E"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Parágrafo único.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37FBE152" w14:textId="2881623A"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Art. 16.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54FFCD12" w14:textId="135268A2"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Art. 17.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746B13E9" w14:textId="102E1609"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Art. 18.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4AE7D2D2" w14:textId="28D81A4D"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Art. 19.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3A8FA1D3" w14:textId="149E1DFB"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Parágrafo único.  </w:t>
      </w:r>
      <w:r w:rsidR="00DC4B01">
        <w:rPr>
          <w:rFonts w:ascii="Book Antiqua" w:eastAsia="Times New Roman" w:hAnsi="Book Antiqua" w:cs="Times New Roman"/>
          <w:sz w:val="19"/>
          <w:szCs w:val="19"/>
          <w:lang w:eastAsia="pt-BR"/>
        </w:rPr>
        <w:t>(R</w:t>
      </w:r>
      <w:r w:rsidR="00DC4B01" w:rsidRPr="00DC4B01">
        <w:rPr>
          <w:rFonts w:ascii="Book Antiqua" w:eastAsia="Times New Roman" w:hAnsi="Book Antiqua" w:cs="Times New Roman"/>
          <w:sz w:val="19"/>
          <w:szCs w:val="19"/>
          <w:lang w:eastAsia="pt-BR"/>
        </w:rPr>
        <w:t>evogado pela Instrução 480, de 7 de dezembro de 2009</w:t>
      </w:r>
      <w:r w:rsidR="00DC4B01">
        <w:rPr>
          <w:rFonts w:ascii="Book Antiqua" w:eastAsia="Times New Roman" w:hAnsi="Book Antiqua" w:cs="Times New Roman"/>
          <w:sz w:val="19"/>
          <w:szCs w:val="19"/>
          <w:lang w:eastAsia="pt-BR"/>
        </w:rPr>
        <w:t>)</w:t>
      </w:r>
    </w:p>
    <w:p w14:paraId="3560EF7A"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DO REGISTRO E DISTRIBUIÇÃO PÚBLICA</w:t>
      </w:r>
    </w:p>
    <w:p w14:paraId="62CFDFA7" w14:textId="30AC98F3" w:rsidR="009A152E" w:rsidRPr="00B86DD6" w:rsidRDefault="009A152E" w:rsidP="009A152E">
      <w:pPr>
        <w:spacing w:before="200" w:after="200" w:line="240" w:lineRule="auto"/>
        <w:ind w:left="567" w:right="1134" w:firstLine="567"/>
        <w:jc w:val="both"/>
        <w:rPr>
          <w:rFonts w:ascii="Book Antiqua" w:eastAsia="Times New Roman" w:hAnsi="Book Antiqua" w:cs="Times New Roman"/>
          <w:b/>
          <w:bCs/>
          <w:sz w:val="19"/>
          <w:szCs w:val="19"/>
          <w:u w:val="single"/>
          <w:lang w:eastAsia="pt-BR"/>
        </w:rPr>
      </w:pPr>
      <w:r w:rsidRPr="00B86DD6">
        <w:rPr>
          <w:rFonts w:ascii="Book Antiqua" w:eastAsia="Times New Roman" w:hAnsi="Book Antiqua" w:cs="Times New Roman"/>
          <w:b/>
          <w:bCs/>
          <w:sz w:val="19"/>
          <w:szCs w:val="19"/>
          <w:highlight w:val="magenta"/>
          <w:lang w:eastAsia="pt-BR"/>
        </w:rPr>
        <w:t>Art. 20</w:t>
      </w:r>
      <w:r w:rsidRPr="009A152E">
        <w:rPr>
          <w:rFonts w:ascii="Book Antiqua" w:eastAsia="Times New Roman" w:hAnsi="Book Antiqua" w:cs="Times New Roman"/>
          <w:sz w:val="19"/>
          <w:szCs w:val="19"/>
          <w:lang w:eastAsia="pt-BR"/>
        </w:rPr>
        <w:t xml:space="preserve">.  </w:t>
      </w:r>
      <w:r w:rsidRPr="00B86DD6">
        <w:rPr>
          <w:rFonts w:ascii="Book Antiqua" w:eastAsia="Times New Roman" w:hAnsi="Book Antiqua" w:cs="Times New Roman"/>
          <w:b/>
          <w:bCs/>
          <w:sz w:val="19"/>
          <w:szCs w:val="19"/>
          <w:lang w:eastAsia="pt-BR"/>
        </w:rPr>
        <w:t>O registro da distribuição de notas promissórias deve ser requerido à CVM pela própria companhia emissora ou através de instituição integrante do sistema de distribuição de valores mobiliários</w:t>
      </w:r>
      <w:r w:rsidRPr="009A152E">
        <w:rPr>
          <w:rFonts w:ascii="Book Antiqua" w:eastAsia="Times New Roman" w:hAnsi="Book Antiqua" w:cs="Times New Roman"/>
          <w:sz w:val="19"/>
          <w:szCs w:val="19"/>
          <w:lang w:eastAsia="pt-BR"/>
        </w:rPr>
        <w:t>.</w:t>
      </w:r>
      <w:r w:rsidR="00B86DD6" w:rsidRPr="00B86DD6">
        <w:rPr>
          <w:rFonts w:ascii="Book Antiqua" w:eastAsia="Times New Roman" w:hAnsi="Book Antiqua" w:cs="Times New Roman"/>
          <w:color w:val="FF0000"/>
          <w:sz w:val="18"/>
          <w:szCs w:val="18"/>
          <w:lang w:eastAsia="pt-BR"/>
        </w:rPr>
        <w:t xml:space="preserve"> </w:t>
      </w:r>
      <w:r w:rsidR="00B86DD6" w:rsidRPr="00B86DD6">
        <w:rPr>
          <w:rFonts w:ascii="Book Antiqua" w:eastAsia="Times New Roman" w:hAnsi="Book Antiqua" w:cs="Times New Roman"/>
          <w:b/>
          <w:bCs/>
          <w:color w:val="FF0000"/>
          <w:sz w:val="18"/>
          <w:szCs w:val="18"/>
          <w:u w:val="single"/>
          <w:lang w:eastAsia="pt-BR"/>
        </w:rPr>
        <w:t>(TJPR-2021)</w:t>
      </w:r>
    </w:p>
    <w:p w14:paraId="5BC3FCAE"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21.  O requerimento de registro deve ser acompanhado dos seguintes documentos:</w:t>
      </w:r>
    </w:p>
    <w:p w14:paraId="08C19873"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 - cópia do contrato de distribuição e, se for o caso, de garantia de colocação;</w:t>
      </w:r>
    </w:p>
    <w:p w14:paraId="06022336"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II - minuta do prospecto (artigo 22);</w:t>
      </w:r>
    </w:p>
    <w:p w14:paraId="1B0D8145"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III - minuta do anúncio de início e de encerramento da distribuição (Anexos II e III);</w:t>
      </w:r>
    </w:p>
    <w:p w14:paraId="702505D0"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IV - manifestação prévia da Bolsa de Valores em que se realizará a operação, quando for o caso;</w:t>
      </w:r>
    </w:p>
    <w:p w14:paraId="575CDCEB"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V - relação dos participantes do consórcio de lançamento, discriminando a quantidade e títulos atribuída a cada um, quando for o caso;</w:t>
      </w:r>
    </w:p>
    <w:p w14:paraId="209413FE"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VI - contrato de prestação de serviços, tais como custódia, liquidação, emissão de certificados, agente pagador, conforme o caso;</w:t>
      </w:r>
    </w:p>
    <w:p w14:paraId="6BCFAAF9"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VII - exemplar da publicação da ata de deliberação da emissão dos títulos;</w:t>
      </w:r>
    </w:p>
    <w:p w14:paraId="18DEF909"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VIII - contrato referido no § 2º do artigo 4º.</w:t>
      </w:r>
    </w:p>
    <w:p w14:paraId="74C961D4"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lastRenderedPageBreak/>
        <w:t>DO PROSPECTO</w:t>
      </w:r>
    </w:p>
    <w:p w14:paraId="6CBAE571"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22.  Prospecto é o documento que contém os dados básicos sobre a operação e a companhia emissora, dele devendo constar, no mínimo:</w:t>
      </w:r>
    </w:p>
    <w:p w14:paraId="590121C0"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 - informações detalhadas sobre o lançamento e companhia emissora, nos termos do Anexo I, juntando as demonstrações financeiras da emissora (artigo 3º), caso não tenha sido firmado o contrato de que trata o § 2º do artigo 4º;</w:t>
      </w:r>
    </w:p>
    <w:p w14:paraId="1B78ACC7"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II - informações sobre o garantidor, anexando as demonstrações financeiras relativas ao último balanço semestral levantado;</w:t>
      </w:r>
    </w:p>
    <w:p w14:paraId="7F890297"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III - ata da reunião que deliberar a emissão das notas promissórias;</w:t>
      </w:r>
    </w:p>
    <w:p w14:paraId="463552D1"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IV - cópia do contrato referido no § 2º do artigo 4º.</w:t>
      </w:r>
    </w:p>
    <w:p w14:paraId="06B6EE6D"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Parágrafo único.  O prospecto deverá necessariamente ser entregue a cada adquirente de nota promissória, devendo a instituição líder do lançamento, a pedido da CVM, comprovar tal entrega.</w:t>
      </w:r>
    </w:p>
    <w:p w14:paraId="32E57E8D"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p>
    <w:p w14:paraId="2934AE7B"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PRAZOS DE ANÁLISE</w:t>
      </w:r>
    </w:p>
    <w:p w14:paraId="6516748E"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23.  O registro tornar-se-á automaticamente efetivado se o pedido não for indeferido dentro de 10 (dez) dias úteis após a sua apresentação à CVM, mediante protocolo, com os documentos e informações exigidas.</w:t>
      </w:r>
    </w:p>
    <w:p w14:paraId="29825D8E"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§1º  O prazo de 10 (dez) dias úteis poderá ser interrompido uma única vez, caso a CVM solicite informações adicionais ou condicione o registro a modificações na documentação pertinente.</w:t>
      </w:r>
    </w:p>
    <w:p w14:paraId="094BCEA1"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§2º  Para o atendimento das eventuais exigências, será concedido prazo não superior a 20 (vinte) dias úteis, contados do encaminhamento da respectiva correspondência.</w:t>
      </w:r>
    </w:p>
    <w:p w14:paraId="3C42B940"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DEFERIMENTO</w:t>
      </w:r>
    </w:p>
    <w:p w14:paraId="66C9A005"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24  O deferimento do registro será comunicado mediante ofício à empresa e/ou ao intermediário na distribuição, conforme o caso.</w:t>
      </w:r>
    </w:p>
    <w:p w14:paraId="600CBC80"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INDEFERIMENTO</w:t>
      </w:r>
    </w:p>
    <w:p w14:paraId="63A86EC9"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25.  O registro poderá ser indeferido quando o ofertante não cumprir, no prazo estipulado no artigo 23, §2º, as eventuais exigências.</w:t>
      </w:r>
    </w:p>
    <w:p w14:paraId="4FAF11A0"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DISTRIBUIÇÃO E DIVULGAÇÃO</w:t>
      </w:r>
    </w:p>
    <w:p w14:paraId="0A440397"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26.  A distribuição pública de Notas Promissórias só pode ser iniciada após:</w:t>
      </w:r>
    </w:p>
    <w:p w14:paraId="6E4A70E0"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 - concessão do registro pela CVM;</w:t>
      </w:r>
    </w:p>
    <w:p w14:paraId="38D923FB"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II - publicação do anúncio de início de distribuição; e,</w:t>
      </w:r>
    </w:p>
    <w:p w14:paraId="7D462F85"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III - colocação do prospecto à disposição para a necessária entrega aos investidores.</w:t>
      </w:r>
    </w:p>
    <w:p w14:paraId="13E3638D" w14:textId="1EF99B0B"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27.  A distribuição de notas promissórias deve ser encerrada no prazo de noventa dias, para a emissão por companhia fechada, e no prazo de cento e oitenta dias, para a emissão por companhia aberta, contados a partir do deferimento do registro pela CVM.</w:t>
      </w:r>
      <w:r w:rsidR="00DC4B01">
        <w:rPr>
          <w:rFonts w:ascii="Book Antiqua" w:eastAsia="Times New Roman" w:hAnsi="Book Antiqua" w:cs="Times New Roman"/>
          <w:sz w:val="19"/>
          <w:szCs w:val="19"/>
          <w:lang w:eastAsia="pt-BR"/>
        </w:rPr>
        <w:t xml:space="preserve"> (R</w:t>
      </w:r>
      <w:r w:rsidR="00DC4B01" w:rsidRPr="00DC4B01">
        <w:rPr>
          <w:rFonts w:ascii="Book Antiqua" w:eastAsia="Times New Roman" w:hAnsi="Book Antiqua" w:cs="Times New Roman"/>
          <w:sz w:val="19"/>
          <w:szCs w:val="19"/>
          <w:lang w:eastAsia="pt-BR"/>
        </w:rPr>
        <w:t>edação dada pela Instrução CVM nº 292, de 15 de outubro de 1998</w:t>
      </w:r>
      <w:r w:rsidR="00DC4B01">
        <w:rPr>
          <w:rFonts w:ascii="Book Antiqua" w:eastAsia="Times New Roman" w:hAnsi="Book Antiqua" w:cs="Times New Roman"/>
          <w:sz w:val="19"/>
          <w:szCs w:val="19"/>
          <w:lang w:eastAsia="pt-BR"/>
        </w:rPr>
        <w:t>)</w:t>
      </w:r>
    </w:p>
    <w:p w14:paraId="5DCAD318"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28.  As informações referentes à distribuição serão divulgadas através de anúncio de início de distribuição, que deve ser publicado pelo menos 1 (uma) vez em veículo de livre escolha da companhia emissora.</w:t>
      </w:r>
    </w:p>
    <w:p w14:paraId="491118A9"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29.  Qualquer texto publicitário para oferta, anúncio ou promoção da distribuição deve observar as características básicas do prospecto, considerando-se falta grave a divulgação de texto publicitário em desacordo com as condições da emissão aprovadas pela CVM.</w:t>
      </w:r>
    </w:p>
    <w:p w14:paraId="2FEBD62D"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lastRenderedPageBreak/>
        <w:t>RESPONSABILIDADE PELAS INFORMAÇÕES</w:t>
      </w:r>
    </w:p>
    <w:p w14:paraId="05843A78"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30.  A emissora e o líder da distribuição são responsáveis pela veracidade e consistência das informações prestadas por ocasião do registro e fornecidas ao mercado durante o prazo de distribuição.</w:t>
      </w:r>
    </w:p>
    <w:p w14:paraId="3CC3B0F6"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31.  A emissora deverá comunicar, de imediato, à CVM qualquer inadimplência quanto ao cumprimento das obrigações contraídas perante os titulares de notas promissórias.</w:t>
      </w:r>
    </w:p>
    <w:p w14:paraId="3A689D04"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Parágrafo único.  O disposto neste artigo também se aplica ao líder da distribuição durante o prazo de colocação das notas promissórias.</w:t>
      </w:r>
    </w:p>
    <w:p w14:paraId="5A5C7F83"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VERACIDADE DAS INFORMAÇÕES</w:t>
      </w:r>
    </w:p>
    <w:p w14:paraId="2994B55C"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32.  O registro de que trata esta Instrução tem a finalidade de garantir ao investidor o acesso às informações sobre a empresa emissora e os valores mobiliários objeto da distribuição, e não implica, por parte da CVM, garantia de veracidade dessas informações, nem julgamento sobre a qualidade da companhia ou sobre as notas promissórias a serem distribuídas.</w:t>
      </w:r>
    </w:p>
    <w:p w14:paraId="48FE4C0F"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SUSPENSÃO DA DISTRIBUIÇÃO</w:t>
      </w:r>
    </w:p>
    <w:p w14:paraId="5EB8B9C8"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33.  A CVM pode suspender a distribuição quando:</w:t>
      </w:r>
    </w:p>
    <w:p w14:paraId="6FBC21CB"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 - for fraudulenta ou ilegal, ainda que após efetuado o registro;</w:t>
      </w:r>
    </w:p>
    <w:p w14:paraId="1F69576B"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II - a oferta, lançamento, promoção ou a divulgação estejam ocorrendo sem o devido registro, ou em condições diversas das constantes desta Instrução, ou do registro, ou com informações falsas, dolosas, ambíguas ou imprecisas.</w:t>
      </w:r>
    </w:p>
    <w:p w14:paraId="274B624A"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Parágrafo único.  A CVM comunicará a suspensão às entidades participantes da distribuição e dará ampla divulgação aos demais integrantes do mercado de valores mobiliários.</w:t>
      </w:r>
    </w:p>
    <w:p w14:paraId="12067020"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34.  A Bolsa de Valores pode, igualmente, suspender em seu recinto qualquer negociação que se esteja processando de forma contrária à presente Instrução, comunicando imediatamente o fato à CVM.</w:t>
      </w:r>
    </w:p>
    <w:p w14:paraId="1C083ACB"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REMUNERAÇÃO PELOS SERVIÇOS PRESTADOS</w:t>
      </w:r>
    </w:p>
    <w:p w14:paraId="02C435F2"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35.  A CVM cobrará taxa de registro de que trata esta Instrução, de acordo com as disposições legais e regulamentares.</w:t>
      </w:r>
    </w:p>
    <w:p w14:paraId="3C56413B"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PENALIDADES</w:t>
      </w:r>
    </w:p>
    <w:p w14:paraId="541156BE"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36.  Considera-se infração grave, para os efeitos do § 3º, do artigo 11, da Lei 6.385, de 07 de dezembro de 1976, a realização das distribuições de que trata esta Instrução:</w:t>
      </w:r>
    </w:p>
    <w:p w14:paraId="38398D7E"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 - em condições diversas das constantes do registro ou desta Instrução;</w:t>
      </w:r>
    </w:p>
    <w:p w14:paraId="12F5E5C8"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II - sem prévio registro na CVM;</w:t>
      </w:r>
    </w:p>
    <w:p w14:paraId="7E7CD64F"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III - em que as informações sejam falsas, dolosas, ambíguas ou imprecisas;</w:t>
      </w:r>
    </w:p>
    <w:p w14:paraId="16369ECC"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IV - o descumprimento ao disposto nos artigos 30 e 31. </w:t>
      </w:r>
    </w:p>
    <w:p w14:paraId="4876A298"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37.  São responsáveis pelo cumprimento das normas da presente Instrução a emissora e os intermediários que participarem da colocação.</w:t>
      </w:r>
    </w:p>
    <w:p w14:paraId="0A487AB0" w14:textId="77777777" w:rsidR="009A152E" w:rsidRPr="009A152E" w:rsidRDefault="009A152E" w:rsidP="009A152E">
      <w:pPr>
        <w:overflowPunct w:val="0"/>
        <w:autoSpaceDE w:val="0"/>
        <w:autoSpaceDN w:val="0"/>
        <w:adjustRightInd w:val="0"/>
        <w:spacing w:before="200" w:after="20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DAS DISPOSIÇÕES FINAIS</w:t>
      </w:r>
    </w:p>
    <w:p w14:paraId="199760C5"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Art. 38.  Esta Instrução entra em vigor na data de sua publicação no Diário Oficial da União.</w:t>
      </w:r>
    </w:p>
    <w:p w14:paraId="5F682D32" w14:textId="77777777" w:rsidR="009A152E" w:rsidRPr="009A152E" w:rsidRDefault="009A152E" w:rsidP="009A152E">
      <w:pPr>
        <w:overflowPunct w:val="0"/>
        <w:autoSpaceDE w:val="0"/>
        <w:autoSpaceDN w:val="0"/>
        <w:adjustRightInd w:val="0"/>
        <w:spacing w:before="200" w:after="200" w:line="240" w:lineRule="auto"/>
        <w:ind w:left="567" w:right="1134" w:firstLine="567"/>
        <w:jc w:val="both"/>
        <w:textAlignment w:val="baseline"/>
        <w:outlineLvl w:val="0"/>
        <w:rPr>
          <w:rFonts w:ascii="Book Antiqua" w:eastAsia="Times New Roman" w:hAnsi="Book Antiqua" w:cs="Times New Roman"/>
          <w:b/>
          <w:kern w:val="28"/>
          <w:sz w:val="19"/>
          <w:szCs w:val="19"/>
          <w:lang w:eastAsia="pt-BR"/>
        </w:rPr>
      </w:pPr>
    </w:p>
    <w:p w14:paraId="3A9AC9E1" w14:textId="77777777" w:rsidR="009A152E" w:rsidRPr="009A152E" w:rsidRDefault="009A152E" w:rsidP="009A152E">
      <w:pPr>
        <w:overflowPunct w:val="0"/>
        <w:autoSpaceDE w:val="0"/>
        <w:autoSpaceDN w:val="0"/>
        <w:adjustRightInd w:val="0"/>
        <w:spacing w:after="0" w:line="240" w:lineRule="auto"/>
        <w:ind w:left="567" w:right="1134" w:firstLine="567"/>
        <w:jc w:val="center"/>
        <w:textAlignment w:val="baseline"/>
        <w:outlineLvl w:val="0"/>
        <w:rPr>
          <w:rFonts w:ascii="Book Antiqua" w:eastAsia="Times New Roman" w:hAnsi="Book Antiqua" w:cs="Times New Roman"/>
          <w:bCs/>
          <w:i/>
          <w:iCs/>
          <w:kern w:val="28"/>
          <w:sz w:val="19"/>
          <w:szCs w:val="19"/>
          <w:lang w:eastAsia="pt-BR"/>
        </w:rPr>
      </w:pPr>
      <w:r w:rsidRPr="009A152E">
        <w:rPr>
          <w:rFonts w:ascii="Book Antiqua" w:eastAsia="Times New Roman" w:hAnsi="Book Antiqua" w:cs="Times New Roman"/>
          <w:bCs/>
          <w:i/>
          <w:iCs/>
          <w:kern w:val="28"/>
          <w:sz w:val="19"/>
          <w:szCs w:val="19"/>
          <w:lang w:eastAsia="pt-BR"/>
        </w:rPr>
        <w:t>Original assinado por</w:t>
      </w:r>
    </w:p>
    <w:p w14:paraId="5F3F9A19" w14:textId="77777777" w:rsidR="009A152E" w:rsidRPr="009A152E" w:rsidRDefault="009A152E" w:rsidP="009A152E">
      <w:pPr>
        <w:overflowPunct w:val="0"/>
        <w:autoSpaceDE w:val="0"/>
        <w:autoSpaceDN w:val="0"/>
        <w:adjustRightInd w:val="0"/>
        <w:spacing w:after="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t>ARY OSWALDO MATTOS FILHO</w:t>
      </w:r>
    </w:p>
    <w:p w14:paraId="2607975C" w14:textId="77777777" w:rsidR="009A152E" w:rsidRPr="009A152E" w:rsidRDefault="009A152E" w:rsidP="009A152E">
      <w:pPr>
        <w:overflowPunct w:val="0"/>
        <w:autoSpaceDE w:val="0"/>
        <w:autoSpaceDN w:val="0"/>
        <w:adjustRightInd w:val="0"/>
        <w:spacing w:after="0" w:line="240" w:lineRule="auto"/>
        <w:ind w:left="567" w:right="1134" w:firstLine="567"/>
        <w:jc w:val="center"/>
        <w:textAlignment w:val="baseline"/>
        <w:outlineLvl w:val="0"/>
        <w:rPr>
          <w:rFonts w:ascii="Book Antiqua" w:eastAsia="Times New Roman" w:hAnsi="Book Antiqua" w:cs="Times New Roman"/>
          <w:b/>
          <w:kern w:val="28"/>
          <w:sz w:val="19"/>
          <w:szCs w:val="19"/>
          <w:lang w:eastAsia="pt-BR"/>
        </w:rPr>
      </w:pPr>
      <w:r w:rsidRPr="009A152E">
        <w:rPr>
          <w:rFonts w:ascii="Book Antiqua" w:eastAsia="Times New Roman" w:hAnsi="Book Antiqua" w:cs="Times New Roman"/>
          <w:b/>
          <w:kern w:val="28"/>
          <w:sz w:val="19"/>
          <w:szCs w:val="19"/>
          <w:lang w:eastAsia="pt-BR"/>
        </w:rPr>
        <w:lastRenderedPageBreak/>
        <w:t>Presidente</w:t>
      </w:r>
    </w:p>
    <w:p w14:paraId="0C467BF1"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p>
    <w:p w14:paraId="070D8606"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sectPr w:rsidR="009A152E" w:rsidRPr="009A152E" w:rsidSect="00DC4B01">
          <w:headerReference w:type="even" r:id="rId7"/>
          <w:headerReference w:type="default" r:id="rId8"/>
          <w:pgSz w:w="11907" w:h="16840" w:code="9"/>
          <w:pgMar w:top="1276" w:right="567" w:bottom="993" w:left="1134" w:header="567" w:footer="709" w:gutter="0"/>
          <w:cols w:space="720"/>
          <w:titlePg/>
          <w:docGrid w:linePitch="65"/>
        </w:sectPr>
      </w:pPr>
    </w:p>
    <w:p w14:paraId="2CDB53DF" w14:textId="77777777" w:rsidR="009A152E" w:rsidRPr="009A152E" w:rsidRDefault="009A152E" w:rsidP="009A152E">
      <w:pPr>
        <w:keepNext/>
        <w:spacing w:before="200" w:after="200" w:line="240" w:lineRule="auto"/>
        <w:ind w:left="567" w:right="1134" w:firstLine="567"/>
        <w:jc w:val="center"/>
        <w:outlineLvl w:val="3"/>
        <w:rPr>
          <w:rFonts w:ascii="Book Antiqua" w:eastAsia="Times New Roman" w:hAnsi="Book Antiqua" w:cs="Times New Roman"/>
          <w:b/>
          <w:bCs/>
          <w:sz w:val="19"/>
          <w:szCs w:val="19"/>
          <w:lang w:eastAsia="pt-BR"/>
        </w:rPr>
      </w:pPr>
      <w:r w:rsidRPr="009A152E">
        <w:rPr>
          <w:rFonts w:ascii="Book Antiqua" w:eastAsia="Times New Roman" w:hAnsi="Book Antiqua" w:cs="Times New Roman"/>
          <w:b/>
          <w:bCs/>
          <w:sz w:val="19"/>
          <w:szCs w:val="19"/>
          <w:lang w:eastAsia="pt-BR"/>
        </w:rPr>
        <w:lastRenderedPageBreak/>
        <w:t>ANEXO I</w:t>
      </w:r>
    </w:p>
    <w:p w14:paraId="752D549F" w14:textId="77777777" w:rsidR="009A152E" w:rsidRPr="009A152E" w:rsidRDefault="009A152E" w:rsidP="009A152E">
      <w:pPr>
        <w:spacing w:before="200" w:after="200" w:line="240" w:lineRule="auto"/>
        <w:ind w:left="567" w:right="1134"/>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INFORMAÇÕES MÍNIMAS SOBRE A DISTRIBUIÇÃO DAS NOTAS PROMISSÓRIAS A SEREM INCLUÍDAS NO PROSPECTO</w:t>
      </w:r>
    </w:p>
    <w:p w14:paraId="671443F5"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1. Nome e endereço da empresa emissora das notas promissórias;</w:t>
      </w:r>
    </w:p>
    <w:p w14:paraId="0F7FF2F0"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2. Nome da(s) instituição (</w:t>
      </w:r>
      <w:proofErr w:type="spellStart"/>
      <w:r w:rsidRPr="009A152E">
        <w:rPr>
          <w:rFonts w:ascii="Book Antiqua" w:eastAsia="Times New Roman" w:hAnsi="Book Antiqua" w:cs="Times New Roman"/>
          <w:sz w:val="19"/>
          <w:szCs w:val="19"/>
          <w:lang w:eastAsia="pt-BR"/>
        </w:rPr>
        <w:t>ões</w:t>
      </w:r>
      <w:proofErr w:type="spellEnd"/>
      <w:r w:rsidRPr="009A152E">
        <w:rPr>
          <w:rFonts w:ascii="Book Antiqua" w:eastAsia="Times New Roman" w:hAnsi="Book Antiqua" w:cs="Times New Roman"/>
          <w:sz w:val="19"/>
          <w:szCs w:val="19"/>
          <w:lang w:eastAsia="pt-BR"/>
        </w:rPr>
        <w:t>) escolhida(s) para promover a colocação das notas promissórias;</w:t>
      </w:r>
    </w:p>
    <w:p w14:paraId="3A978800"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3. Esclarecimentos quanto à forma de colocação dos títulos, deixando claro se a distribuição será feita em bolsa ou no mercado de balcão;</w:t>
      </w:r>
    </w:p>
    <w:p w14:paraId="62494549"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4. Principais características da distribuição e das notas promissórias a serem ofertadas:</w:t>
      </w:r>
    </w:p>
    <w:p w14:paraId="2FF3E0D4"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4.1. montante, quantidade, forma, valor nominal e prazo de vencimento das notas promissórias;</w:t>
      </w:r>
    </w:p>
    <w:p w14:paraId="3A0500A7"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4.2. condições de remuneração e de atualização monetária, se houver;</w:t>
      </w:r>
    </w:p>
    <w:p w14:paraId="6CF6E620"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4.3. preço de venda para pagamento à vista;</w:t>
      </w:r>
    </w:p>
    <w:p w14:paraId="56E74333"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4.4. data da deliberação sobre a emissão;</w:t>
      </w:r>
    </w:p>
    <w:p w14:paraId="0109D2D3"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4.5. caso existam linhas de crédito ou seguro contratado para pagamento do título, esclarecer o nome do garantidor e as principais características do contrato;</w:t>
      </w:r>
    </w:p>
    <w:p w14:paraId="70E98D37"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4.6. bolsa de valores e a data (ou prazo) onde se realizará a operação, se for o caso;</w:t>
      </w:r>
    </w:p>
    <w:p w14:paraId="4ADB6966"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4.7. informar que o investidor interessado em adquirir a nota promissória poderá fazê-lo através de sociedade corretora de sua livre escolha, quando a oferta ocorrer em bolsa de valores;</w:t>
      </w:r>
    </w:p>
    <w:p w14:paraId="5E673B28"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4.8. nome do agente emissor dos certificados, se for o caso, e da instituição responsável pelo resgate dos títulos;</w:t>
      </w:r>
    </w:p>
    <w:p w14:paraId="395543D9"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4.9. esclarecer as principais características do contrato de colocação, tais como: prazos, custo de distribuição, condições da garantia de subscrição, etc.;</w:t>
      </w:r>
    </w:p>
    <w:p w14:paraId="1718BF44"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4.10. informar, caso existam, as relações da empresa emissora com o líder da distribuição e com a instituição fornecedora da linha de crédito ou do seguro para pagamento dos títulos;</w:t>
      </w:r>
    </w:p>
    <w:p w14:paraId="2B6E489B"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5. Informações sobre a companhia emissora:</w:t>
      </w:r>
    </w:p>
    <w:p w14:paraId="40E41EED"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5.1. capital social autorizado, subscrito e integralizado até a data do evento;</w:t>
      </w:r>
    </w:p>
    <w:p w14:paraId="0A8341EB"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5.2. distribuição do capital social relacionando os acionistas detentores de mais de 5% das ações ordinárias e preferenciais com direito a voto;</w:t>
      </w:r>
    </w:p>
    <w:p w14:paraId="68848359"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5.3. ramo de atividade, explicitando seus principais produtos e serviços;</w:t>
      </w:r>
    </w:p>
    <w:p w14:paraId="3EAFE944"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5.4. principais sociedades controladas e coligadas;</w:t>
      </w:r>
    </w:p>
    <w:p w14:paraId="7D9499CF"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5.5. dados econômico-financeiros do último exercício social encerrado e do demonstrativo contábil previsto  no artigo 3º da Instrução, que discriminem: Receita Líquida, Lucro Operacional, Lucro Líquido, Exigível Total, Patrimônio Líquido, Capital Social, Lucro Líquido/Receita Líquida (índice), Passivo Circulante mais Exigível a Longo Prazo/Patrimônio Líquido;</w:t>
      </w:r>
    </w:p>
    <w:p w14:paraId="48DD9EAC"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5.6. quadro de ajustes nas informações considerando os eventos </w:t>
      </w:r>
      <w:proofErr w:type="spellStart"/>
      <w:r w:rsidRPr="009A152E">
        <w:rPr>
          <w:rFonts w:ascii="Book Antiqua" w:eastAsia="Times New Roman" w:hAnsi="Book Antiqua" w:cs="Times New Roman"/>
          <w:sz w:val="19"/>
          <w:szCs w:val="19"/>
          <w:lang w:eastAsia="pt-BR"/>
        </w:rPr>
        <w:t>subseqüentes</w:t>
      </w:r>
      <w:proofErr w:type="spellEnd"/>
      <w:r w:rsidRPr="009A152E">
        <w:rPr>
          <w:rFonts w:ascii="Book Antiqua" w:eastAsia="Times New Roman" w:hAnsi="Book Antiqua" w:cs="Times New Roman"/>
          <w:sz w:val="19"/>
          <w:szCs w:val="19"/>
          <w:lang w:eastAsia="pt-BR"/>
        </w:rPr>
        <w:t>, se for o caso;</w:t>
      </w:r>
    </w:p>
    <w:p w14:paraId="791D0BB7"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5.7. informar os valores e vencimentos das notas promissórias emitidas anteriormente e ainda não resgatadas;</w:t>
      </w:r>
    </w:p>
    <w:p w14:paraId="6A576683"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6. Os dizeres, de forma destacada, na capa do Prospecto:</w:t>
      </w:r>
    </w:p>
    <w:p w14:paraId="36049352"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 xml:space="preserve">"O REGISTRO DA PRESENTE DISTRIBUIÇÃO NA COMISSÃO DE VALORES MOBILIÁRIOS OBJETIVA, SOMENTE GARANTIR O ACESSO ÀS INFORMAÇÕES PRESTADAS, NÃO </w:t>
      </w:r>
      <w:r w:rsidRPr="009A152E">
        <w:rPr>
          <w:rFonts w:ascii="Book Antiqua" w:eastAsia="Times New Roman" w:hAnsi="Book Antiqua" w:cs="Times New Roman"/>
          <w:sz w:val="19"/>
          <w:szCs w:val="19"/>
          <w:lang w:eastAsia="pt-BR"/>
        </w:rPr>
        <w:lastRenderedPageBreak/>
        <w:t>IMPLICANDO, POR PARTE DA CVM, GARANTIA DA VERACIDADE DAQUELAS INFORMAÇÕES, NEM JULGAMENTO QUANTO À QUALIDADE DA COMPANHIA EMISSORA OU SOBRE OS VALORES MOBILIÁRIOS A SEREM DISTRIBUÍDOS".</w:t>
      </w:r>
    </w:p>
    <w:p w14:paraId="6894818F"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7. Informações adicionais tais como:</w:t>
      </w:r>
    </w:p>
    <w:p w14:paraId="243B43D0"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7.1. outras informações que o ofertante e o intermediário(s) julgarem relevantes;</w:t>
      </w:r>
    </w:p>
    <w:p w14:paraId="10A53584"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7.2. esclarecer a situação do registro da companhia emissora junto à CVM;</w:t>
      </w:r>
    </w:p>
    <w:p w14:paraId="2D02D036"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7.3. informar onde poderão ser obtidas maiores informações sobre a empresa emissora;</w:t>
      </w:r>
    </w:p>
    <w:p w14:paraId="5FFA777D"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7.4. declaração de que inexiste informação relevante sobre a empresa que não seja do conhecimento público;</w:t>
      </w:r>
    </w:p>
    <w:p w14:paraId="26C6E861"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7.5. número e data do registro na CVM, de forma destacada.</w:t>
      </w:r>
    </w:p>
    <w:p w14:paraId="37CD8F48"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sectPr w:rsidR="009A152E" w:rsidRPr="009A152E" w:rsidSect="00DC4B01">
          <w:pgSz w:w="11907" w:h="16840" w:code="9"/>
          <w:pgMar w:top="1418" w:right="567" w:bottom="993" w:left="1134" w:header="567" w:footer="709" w:gutter="0"/>
          <w:cols w:space="720"/>
          <w:docGrid w:linePitch="65"/>
        </w:sectPr>
      </w:pPr>
    </w:p>
    <w:p w14:paraId="63FE7FEA" w14:textId="77777777" w:rsidR="009A152E" w:rsidRPr="009A152E" w:rsidRDefault="009A152E" w:rsidP="009A152E">
      <w:pPr>
        <w:keepNext/>
        <w:spacing w:before="200" w:after="200" w:line="240" w:lineRule="auto"/>
        <w:ind w:left="567" w:right="1134" w:firstLine="567"/>
        <w:jc w:val="center"/>
        <w:outlineLvl w:val="3"/>
        <w:rPr>
          <w:rFonts w:ascii="Book Antiqua" w:eastAsia="Times New Roman" w:hAnsi="Book Antiqua" w:cs="Times New Roman"/>
          <w:b/>
          <w:bCs/>
          <w:sz w:val="19"/>
          <w:szCs w:val="19"/>
          <w:lang w:eastAsia="pt-BR"/>
        </w:rPr>
      </w:pPr>
      <w:r w:rsidRPr="009A152E">
        <w:rPr>
          <w:rFonts w:ascii="Book Antiqua" w:eastAsia="Times New Roman" w:hAnsi="Book Antiqua" w:cs="Times New Roman"/>
          <w:b/>
          <w:bCs/>
          <w:sz w:val="19"/>
          <w:szCs w:val="19"/>
          <w:lang w:eastAsia="pt-BR"/>
        </w:rPr>
        <w:lastRenderedPageBreak/>
        <w:t>ANEXO II</w:t>
      </w:r>
    </w:p>
    <w:p w14:paraId="357E2E24"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ANÚNCIO DE INÍCIO DE DISTRIBUIÇÃO DE NOTAS PROMISSÓRIAS</w:t>
      </w:r>
    </w:p>
    <w:p w14:paraId="44BCF7C4"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1. Nome e endereço da companhia emissora dos títulos;</w:t>
      </w:r>
    </w:p>
    <w:p w14:paraId="2079E821"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2. Nome da instituição responsável pela colocação e dos demais consorciados;</w:t>
      </w:r>
    </w:p>
    <w:p w14:paraId="7FCB103A"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3. Principais características da distribuição e das notas promissórias a serem ofertadas:</w:t>
      </w:r>
    </w:p>
    <w:p w14:paraId="2C3A83E6"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3.1. montante, quantidade, forma, valor nominal e prazo de vencimento das notas promissórias;</w:t>
      </w:r>
    </w:p>
    <w:p w14:paraId="5BE2C7B9"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3.2. data da reunião do órgão societário que deliberou sobre a emissão;</w:t>
      </w:r>
    </w:p>
    <w:p w14:paraId="2614F4C0"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3.3. condições de remuneração e de atualização monetária; se houver;</w:t>
      </w:r>
    </w:p>
    <w:p w14:paraId="0CFE3CD9"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3.4. preço de venda;</w:t>
      </w:r>
    </w:p>
    <w:p w14:paraId="1071152B"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3.5. caso existam linhas de crédito ou seguro contratado para pagamento dos títulos, esclarecer o nome do garantidor e as principais características do contrato;</w:t>
      </w:r>
    </w:p>
    <w:p w14:paraId="5D45DF45"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3.6. Prazo de vencimento das notas promissórias;</w:t>
      </w:r>
    </w:p>
    <w:p w14:paraId="5C93534D"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3.7. nome do agente emissor dos certificados, se for o caso, e da instituição responsável pelo resgate dos títulos;</w:t>
      </w:r>
    </w:p>
    <w:p w14:paraId="1AEF86C5"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3.8. local de pagamento das notas promissórias;</w:t>
      </w:r>
    </w:p>
    <w:p w14:paraId="7211E637"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4. Data do início da distribuição;</w:t>
      </w:r>
    </w:p>
    <w:p w14:paraId="33B9C417"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5. Procedimento previsto para a distribuição, explicitando o tipo de tratamento que será dado aos interessados e se a distribuição será feita em bolsa ou no mercado de balcão;</w:t>
      </w:r>
    </w:p>
    <w:p w14:paraId="78A486C9"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6. Locais onde as notas promissórias poderão ser adquiridas. Se a operação for realizada em bolsa, informar que os investidores interessados em adquirir a nota promissória poderão fazê-lo através de sociedade corretora de sua livre escolha;</w:t>
      </w:r>
    </w:p>
    <w:p w14:paraId="5AD3C474"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7. Esclarecimento de que maiores informações sobre a distribuição poderão ser obtidas junto à instituição líder/consorciados ou na CVM;</w:t>
      </w:r>
    </w:p>
    <w:p w14:paraId="092484AA"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8. Número e data do registro na CVM de forma destacada;</w:t>
      </w:r>
    </w:p>
    <w:p w14:paraId="59021E29"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9. Os dizeres a seguir, com destaque:</w:t>
      </w:r>
    </w:p>
    <w:p w14:paraId="414BF1C5"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"O REGISTRO DA PRESENTE DISTRIBUIÇÃO NA COMISSÃO DE VALORES MOBILIÁRIOS OBJETIVA SOMENTE GARANTIR O ACESSO ÀS INFORMAÇÕES PRESTADAS, NÃO IMPLICANDO, POR PARTE DA CVM, GARANTIA DA VERACIDADE DAQUELAS INFORMAÇÕES, NEM JULGAMENTO QUANTO À QUALIDADE DA COMPANHIA EMISSORA OU SOBRE OS VALORES MOBILIÁRIOS A SEREM DISTRIBUÍDOS".</w:t>
      </w:r>
    </w:p>
    <w:p w14:paraId="1986FB78"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sectPr w:rsidR="009A152E" w:rsidRPr="009A152E" w:rsidSect="00DC4B01">
          <w:pgSz w:w="11907" w:h="16840" w:code="9"/>
          <w:pgMar w:top="1135" w:right="567" w:bottom="993" w:left="1134" w:header="567" w:footer="709" w:gutter="0"/>
          <w:cols w:space="720"/>
          <w:docGrid w:linePitch="65"/>
        </w:sectPr>
      </w:pPr>
    </w:p>
    <w:p w14:paraId="6A69E975" w14:textId="77777777" w:rsidR="009A152E" w:rsidRPr="009A152E" w:rsidRDefault="009A152E" w:rsidP="009A152E">
      <w:pPr>
        <w:keepNext/>
        <w:spacing w:before="200" w:after="200" w:line="240" w:lineRule="auto"/>
        <w:ind w:left="567" w:right="1134" w:firstLine="567"/>
        <w:jc w:val="center"/>
        <w:outlineLvl w:val="3"/>
        <w:rPr>
          <w:rFonts w:ascii="Book Antiqua" w:eastAsia="Times New Roman" w:hAnsi="Book Antiqua" w:cs="Times New Roman"/>
          <w:b/>
          <w:bCs/>
          <w:sz w:val="19"/>
          <w:szCs w:val="19"/>
          <w:lang w:eastAsia="pt-BR"/>
        </w:rPr>
      </w:pPr>
      <w:r w:rsidRPr="009A152E">
        <w:rPr>
          <w:rFonts w:ascii="Book Antiqua" w:eastAsia="Times New Roman" w:hAnsi="Book Antiqua" w:cs="Times New Roman"/>
          <w:b/>
          <w:bCs/>
          <w:sz w:val="19"/>
          <w:szCs w:val="19"/>
          <w:lang w:eastAsia="pt-BR"/>
        </w:rPr>
        <w:lastRenderedPageBreak/>
        <w:t>ANEXO III</w:t>
      </w:r>
    </w:p>
    <w:p w14:paraId="7C2E168D"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ANÚNCIO DE ENCERRAMENTO DA DISTRIBUIÇÃO DE NOTAS PROMISSÓRIAS</w:t>
      </w:r>
    </w:p>
    <w:p w14:paraId="0F241264"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1. Nome e endereço da companhia emissora;</w:t>
      </w:r>
    </w:p>
    <w:p w14:paraId="75E240D8"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2. Montante, quantidade, forma e preço das notas promissórias distribuídas;</w:t>
      </w:r>
    </w:p>
    <w:p w14:paraId="03DE995B"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3. Relação das instituições que participaram do lançamento;</w:t>
      </w:r>
    </w:p>
    <w:p w14:paraId="0DADE757"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4. Número e data do registro na CVM, de forma destacada;</w:t>
      </w:r>
    </w:p>
    <w:p w14:paraId="6390BFAF"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5. Os dizeres, de forma destacada:</w:t>
      </w:r>
    </w:p>
    <w:p w14:paraId="43167690" w14:textId="77777777" w:rsidR="009A152E" w:rsidRPr="009A152E" w:rsidRDefault="009A152E" w:rsidP="009A152E">
      <w:pPr>
        <w:spacing w:before="200" w:after="200" w:line="240" w:lineRule="auto"/>
        <w:ind w:left="567" w:right="1134" w:firstLine="567"/>
        <w:jc w:val="both"/>
        <w:rPr>
          <w:rFonts w:ascii="Book Antiqua" w:eastAsia="Times New Roman" w:hAnsi="Book Antiqua" w:cs="Times New Roman"/>
          <w:sz w:val="19"/>
          <w:szCs w:val="19"/>
          <w:lang w:eastAsia="pt-BR"/>
        </w:rPr>
      </w:pPr>
      <w:r w:rsidRPr="009A152E">
        <w:rPr>
          <w:rFonts w:ascii="Book Antiqua" w:eastAsia="Times New Roman" w:hAnsi="Book Antiqua" w:cs="Times New Roman"/>
          <w:sz w:val="19"/>
          <w:szCs w:val="19"/>
          <w:lang w:eastAsia="pt-BR"/>
        </w:rPr>
        <w:t>"ESTE ANÚNCIO É DE CARÁTER EXCLUSIVAMENTE INFORMATIVO NÃO SE TRATANDO DE OFERTA DE VENDA DE VALORES MOBILIÁRIOS".</w:t>
      </w:r>
    </w:p>
    <w:p w14:paraId="3F95235B" w14:textId="77777777" w:rsidR="007907E6" w:rsidRPr="009A152E" w:rsidRDefault="007907E6">
      <w:pPr>
        <w:ind w:left="567" w:right="1134"/>
        <w:rPr>
          <w:rFonts w:ascii="Book Antiqua" w:hAnsi="Book Antiqua"/>
          <w:sz w:val="19"/>
          <w:szCs w:val="19"/>
        </w:rPr>
      </w:pPr>
    </w:p>
    <w:sectPr w:rsidR="007907E6" w:rsidRPr="009A152E" w:rsidSect="00DC4B01">
      <w:pgSz w:w="11907" w:h="16840" w:code="9"/>
      <w:pgMar w:top="1134" w:right="567" w:bottom="1417" w:left="1134" w:header="567" w:footer="709" w:gutter="0"/>
      <w:cols w:space="720"/>
      <w:docGrid w:linePitch="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AA9FA" w14:textId="77777777" w:rsidR="00772CB2" w:rsidRDefault="00772CB2">
      <w:pPr>
        <w:spacing w:after="0" w:line="240" w:lineRule="auto"/>
      </w:pPr>
      <w:r>
        <w:separator/>
      </w:r>
    </w:p>
  </w:endnote>
  <w:endnote w:type="continuationSeparator" w:id="0">
    <w:p w14:paraId="4982C707" w14:textId="77777777" w:rsidR="00772CB2" w:rsidRDefault="00772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00"/>
    <w:family w:val="roman"/>
    <w:pitch w:val="variable"/>
    <w:sig w:usb0="00000003" w:usb1="00000000" w:usb2="00000000" w:usb3="00000000" w:csb0="00000001"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1A305" w14:textId="77777777" w:rsidR="00772CB2" w:rsidRDefault="00772CB2">
      <w:pPr>
        <w:spacing w:after="0" w:line="240" w:lineRule="auto"/>
      </w:pPr>
      <w:r>
        <w:separator/>
      </w:r>
    </w:p>
  </w:footnote>
  <w:footnote w:type="continuationSeparator" w:id="0">
    <w:p w14:paraId="2906FEBA" w14:textId="77777777" w:rsidR="00772CB2" w:rsidRDefault="00772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F51EC" w14:textId="77777777" w:rsidR="009A152E" w:rsidRDefault="009A152E">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F869BE1" w14:textId="77777777" w:rsidR="009A152E" w:rsidRDefault="009A152E">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14FF9" w14:textId="77777777" w:rsidR="009A152E" w:rsidRDefault="009A152E">
    <w:pPr>
      <w:pStyle w:val="Cabealho"/>
      <w:framePr w:wrap="around" w:vAnchor="text" w:hAnchor="margin" w:xAlign="right" w:y="1"/>
      <w:rPr>
        <w:rStyle w:val="Nmerodepgina"/>
      </w:rPr>
    </w:pPr>
  </w:p>
  <w:p w14:paraId="6EF5F2F3" w14:textId="77777777" w:rsidR="009A152E" w:rsidRDefault="009A152E">
    <w:pPr>
      <w:pStyle w:val="Cabealho"/>
      <w:ind w:right="360"/>
    </w:pPr>
  </w:p>
  <w:p w14:paraId="6C7638E7" w14:textId="77777777" w:rsidR="009A152E" w:rsidRDefault="009A152E">
    <w:pPr>
      <w:pStyle w:val="Cabealho"/>
      <w:ind w:right="360"/>
      <w:rPr>
        <w:b/>
        <w:bCs/>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8E39CE"/>
    <w:multiLevelType w:val="hybridMultilevel"/>
    <w:tmpl w:val="8FF2AC8A"/>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7E6"/>
    <w:rsid w:val="00772CB2"/>
    <w:rsid w:val="007907E6"/>
    <w:rsid w:val="007E07AD"/>
    <w:rsid w:val="008262BC"/>
    <w:rsid w:val="009A152E"/>
    <w:rsid w:val="00B86DD6"/>
    <w:rsid w:val="00DC4B01"/>
    <w:rsid w:val="00E547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36E3C"/>
  <w15:chartTrackingRefBased/>
  <w15:docId w15:val="{D966C213-4553-4FC5-90AA-EA318C912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semiHidden/>
    <w:unhideWhenUsed/>
    <w:rsid w:val="009A152E"/>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9A152E"/>
  </w:style>
  <w:style w:type="character" w:styleId="Nmerodepgina">
    <w:name w:val="page number"/>
    <w:basedOn w:val="Fontepargpadro"/>
    <w:semiHidden/>
    <w:rsid w:val="009A152E"/>
  </w:style>
  <w:style w:type="table" w:styleId="Tabelacomgrade">
    <w:name w:val="Table Grid"/>
    <w:basedOn w:val="Tabelanormal"/>
    <w:uiPriority w:val="39"/>
    <w:rsid w:val="00DC4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semiHidden/>
    <w:rsid w:val="007E07AD"/>
    <w:pPr>
      <w:spacing w:before="100" w:beforeAutospacing="1" w:after="100" w:afterAutospacing="1" w:line="240" w:lineRule="auto"/>
    </w:pPr>
    <w:rPr>
      <w:rFonts w:ascii="Arial Unicode MS" w:eastAsia="Arial Unicode MS" w:hAnsi="Arial Unicode MS" w:cs="Arial Unicode MS"/>
      <w:color w:val="000000"/>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3208</Words>
  <Characters>17328</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2020-09-08T14:52:00Z</dcterms:created>
  <dcterms:modified xsi:type="dcterms:W3CDTF">2022-02-02T21:29:00Z</dcterms:modified>
</cp:coreProperties>
</file>