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EEBB" w14:textId="77777777" w:rsidR="001E6AF1" w:rsidRPr="001E6AF1" w:rsidRDefault="00C14581" w:rsidP="001E6AF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"http://legislacao.planalto.gov.br/legisla/legislacao.nsf/Viw_Identificacao/lei%2012.353-2010?OpenDocument" </w:instrText>
      </w:r>
      <w:r>
        <w:fldChar w:fldCharType="separate"/>
      </w:r>
      <w:r w:rsidR="001E6AF1" w:rsidRPr="001E6AF1">
        <w:rPr>
          <w:rFonts w:ascii="Book Antiqua" w:eastAsia="Times New Roman" w:hAnsi="Book Antiqua" w:cs="Arial"/>
          <w:b/>
          <w:bCs/>
          <w:color w:val="000080"/>
          <w:sz w:val="19"/>
          <w:szCs w:val="19"/>
          <w:u w:val="single"/>
          <w:lang w:eastAsia="pt-BR"/>
        </w:rPr>
        <w:t>LEI Nº 12.353, DE 28 DE DEZEMBRO DE 2010.</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E6AF1" w:rsidRPr="001E6AF1" w14:paraId="54B8EBBE" w14:textId="77777777" w:rsidTr="001E6AF1">
        <w:trPr>
          <w:tblCellSpacing w:w="0" w:type="dxa"/>
        </w:trPr>
        <w:tc>
          <w:tcPr>
            <w:tcW w:w="1333" w:type="pct"/>
            <w:vAlign w:val="center"/>
            <w:hideMark/>
          </w:tcPr>
          <w:p w14:paraId="340C5DB7" w14:textId="77777777" w:rsidR="001E6AF1" w:rsidRPr="001E6AF1" w:rsidRDefault="001E6AF1" w:rsidP="001E6AF1">
            <w:pPr>
              <w:spacing w:before="100" w:beforeAutospacing="1" w:after="100" w:afterAutospacing="1" w:line="240" w:lineRule="auto"/>
              <w:jc w:val="both"/>
              <w:rPr>
                <w:rFonts w:ascii="Book Antiqua" w:eastAsia="Times New Roman" w:hAnsi="Book Antiqua" w:cs="Times New Roman"/>
                <w:sz w:val="18"/>
                <w:szCs w:val="18"/>
                <w:lang w:eastAsia="pt-BR"/>
              </w:rPr>
            </w:pPr>
            <w:r w:rsidRPr="001E6AF1">
              <w:rPr>
                <w:rFonts w:ascii="Book Antiqua" w:eastAsia="Times New Roman" w:hAnsi="Book Antiqua" w:cs="Times New Roman"/>
                <w:sz w:val="18"/>
                <w:szCs w:val="18"/>
                <w:lang w:eastAsia="pt-BR"/>
              </w:rPr>
              <w:t> </w:t>
            </w:r>
          </w:p>
        </w:tc>
        <w:tc>
          <w:tcPr>
            <w:tcW w:w="3667" w:type="pct"/>
            <w:vAlign w:val="center"/>
            <w:hideMark/>
          </w:tcPr>
          <w:p w14:paraId="597410E4" w14:textId="77777777" w:rsidR="001E6AF1" w:rsidRPr="001E6AF1" w:rsidRDefault="001E6AF1" w:rsidP="001E6AF1">
            <w:pPr>
              <w:spacing w:before="100" w:beforeAutospacing="1" w:after="100" w:afterAutospacing="1" w:line="240" w:lineRule="auto"/>
              <w:jc w:val="both"/>
              <w:rPr>
                <w:rFonts w:ascii="Book Antiqua" w:eastAsia="Times New Roman" w:hAnsi="Book Antiqua" w:cs="Times New Roman"/>
                <w:sz w:val="18"/>
                <w:szCs w:val="18"/>
                <w:lang w:eastAsia="pt-BR"/>
              </w:rPr>
            </w:pPr>
            <w:r w:rsidRPr="001E6AF1">
              <w:rPr>
                <w:rFonts w:ascii="Book Antiqua" w:eastAsia="Times New Roman" w:hAnsi="Book Antiqua" w:cs="Arial"/>
                <w:color w:val="800000"/>
                <w:sz w:val="18"/>
                <w:szCs w:val="18"/>
                <w:lang w:eastAsia="pt-BR"/>
              </w:rPr>
              <w:t>Dispõe sobre a participação de empregados nos conselhos de administração das empresas públicas e sociedades de economia mista, suas subsidiárias e controladas e demais empresas em que a União, direta ou indiretamente, detenha a maioria do capital social com direito a voto e dá outras providências.</w:t>
            </w:r>
          </w:p>
        </w:tc>
      </w:tr>
    </w:tbl>
    <w:p w14:paraId="5538CDF6"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b/>
          <w:bCs/>
          <w:color w:val="000000"/>
          <w:sz w:val="19"/>
          <w:szCs w:val="19"/>
          <w:lang w:eastAsia="pt-BR"/>
        </w:rPr>
        <w:t>O PRESIDENTE DA REPÚBLICA </w:t>
      </w:r>
      <w:r w:rsidRPr="001E6AF1">
        <w:rPr>
          <w:rFonts w:ascii="Book Antiqua" w:eastAsia="Times New Roman" w:hAnsi="Book Antiqua" w:cs="Arial"/>
          <w:color w:val="000000"/>
          <w:sz w:val="19"/>
          <w:szCs w:val="19"/>
          <w:lang w:eastAsia="pt-BR"/>
        </w:rPr>
        <w:t>Faço saber que o Congresso Nacional decreta e eu sanciono a seguinte Lei: </w:t>
      </w:r>
    </w:p>
    <w:p w14:paraId="7F422C75"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C14581">
        <w:rPr>
          <w:rFonts w:ascii="Book Antiqua" w:eastAsia="Times New Roman" w:hAnsi="Book Antiqua" w:cs="Arial"/>
          <w:b/>
          <w:bCs/>
          <w:color w:val="000000"/>
          <w:sz w:val="19"/>
          <w:szCs w:val="19"/>
          <w:highlight w:val="magenta"/>
          <w:lang w:eastAsia="pt-BR"/>
        </w:rPr>
        <w:t>Art. 1</w:t>
      </w:r>
      <w:r w:rsidRPr="00C14581">
        <w:rPr>
          <w:rFonts w:ascii="Book Antiqua" w:eastAsia="Times New Roman" w:hAnsi="Book Antiqua" w:cs="Arial"/>
          <w:b/>
          <w:bCs/>
          <w:color w:val="000000"/>
          <w:sz w:val="19"/>
          <w:szCs w:val="19"/>
          <w:highlight w:val="magenta"/>
          <w:u w:val="single"/>
          <w:vertAlign w:val="superscript"/>
          <w:lang w:eastAsia="pt-BR"/>
        </w:rPr>
        <w:t>o</w:t>
      </w:r>
      <w:r w:rsidRPr="001E6AF1">
        <w:rPr>
          <w:rFonts w:ascii="Book Antiqua" w:eastAsia="Times New Roman" w:hAnsi="Book Antiqua" w:cs="Arial"/>
          <w:color w:val="000000"/>
          <w:sz w:val="19"/>
          <w:szCs w:val="19"/>
          <w:lang w:eastAsia="pt-BR"/>
        </w:rPr>
        <w:t>  Esta Lei dispõe sobre a participação de representante dos empregados nos conselhos de administração das empresas públicas e sociedades de economia mista, suas subsidiárias e controladas e  demais  empresas em que a União, direta ou indiretamente, detenha a maioria do capital social com direito a voto. </w:t>
      </w:r>
    </w:p>
    <w:p w14:paraId="28B07965" w14:textId="6D9DF5FB" w:rsid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b/>
          <w:bCs/>
          <w:color w:val="000000"/>
          <w:sz w:val="19"/>
          <w:szCs w:val="19"/>
          <w:highlight w:val="magenta"/>
          <w:lang w:eastAsia="pt-BR"/>
        </w:rPr>
        <w:t>Art. 2</w:t>
      </w:r>
      <w:r w:rsidRPr="001E6AF1">
        <w:rPr>
          <w:rFonts w:ascii="Book Antiqua" w:eastAsia="Times New Roman" w:hAnsi="Book Antiqua" w:cs="Arial"/>
          <w:b/>
          <w:bCs/>
          <w:color w:val="000000"/>
          <w:sz w:val="19"/>
          <w:szCs w:val="19"/>
          <w:highlight w:val="magenta"/>
          <w:u w:val="single"/>
          <w:vertAlign w:val="superscript"/>
          <w:lang w:eastAsia="pt-BR"/>
        </w:rPr>
        <w:t>o</w:t>
      </w:r>
      <w:r w:rsidRPr="001E6AF1">
        <w:rPr>
          <w:rFonts w:ascii="Book Antiqua" w:eastAsia="Times New Roman" w:hAnsi="Book Antiqua" w:cs="Arial"/>
          <w:color w:val="000000"/>
          <w:sz w:val="19"/>
          <w:szCs w:val="19"/>
          <w:lang w:eastAsia="pt-BR"/>
        </w:rPr>
        <w:t>  Os estatutos das empresas públicas e sociedades de economia mista de que trata esta Lei deverão prever a participação nos seus conselhos de administração de representante dos trabalhadores, assegurado o direito da União de eleger a maioria dos seus membros. </w:t>
      </w:r>
    </w:p>
    <w:tbl>
      <w:tblPr>
        <w:tblStyle w:val="Tabelacomgrade"/>
        <w:tblW w:w="0" w:type="auto"/>
        <w:shd w:val="clear" w:color="auto" w:fill="CCFFFF"/>
        <w:tblLook w:val="04A0" w:firstRow="1" w:lastRow="0" w:firstColumn="1" w:lastColumn="0" w:noHBand="0" w:noVBand="1"/>
      </w:tblPr>
      <w:tblGrid>
        <w:gridCol w:w="8494"/>
      </w:tblGrid>
      <w:tr w:rsidR="001E6AF1" w14:paraId="26D11F80" w14:textId="77777777" w:rsidTr="00743059">
        <w:tc>
          <w:tcPr>
            <w:tcW w:w="8494" w:type="dxa"/>
            <w:shd w:val="clear" w:color="auto" w:fill="CCFFFF"/>
          </w:tcPr>
          <w:p w14:paraId="04E380CE" w14:textId="4CE907E6" w:rsidR="001E6AF1" w:rsidRPr="0068556C" w:rsidRDefault="001E6AF1" w:rsidP="001E6AF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8556C">
              <w:rPr>
                <w:rFonts w:ascii="Book Antiqua" w:eastAsia="Times New Roman" w:hAnsi="Book Antiqua" w:cs="Times New Roman"/>
                <w:b/>
                <w:bCs/>
                <w:sz w:val="19"/>
                <w:szCs w:val="19"/>
                <w:highlight w:val="yellow"/>
                <w:lang w:eastAsia="pt-BR"/>
              </w:rPr>
              <w:t>PGEPR-2011-COPS-UEL</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8556C">
              <w:rPr>
                <w:rFonts w:ascii="Book Antiqua" w:eastAsia="Times New Roman" w:hAnsi="Book Antiqua" w:cs="Times New Roman"/>
                <w:sz w:val="19"/>
                <w:szCs w:val="19"/>
                <w:lang w:eastAsia="pt-BR"/>
              </w:rPr>
              <w:t>Sobre o regime jurídico das sociedades de economia mista, assinale a alternativa correta:</w:t>
            </w:r>
            <w:r>
              <w:rPr>
                <w:rFonts w:ascii="Book Antiqua" w:eastAsia="Times New Roman" w:hAnsi="Book Antiqua" w:cs="Times New Roman"/>
                <w:sz w:val="19"/>
                <w:szCs w:val="19"/>
                <w:lang w:eastAsia="pt-BR"/>
              </w:rPr>
              <w:t xml:space="preserve"> </w:t>
            </w:r>
            <w:r w:rsidRPr="001E6AF1">
              <w:rPr>
                <w:rFonts w:ascii="Book Antiqua" w:eastAsia="Times New Roman" w:hAnsi="Book Antiqua" w:cs="Times New Roman"/>
                <w:sz w:val="19"/>
                <w:szCs w:val="19"/>
                <w:lang w:eastAsia="pt-BR"/>
              </w:rPr>
              <w:t>os estatutos das sociedades de economia mista controladas pela União deverão prever a participação nos seus conselhos de administração de representante dos trabalhadores, assegurado o direito da</w:t>
            </w:r>
            <w:r>
              <w:rPr>
                <w:rFonts w:ascii="Book Antiqua" w:eastAsia="Times New Roman" w:hAnsi="Book Antiqua" w:cs="Times New Roman"/>
                <w:sz w:val="19"/>
                <w:szCs w:val="19"/>
                <w:lang w:eastAsia="pt-BR"/>
              </w:rPr>
              <w:t xml:space="preserve"> </w:t>
            </w:r>
            <w:r w:rsidRPr="001E6AF1">
              <w:rPr>
                <w:rFonts w:ascii="Book Antiqua" w:eastAsia="Times New Roman" w:hAnsi="Book Antiqua" w:cs="Times New Roman"/>
                <w:sz w:val="19"/>
                <w:szCs w:val="19"/>
                <w:lang w:eastAsia="pt-BR"/>
              </w:rPr>
              <w:t>União de eleger a maioria dos seus membros.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Lei 12353.</w:t>
            </w:r>
          </w:p>
        </w:tc>
      </w:tr>
    </w:tbl>
    <w:p w14:paraId="152DD8F5" w14:textId="790A05B8" w:rsid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C14581">
        <w:rPr>
          <w:rFonts w:ascii="Book Antiqua" w:eastAsia="Times New Roman" w:hAnsi="Book Antiqua" w:cs="Arial"/>
          <w:b/>
          <w:bCs/>
          <w:color w:val="000000"/>
          <w:sz w:val="19"/>
          <w:szCs w:val="19"/>
          <w:highlight w:val="magenta"/>
          <w:lang w:eastAsia="pt-BR"/>
        </w:rPr>
        <w:t>§ 1</w:t>
      </w:r>
      <w:r w:rsidRPr="00C14581">
        <w:rPr>
          <w:rFonts w:ascii="Book Antiqua" w:eastAsia="Times New Roman" w:hAnsi="Book Antiqua" w:cs="Arial"/>
          <w:b/>
          <w:bCs/>
          <w:color w:val="000000"/>
          <w:sz w:val="19"/>
          <w:szCs w:val="19"/>
          <w:highlight w:val="magenta"/>
          <w:u w:val="single"/>
          <w:vertAlign w:val="superscript"/>
          <w:lang w:eastAsia="pt-BR"/>
        </w:rPr>
        <w:t>o</w:t>
      </w:r>
      <w:r w:rsidRPr="001E6AF1">
        <w:rPr>
          <w:rFonts w:ascii="Book Antiqua" w:eastAsia="Times New Roman" w:hAnsi="Book Antiqua" w:cs="Arial"/>
          <w:color w:val="000000"/>
          <w:sz w:val="19"/>
          <w:szCs w:val="19"/>
          <w:lang w:eastAsia="pt-BR"/>
        </w:rPr>
        <w:t>  O representante dos trabalhadores será escolhido dentre os empregados ativos da empresa pública ou sociedade de economia mista, pelo voto direto de seus pares, em eleição organizada pela empresa em conjunto com as entidades sindicais que os representem. </w:t>
      </w:r>
    </w:p>
    <w:tbl>
      <w:tblPr>
        <w:tblStyle w:val="Tabelacomgrade"/>
        <w:tblW w:w="0" w:type="auto"/>
        <w:shd w:val="clear" w:color="auto" w:fill="CCFFFF"/>
        <w:tblLook w:val="04A0" w:firstRow="1" w:lastRow="0" w:firstColumn="1" w:lastColumn="0" w:noHBand="0" w:noVBand="1"/>
      </w:tblPr>
      <w:tblGrid>
        <w:gridCol w:w="8494"/>
      </w:tblGrid>
      <w:tr w:rsidR="00C14581" w14:paraId="3B603264" w14:textId="77777777" w:rsidTr="005B0583">
        <w:tc>
          <w:tcPr>
            <w:tcW w:w="8494" w:type="dxa"/>
            <w:shd w:val="clear" w:color="auto" w:fill="CCFFFF"/>
          </w:tcPr>
          <w:p w14:paraId="4DF49761" w14:textId="6A4D9763" w:rsidR="00C14581" w:rsidRPr="0068556C" w:rsidRDefault="00C14581" w:rsidP="00C1458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4581">
              <w:rPr>
                <w:rFonts w:ascii="Book Antiqua" w:eastAsia="Times New Roman" w:hAnsi="Book Antiqua" w:cs="Times New Roman"/>
                <w:sz w:val="19"/>
                <w:szCs w:val="19"/>
                <w:lang w:eastAsia="pt-BR"/>
              </w:rPr>
              <w:t xml:space="preserve">A democratização do Estado de Direito visa superar os déficits de legitimidade das formas tradicionais de democracia competitiva e elitista. Segundo </w:t>
            </w:r>
            <w:proofErr w:type="spellStart"/>
            <w:r w:rsidRPr="00C14581">
              <w:rPr>
                <w:rFonts w:ascii="Book Antiqua" w:eastAsia="Times New Roman" w:hAnsi="Book Antiqua" w:cs="Times New Roman"/>
                <w:sz w:val="19"/>
                <w:szCs w:val="19"/>
                <w:lang w:eastAsia="pt-BR"/>
              </w:rPr>
              <w:t>Archon</w:t>
            </w:r>
            <w:proofErr w:type="spellEnd"/>
            <w:r w:rsidRPr="00C14581">
              <w:rPr>
                <w:rFonts w:ascii="Book Antiqua" w:eastAsia="Times New Roman" w:hAnsi="Book Antiqua" w:cs="Times New Roman"/>
                <w:sz w:val="19"/>
                <w:szCs w:val="19"/>
                <w:lang w:eastAsia="pt-BR"/>
              </w:rPr>
              <w:t xml:space="preserve"> </w:t>
            </w:r>
            <w:proofErr w:type="spellStart"/>
            <w:r w:rsidRPr="00C14581">
              <w:rPr>
                <w:rFonts w:ascii="Book Antiqua" w:eastAsia="Times New Roman" w:hAnsi="Book Antiqua" w:cs="Times New Roman"/>
                <w:sz w:val="19"/>
                <w:szCs w:val="19"/>
                <w:lang w:eastAsia="pt-BR"/>
              </w:rPr>
              <w:t>Fung</w:t>
            </w:r>
            <w:proofErr w:type="spellEnd"/>
            <w:r w:rsidRPr="00C14581">
              <w:rPr>
                <w:rFonts w:ascii="Book Antiqua" w:eastAsia="Times New Roman" w:hAnsi="Book Antiqua" w:cs="Times New Roman"/>
                <w:sz w:val="19"/>
                <w:szCs w:val="19"/>
                <w:lang w:eastAsia="pt-BR"/>
              </w:rPr>
              <w:t xml:space="preserve"> e Joshua Cohen “</w:t>
            </w:r>
            <w:r w:rsidRPr="00C14581">
              <w:rPr>
                <w:rFonts w:ascii="Book Antiqua" w:eastAsia="Times New Roman" w:hAnsi="Book Antiqua" w:cs="Times New Roman"/>
                <w:i/>
                <w:iCs/>
                <w:sz w:val="19"/>
                <w:szCs w:val="19"/>
                <w:lang w:eastAsia="pt-BR"/>
              </w:rPr>
              <w:t>o ambicioso objetivo de uma democracia é (…) mover-se de uma estrutura em que impera a barganha, a agregação de interesses e o poder para uma outra, em que a razão comum seja uma força dominante da vida democrática</w:t>
            </w:r>
            <w:r w:rsidRPr="00C14581">
              <w:rPr>
                <w:rFonts w:ascii="Book Antiqua" w:eastAsia="Times New Roman" w:hAnsi="Book Antiqua" w:cs="Times New Roman"/>
                <w:sz w:val="19"/>
                <w:szCs w:val="19"/>
                <w:lang w:eastAsia="pt-BR"/>
              </w:rPr>
              <w:t>”. (Democracia radical, 2007, p. 222).</w:t>
            </w:r>
            <w:r>
              <w:rPr>
                <w:rFonts w:ascii="Book Antiqua" w:eastAsia="Times New Roman" w:hAnsi="Book Antiqua" w:cs="Times New Roman"/>
                <w:sz w:val="19"/>
                <w:szCs w:val="19"/>
                <w:lang w:eastAsia="pt-BR"/>
              </w:rPr>
              <w:t xml:space="preserve"> </w:t>
            </w:r>
            <w:r w:rsidRPr="00C14581">
              <w:rPr>
                <w:rFonts w:ascii="Book Antiqua" w:eastAsia="Times New Roman" w:hAnsi="Book Antiqua" w:cs="Times New Roman"/>
                <w:sz w:val="19"/>
                <w:szCs w:val="19"/>
                <w:lang w:eastAsia="pt-BR"/>
              </w:rPr>
              <w:t xml:space="preserve">A Constituição brasileira estabeleceu, em vários dispositivos, instrumentos para essa correção dos rumos democráticos. Atentos ao texto constitucional e à jurisprudência do </w:t>
            </w:r>
            <w:r>
              <w:rPr>
                <w:rFonts w:ascii="Book Antiqua" w:eastAsia="Times New Roman" w:hAnsi="Book Antiqua" w:cs="Times New Roman"/>
                <w:sz w:val="19"/>
                <w:szCs w:val="19"/>
                <w:lang w:eastAsia="pt-BR"/>
              </w:rPr>
              <w:t>STF</w:t>
            </w:r>
            <w:r w:rsidRPr="00C14581">
              <w:rPr>
                <w:rFonts w:ascii="Book Antiqua" w:eastAsia="Times New Roman" w:hAnsi="Book Antiqua" w:cs="Times New Roman"/>
                <w:sz w:val="19"/>
                <w:szCs w:val="19"/>
                <w:lang w:eastAsia="pt-BR"/>
              </w:rPr>
              <w:t>, pode-se afirmar que é CONSTITUCIONAL a previsão pelo legislador ordinário ou pelo constituinte decorrente de:</w:t>
            </w:r>
            <w:r>
              <w:t xml:space="preserve"> </w:t>
            </w:r>
            <w:r w:rsidRPr="00C14581">
              <w:rPr>
                <w:rFonts w:ascii="Book Antiqua" w:eastAsia="Times New Roman" w:hAnsi="Book Antiqua" w:cs="Times New Roman"/>
                <w:sz w:val="19"/>
                <w:szCs w:val="19"/>
                <w:lang w:eastAsia="pt-BR"/>
              </w:rPr>
              <w:t>Participação na diretoria de empresas públicas, sociedades de economia mista e suas subsidiárias, de um representante dos empregados, por eles escolhidos.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w:t>
            </w:r>
            <w:r>
              <w:rPr>
                <w:rFonts w:ascii="Book Antiqua" w:eastAsia="Times New Roman" w:hAnsi="Book Antiqua" w:cs="Times New Roman"/>
                <w:b/>
                <w:bCs/>
                <w:sz w:val="19"/>
                <w:szCs w:val="19"/>
                <w:lang w:eastAsia="pt-BR"/>
              </w:rPr>
              <w:t>. 1º e art.</w:t>
            </w:r>
            <w:r>
              <w:rPr>
                <w:rFonts w:ascii="Book Antiqua" w:eastAsia="Times New Roman" w:hAnsi="Book Antiqua" w:cs="Times New Roman"/>
                <w:b/>
                <w:bCs/>
                <w:sz w:val="19"/>
                <w:szCs w:val="19"/>
                <w:lang w:eastAsia="pt-BR"/>
              </w:rPr>
              <w:t xml:space="preserve"> 2º,</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Fonts w:ascii="Book Antiqua" w:eastAsia="Times New Roman" w:hAnsi="Book Antiqua" w:cs="Times New Roman"/>
                <w:b/>
                <w:bCs/>
                <w:sz w:val="19"/>
                <w:szCs w:val="19"/>
                <w:lang w:eastAsia="pt-BR"/>
              </w:rPr>
              <w:t xml:space="preserve"> Lei 12353.</w:t>
            </w:r>
          </w:p>
        </w:tc>
      </w:tr>
    </w:tbl>
    <w:p w14:paraId="1AE8EA80"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 2</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O representante dos empregados está sujeito a todos os critérios e exigências para o cargo de conselheiro de administração previstos em lei e no estatuto da respectiva empresa. </w:t>
      </w:r>
    </w:p>
    <w:p w14:paraId="7478EC84"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 3</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Sem prejuízo da vedação aos administradores de intervirem em qualquer operação social em que tiverem interesse conflitante com o da empresa, o conselheiro de administração representante dos empregados não participará das discussões e deliberações sobre assuntos que envolvam relações sindicais, remuneração, benefícios e vantagens, inclusive matérias de previdência complementar e assistenciais, hipóteses em que fica configurado o conflito de interesse. </w:t>
      </w:r>
    </w:p>
    <w:p w14:paraId="5E1670BF"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Art. 3</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No caso de os representantes do acionista majoritário deixarem de totalizar a maioria dos membros do conselho de administração, em razão da modificação da composição do colegiado para fins de cumprimento ao disposto nesta Lei, fica autorizado o aumento suficiente do número de conselheiros para assegurar o direito do acionista controlador de eleger a maioria dos conselheiros. </w:t>
      </w:r>
    </w:p>
    <w:p w14:paraId="1DF045B3"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Art. 4</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Para os fins do disposto nesta Lei, fica autorizada a alteração do número máximo de membros dos conselhos de administração das empresas públicas e sociedades de economia mista federais. </w:t>
      </w:r>
    </w:p>
    <w:p w14:paraId="25AEB69A"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Art. 5</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O disposto nesta Lei não se aplica às empresas que tenham um número inferior a 200 (duzentos) empregados próprios. </w:t>
      </w:r>
    </w:p>
    <w:p w14:paraId="3A9FEBDE"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lastRenderedPageBreak/>
        <w:t>Art. 6</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Observar-se-á, quanto aos direitos e deveres dos membros dos conselhos de que trata esta Lei e ao respectivo funcionamento, o disposto na </w:t>
      </w:r>
      <w:hyperlink r:id="rId4" w:history="1">
        <w:r w:rsidRPr="001E6AF1">
          <w:rPr>
            <w:rFonts w:ascii="Book Antiqua" w:eastAsia="Times New Roman" w:hAnsi="Book Antiqua" w:cs="Arial"/>
            <w:color w:val="0000FF"/>
            <w:sz w:val="19"/>
            <w:szCs w:val="19"/>
            <w:u w:val="single"/>
            <w:lang w:eastAsia="pt-BR"/>
          </w:rPr>
          <w:t>Lei nº 6.404, de 15 de dezembro de 1976</w:t>
        </w:r>
      </w:hyperlink>
      <w:r w:rsidRPr="001E6AF1">
        <w:rPr>
          <w:rFonts w:ascii="Book Antiqua" w:eastAsia="Times New Roman" w:hAnsi="Book Antiqua" w:cs="Arial"/>
          <w:color w:val="000000"/>
          <w:sz w:val="19"/>
          <w:szCs w:val="19"/>
          <w:lang w:eastAsia="pt-BR"/>
        </w:rPr>
        <w:t>, no que couber. </w:t>
      </w:r>
    </w:p>
    <w:p w14:paraId="242866C9"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Art. 7</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O Poder Executivo, por intermédio do Ministério do Planejamento, Orçamento e Gestão, editará as instruções necessárias ao cumprimento do disposto nesta Lei. </w:t>
      </w:r>
    </w:p>
    <w:p w14:paraId="3CFBFD45"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Art. 8</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Observar-se-á, quanto aos requisitos e impedimentos para a participação nos conselhos de que trata esta Lei, além do disposto na legislação sobre conflitos de interesse no âmbito da administração pública federal, subsidiariamente, o disposto na </w:t>
      </w:r>
      <w:hyperlink r:id="rId5" w:history="1">
        <w:r w:rsidRPr="001E6AF1">
          <w:rPr>
            <w:rFonts w:ascii="Book Antiqua" w:eastAsia="Times New Roman" w:hAnsi="Book Antiqua" w:cs="Arial"/>
            <w:color w:val="0000FF"/>
            <w:sz w:val="19"/>
            <w:szCs w:val="19"/>
            <w:u w:val="single"/>
            <w:lang w:eastAsia="pt-BR"/>
          </w:rPr>
          <w:t>Lei n</w:t>
        </w:r>
        <w:r w:rsidRPr="001E6AF1">
          <w:rPr>
            <w:rFonts w:ascii="Book Antiqua" w:eastAsia="Times New Roman" w:hAnsi="Book Antiqua" w:cs="Arial"/>
            <w:color w:val="0000FF"/>
            <w:sz w:val="19"/>
            <w:szCs w:val="19"/>
            <w:u w:val="single"/>
            <w:vertAlign w:val="superscript"/>
            <w:lang w:eastAsia="pt-BR"/>
          </w:rPr>
          <w:t>o</w:t>
        </w:r>
        <w:r w:rsidRPr="001E6AF1">
          <w:rPr>
            <w:rFonts w:ascii="Book Antiqua" w:eastAsia="Times New Roman" w:hAnsi="Book Antiqua" w:cs="Arial"/>
            <w:color w:val="0000FF"/>
            <w:sz w:val="19"/>
            <w:szCs w:val="19"/>
            <w:u w:val="single"/>
            <w:lang w:eastAsia="pt-BR"/>
          </w:rPr>
          <w:t> 6.404, de 15 de dezembro de 1976</w:t>
        </w:r>
      </w:hyperlink>
      <w:r w:rsidRPr="001E6AF1">
        <w:rPr>
          <w:rFonts w:ascii="Book Antiqua" w:eastAsia="Times New Roman" w:hAnsi="Book Antiqua" w:cs="Arial"/>
          <w:color w:val="000000"/>
          <w:sz w:val="19"/>
          <w:szCs w:val="19"/>
          <w:lang w:eastAsia="pt-BR"/>
        </w:rPr>
        <w:t>. </w:t>
      </w:r>
    </w:p>
    <w:p w14:paraId="2A300826"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Art. 9</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Esta Lei entra em vigor na data de sua publicação. </w:t>
      </w:r>
    </w:p>
    <w:p w14:paraId="0FB5699B" w14:textId="77777777" w:rsidR="001E6AF1" w:rsidRPr="001E6AF1" w:rsidRDefault="001E6AF1" w:rsidP="001E6AF1">
      <w:pPr>
        <w:spacing w:before="100" w:beforeAutospacing="1" w:after="100" w:afterAutospacing="1" w:line="240" w:lineRule="auto"/>
        <w:ind w:firstLine="600"/>
        <w:jc w:val="both"/>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Brasília,  28  de dezembro de 2010; 189</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da Independência e 122</w:t>
      </w:r>
      <w:r w:rsidRPr="001E6AF1">
        <w:rPr>
          <w:rFonts w:ascii="Book Antiqua" w:eastAsia="Times New Roman" w:hAnsi="Book Antiqua" w:cs="Arial"/>
          <w:color w:val="000000"/>
          <w:sz w:val="19"/>
          <w:szCs w:val="19"/>
          <w:u w:val="single"/>
          <w:vertAlign w:val="superscript"/>
          <w:lang w:eastAsia="pt-BR"/>
        </w:rPr>
        <w:t>o</w:t>
      </w:r>
      <w:r w:rsidRPr="001E6AF1">
        <w:rPr>
          <w:rFonts w:ascii="Book Antiqua" w:eastAsia="Times New Roman" w:hAnsi="Book Antiqua" w:cs="Arial"/>
          <w:color w:val="000000"/>
          <w:sz w:val="19"/>
          <w:szCs w:val="19"/>
          <w:lang w:eastAsia="pt-BR"/>
        </w:rPr>
        <w:t> da República. </w:t>
      </w:r>
    </w:p>
    <w:p w14:paraId="3DA123F2" w14:textId="77777777" w:rsidR="001E6AF1" w:rsidRPr="001E6AF1" w:rsidRDefault="001E6AF1" w:rsidP="001E6AF1">
      <w:pPr>
        <w:spacing w:before="100" w:beforeAutospacing="1" w:after="100" w:afterAutospacing="1" w:line="240" w:lineRule="auto"/>
        <w:rPr>
          <w:rFonts w:ascii="Book Antiqua" w:eastAsia="Times New Roman" w:hAnsi="Book Antiqua" w:cs="Arial"/>
          <w:color w:val="000000"/>
          <w:sz w:val="19"/>
          <w:szCs w:val="19"/>
          <w:lang w:eastAsia="pt-BR"/>
        </w:rPr>
      </w:pPr>
      <w:r w:rsidRPr="001E6AF1">
        <w:rPr>
          <w:rFonts w:ascii="Book Antiqua" w:eastAsia="Times New Roman" w:hAnsi="Book Antiqua" w:cs="Arial"/>
          <w:color w:val="000000"/>
          <w:sz w:val="19"/>
          <w:szCs w:val="19"/>
          <w:lang w:eastAsia="pt-BR"/>
        </w:rPr>
        <w:t>LUIZ INÁCIO LULA DA SILVA</w:t>
      </w:r>
      <w:r w:rsidRPr="001E6AF1">
        <w:rPr>
          <w:rFonts w:ascii="Book Antiqua" w:eastAsia="Times New Roman" w:hAnsi="Book Antiqua" w:cs="Arial"/>
          <w:color w:val="000000"/>
          <w:sz w:val="19"/>
          <w:szCs w:val="19"/>
          <w:lang w:eastAsia="pt-BR"/>
        </w:rPr>
        <w:br/>
      </w:r>
      <w:r w:rsidRPr="001E6AF1">
        <w:rPr>
          <w:rFonts w:ascii="Book Antiqua" w:eastAsia="Times New Roman" w:hAnsi="Book Antiqua" w:cs="Arial"/>
          <w:i/>
          <w:iCs/>
          <w:color w:val="000000"/>
          <w:sz w:val="19"/>
          <w:szCs w:val="19"/>
          <w:lang w:eastAsia="pt-BR"/>
        </w:rPr>
        <w:t>Paulo Bernardo Silva</w:t>
      </w:r>
    </w:p>
    <w:p w14:paraId="69ECBD13" w14:textId="77777777" w:rsidR="001E6AF1" w:rsidRPr="001E6AF1" w:rsidRDefault="001E6AF1" w:rsidP="001E6AF1">
      <w:pPr>
        <w:spacing w:before="300" w:after="300" w:line="240" w:lineRule="auto"/>
        <w:rPr>
          <w:rFonts w:ascii="Book Antiqua" w:eastAsia="Times New Roman" w:hAnsi="Book Antiqua" w:cs="Arial"/>
          <w:color w:val="000000"/>
          <w:sz w:val="19"/>
          <w:szCs w:val="19"/>
          <w:lang w:eastAsia="pt-BR"/>
        </w:rPr>
      </w:pPr>
      <w:r w:rsidRPr="001E6AF1">
        <w:rPr>
          <w:rFonts w:ascii="Book Antiqua" w:eastAsia="Times New Roman" w:hAnsi="Book Antiqua" w:cs="Arial"/>
          <w:color w:val="FF0000"/>
          <w:sz w:val="19"/>
          <w:szCs w:val="19"/>
          <w:lang w:eastAsia="pt-BR"/>
        </w:rPr>
        <w:t>Este texto não substitui o publicado no DOU de 29.12.2010</w:t>
      </w:r>
    </w:p>
    <w:p w14:paraId="2829E8F5" w14:textId="77777777" w:rsidR="00D966B4" w:rsidRPr="001E6AF1" w:rsidRDefault="00D966B4">
      <w:pPr>
        <w:rPr>
          <w:rFonts w:ascii="Book Antiqua" w:hAnsi="Book Antiqua"/>
          <w:sz w:val="19"/>
          <w:szCs w:val="19"/>
        </w:rPr>
      </w:pPr>
    </w:p>
    <w:sectPr w:rsidR="00D966B4" w:rsidRPr="001E6AF1" w:rsidSect="001E6AF1">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B4"/>
    <w:rsid w:val="001E6AF1"/>
    <w:rsid w:val="00C14581"/>
    <w:rsid w:val="00D966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A467"/>
  <w15:chartTrackingRefBased/>
  <w15:docId w15:val="{105E5E20-7A4A-4490-B032-00CD09167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E6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8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lanalto.gov.br/ccivil_03/LEIS/L6404consol.htm" TargetMode="External"/><Relationship Id="rId4" Type="http://schemas.openxmlformats.org/officeDocument/2006/relationships/hyperlink" Target="http://www.planalto.gov.br/ccivil_03/LEIS/L6404consol.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802</Words>
  <Characters>4335</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2020-09-07T15:13:00Z</dcterms:created>
  <dcterms:modified xsi:type="dcterms:W3CDTF">2021-06-09T20:17:00Z</dcterms:modified>
</cp:coreProperties>
</file>