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755217" w14:textId="77777777" w:rsidR="00772ED5" w:rsidRPr="00772ED5" w:rsidRDefault="00772ED5" w:rsidP="00772ED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b/>
          <w:bCs/>
          <w:color w:val="000080"/>
          <w:kern w:val="0"/>
          <w:sz w:val="19"/>
          <w:szCs w:val="19"/>
          <w:lang w:eastAsia="pt-BR"/>
          <w14:ligatures w14:val="none"/>
        </w:rPr>
        <w:t> </w:t>
      </w:r>
      <w:hyperlink r:id="rId4" w:history="1">
        <w:r w:rsidRPr="00772ED5">
          <w:rPr>
            <w:rFonts w:ascii="Book Antiqua" w:eastAsia="Times New Roman" w:hAnsi="Book Antiqua" w:cs="Arial"/>
            <w:b/>
            <w:bCs/>
            <w:color w:val="000080"/>
            <w:kern w:val="0"/>
            <w:sz w:val="19"/>
            <w:szCs w:val="19"/>
            <w:u w:val="single"/>
            <w:lang w:eastAsia="pt-BR"/>
            <w14:ligatures w14:val="none"/>
          </w:rPr>
          <w:t>LEI Nº 14.941, DE 30 DE JULHO DE 2024</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772ED5" w:rsidRPr="00772ED5" w14:paraId="24ED3B59" w14:textId="77777777" w:rsidTr="00772ED5">
        <w:trPr>
          <w:tblCellSpacing w:w="0" w:type="dxa"/>
        </w:trPr>
        <w:tc>
          <w:tcPr>
            <w:tcW w:w="1500" w:type="pct"/>
            <w:vAlign w:val="center"/>
            <w:hideMark/>
          </w:tcPr>
          <w:p w14:paraId="49DB288D" w14:textId="77777777" w:rsidR="00772ED5" w:rsidRPr="00772ED5" w:rsidRDefault="00772ED5" w:rsidP="00772ED5">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72ED5">
              <w:rPr>
                <w:rFonts w:ascii="Book Antiqua" w:eastAsia="Times New Roman" w:hAnsi="Book Antiqua" w:cs="Times New Roman"/>
                <w:kern w:val="0"/>
                <w:sz w:val="18"/>
                <w:szCs w:val="18"/>
                <w:lang w:eastAsia="pt-BR"/>
                <w14:ligatures w14:val="none"/>
              </w:rPr>
              <w:t> </w:t>
            </w:r>
          </w:p>
        </w:tc>
        <w:tc>
          <w:tcPr>
            <w:tcW w:w="3500" w:type="pct"/>
            <w:vAlign w:val="center"/>
            <w:hideMark/>
          </w:tcPr>
          <w:p w14:paraId="77AF8E26" w14:textId="77777777" w:rsidR="00772ED5" w:rsidRPr="00772ED5" w:rsidRDefault="00772ED5" w:rsidP="00772ED5">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72ED5">
              <w:rPr>
                <w:rFonts w:ascii="Book Antiqua" w:eastAsia="Times New Roman" w:hAnsi="Book Antiqua" w:cs="Arial"/>
                <w:color w:val="800000"/>
                <w:kern w:val="0"/>
                <w:sz w:val="18"/>
                <w:szCs w:val="18"/>
                <w:lang w:eastAsia="pt-BR"/>
                <w14:ligatures w14:val="none"/>
              </w:rPr>
              <w:t>Cria o Conselho Curador do Fundo de Aperfeiçoamento da Defensoria Pública da União, referido no inciso XXI do caput do art. 4º da Lei Complementar nº 80, de 12 de janeiro de 1994 (Lei Orgânica da Defensoria Pública).</w:t>
            </w:r>
          </w:p>
        </w:tc>
      </w:tr>
    </w:tbl>
    <w:p w14:paraId="3C0A7C68" w14:textId="77777777" w:rsidR="00772ED5" w:rsidRPr="00772ED5" w:rsidRDefault="00772ED5" w:rsidP="00772ED5">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b/>
          <w:bCs/>
          <w:color w:val="000000"/>
          <w:kern w:val="0"/>
          <w:sz w:val="19"/>
          <w:szCs w:val="19"/>
          <w:lang w:eastAsia="pt-BR"/>
          <w14:ligatures w14:val="none"/>
        </w:rPr>
        <w:t>O PRESIDENTE DA REPÚBLICA</w:t>
      </w:r>
      <w:r w:rsidRPr="00772ED5">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795368A9"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772ED5">
        <w:rPr>
          <w:rFonts w:ascii="Book Antiqua" w:eastAsia="Times New Roman" w:hAnsi="Book Antiqua" w:cs="Arial"/>
          <w:color w:val="000000"/>
          <w:kern w:val="0"/>
          <w:sz w:val="19"/>
          <w:szCs w:val="19"/>
          <w:lang w:eastAsia="pt-BR"/>
          <w14:ligatures w14:val="none"/>
        </w:rPr>
        <w:t>Art. 1º É criado, no âmbito da Defensoria Pública da União, o Conselho Curador do Fundo de Aperfeiçoamento da Defensoria Pública da União, referido no </w:t>
      </w:r>
      <w:hyperlink r:id="rId5" w:anchor="art4xxi" w:history="1">
        <w:r w:rsidRPr="00772ED5">
          <w:rPr>
            <w:rFonts w:ascii="Book Antiqua" w:eastAsia="Times New Roman" w:hAnsi="Book Antiqua" w:cs="Arial"/>
            <w:color w:val="0000FF"/>
            <w:kern w:val="0"/>
            <w:sz w:val="19"/>
            <w:szCs w:val="19"/>
            <w:u w:val="single"/>
            <w:lang w:eastAsia="pt-BR"/>
            <w14:ligatures w14:val="none"/>
          </w:rPr>
          <w:t>inciso XXI do </w:t>
        </w:r>
        <w:r w:rsidRPr="00772ED5">
          <w:rPr>
            <w:rFonts w:ascii="Book Antiqua" w:eastAsia="Times New Roman" w:hAnsi="Book Antiqua" w:cs="Arial"/>
            <w:i/>
            <w:iCs/>
            <w:color w:val="0000FF"/>
            <w:kern w:val="0"/>
            <w:sz w:val="19"/>
            <w:szCs w:val="19"/>
            <w:u w:val="single"/>
            <w:lang w:eastAsia="pt-BR"/>
            <w14:ligatures w14:val="none"/>
          </w:rPr>
          <w:t>caput</w:t>
        </w:r>
        <w:r w:rsidRPr="00772ED5">
          <w:rPr>
            <w:rFonts w:ascii="Book Antiqua" w:eastAsia="Times New Roman" w:hAnsi="Book Antiqua" w:cs="Arial"/>
            <w:color w:val="0000FF"/>
            <w:kern w:val="0"/>
            <w:sz w:val="19"/>
            <w:szCs w:val="19"/>
            <w:u w:val="single"/>
            <w:lang w:eastAsia="pt-BR"/>
            <w14:ligatures w14:val="none"/>
          </w:rPr>
          <w:t> do art. 4º da Lei Complementar nº 80, de 12 de janeiro de 1994</w:t>
        </w:r>
      </w:hyperlink>
      <w:r w:rsidRPr="00772ED5">
        <w:rPr>
          <w:rFonts w:ascii="Book Antiqua" w:eastAsia="Times New Roman" w:hAnsi="Book Antiqua" w:cs="Arial"/>
          <w:color w:val="000000"/>
          <w:kern w:val="0"/>
          <w:sz w:val="19"/>
          <w:szCs w:val="19"/>
          <w:lang w:eastAsia="pt-BR"/>
          <w14:ligatures w14:val="none"/>
        </w:rPr>
        <w:t> (Lei Orgânica da Defensoria Pública).</w:t>
      </w:r>
    </w:p>
    <w:p w14:paraId="0FE31528"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772ED5">
        <w:rPr>
          <w:rFonts w:ascii="Book Antiqua" w:eastAsia="Times New Roman" w:hAnsi="Book Antiqua" w:cs="Arial"/>
          <w:color w:val="000000"/>
          <w:kern w:val="0"/>
          <w:sz w:val="19"/>
          <w:szCs w:val="19"/>
          <w:lang w:eastAsia="pt-BR"/>
          <w14:ligatures w14:val="none"/>
        </w:rPr>
        <w:t>Art. 2º O Conselho Curador do Fundo de Aperfeiçoamento da Defensoria Pública da União, com sede em Brasília, será composto:</w:t>
      </w:r>
    </w:p>
    <w:p w14:paraId="15AF5974"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 xml:space="preserve">I – </w:t>
      </w:r>
      <w:proofErr w:type="gramStart"/>
      <w:r w:rsidRPr="00772ED5">
        <w:rPr>
          <w:rFonts w:ascii="Book Antiqua" w:eastAsia="Times New Roman" w:hAnsi="Book Antiqua" w:cs="Arial"/>
          <w:color w:val="000000"/>
          <w:kern w:val="0"/>
          <w:sz w:val="19"/>
          <w:szCs w:val="19"/>
          <w:lang w:eastAsia="pt-BR"/>
          <w14:ligatures w14:val="none"/>
        </w:rPr>
        <w:t>do</w:t>
      </w:r>
      <w:proofErr w:type="gramEnd"/>
      <w:r w:rsidRPr="00772ED5">
        <w:rPr>
          <w:rFonts w:ascii="Book Antiqua" w:eastAsia="Times New Roman" w:hAnsi="Book Antiqua" w:cs="Arial"/>
          <w:color w:val="000000"/>
          <w:kern w:val="0"/>
          <w:sz w:val="19"/>
          <w:szCs w:val="19"/>
          <w:lang w:eastAsia="pt-BR"/>
          <w14:ligatures w14:val="none"/>
        </w:rPr>
        <w:t xml:space="preserve"> Defensor Público-Geral Federal, que o presidirá e terá voto de qualidade em caso de empate;</w:t>
      </w:r>
    </w:p>
    <w:p w14:paraId="03077A48"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 xml:space="preserve">II – </w:t>
      </w:r>
      <w:proofErr w:type="gramStart"/>
      <w:r w:rsidRPr="00772ED5">
        <w:rPr>
          <w:rFonts w:ascii="Book Antiqua" w:eastAsia="Times New Roman" w:hAnsi="Book Antiqua" w:cs="Arial"/>
          <w:color w:val="000000"/>
          <w:kern w:val="0"/>
          <w:sz w:val="19"/>
          <w:szCs w:val="19"/>
          <w:lang w:eastAsia="pt-BR"/>
          <w14:ligatures w14:val="none"/>
        </w:rPr>
        <w:t>do</w:t>
      </w:r>
      <w:proofErr w:type="gramEnd"/>
      <w:r w:rsidRPr="00772ED5">
        <w:rPr>
          <w:rFonts w:ascii="Book Antiqua" w:eastAsia="Times New Roman" w:hAnsi="Book Antiqua" w:cs="Arial"/>
          <w:color w:val="000000"/>
          <w:kern w:val="0"/>
          <w:sz w:val="19"/>
          <w:szCs w:val="19"/>
          <w:lang w:eastAsia="pt-BR"/>
          <w14:ligatures w14:val="none"/>
        </w:rPr>
        <w:t xml:space="preserve"> </w:t>
      </w:r>
      <w:proofErr w:type="spellStart"/>
      <w:r w:rsidRPr="00772ED5">
        <w:rPr>
          <w:rFonts w:ascii="Book Antiqua" w:eastAsia="Times New Roman" w:hAnsi="Book Antiqua" w:cs="Arial"/>
          <w:color w:val="000000"/>
          <w:kern w:val="0"/>
          <w:sz w:val="19"/>
          <w:szCs w:val="19"/>
          <w:lang w:eastAsia="pt-BR"/>
          <w14:ligatures w14:val="none"/>
        </w:rPr>
        <w:t>Subdefensor</w:t>
      </w:r>
      <w:proofErr w:type="spellEnd"/>
      <w:r w:rsidRPr="00772ED5">
        <w:rPr>
          <w:rFonts w:ascii="Book Antiqua" w:eastAsia="Times New Roman" w:hAnsi="Book Antiqua" w:cs="Arial"/>
          <w:color w:val="000000"/>
          <w:kern w:val="0"/>
          <w:sz w:val="19"/>
          <w:szCs w:val="19"/>
          <w:lang w:eastAsia="pt-BR"/>
          <w14:ligatures w14:val="none"/>
        </w:rPr>
        <w:t xml:space="preserve"> Público-Geral Federal;</w:t>
      </w:r>
    </w:p>
    <w:p w14:paraId="50EAC60A"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III – do Diretor da Escola Nacional da Defensoria Pública da União (ENADPU);</w:t>
      </w:r>
    </w:p>
    <w:p w14:paraId="59BC5C14"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 xml:space="preserve">IV – </w:t>
      </w:r>
      <w:proofErr w:type="gramStart"/>
      <w:r w:rsidRPr="00772ED5">
        <w:rPr>
          <w:rFonts w:ascii="Book Antiqua" w:eastAsia="Times New Roman" w:hAnsi="Book Antiqua" w:cs="Arial"/>
          <w:color w:val="000000"/>
          <w:kern w:val="0"/>
          <w:sz w:val="19"/>
          <w:szCs w:val="19"/>
          <w:lang w:eastAsia="pt-BR"/>
          <w14:ligatures w14:val="none"/>
        </w:rPr>
        <w:t>de</w:t>
      </w:r>
      <w:proofErr w:type="gramEnd"/>
      <w:r w:rsidRPr="00772ED5">
        <w:rPr>
          <w:rFonts w:ascii="Book Antiqua" w:eastAsia="Times New Roman" w:hAnsi="Book Antiqua" w:cs="Arial"/>
          <w:color w:val="000000"/>
          <w:kern w:val="0"/>
          <w:sz w:val="19"/>
          <w:szCs w:val="19"/>
          <w:lang w:eastAsia="pt-BR"/>
          <w14:ligatures w14:val="none"/>
        </w:rPr>
        <w:t xml:space="preserve"> 3 (três) Defensores Públicos Federais, 1 (um) integrante de cada categoria, eleitos pelo Conselho Superior da Defensoria Pública da União, para mandato de 2 (dois) anos, em conformidade com as instruções editadas pelo Defensor Público-Geral Federal.</w:t>
      </w:r>
    </w:p>
    <w:p w14:paraId="2A255212"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772ED5">
        <w:rPr>
          <w:rFonts w:ascii="Book Antiqua" w:eastAsia="Times New Roman" w:hAnsi="Book Antiqua" w:cs="Arial"/>
          <w:color w:val="000000"/>
          <w:kern w:val="0"/>
          <w:sz w:val="19"/>
          <w:szCs w:val="19"/>
          <w:lang w:eastAsia="pt-BR"/>
          <w14:ligatures w14:val="none"/>
        </w:rPr>
        <w:t>Art. 3º Compete ao Conselho Curador do Fundo de Aperfeiçoamento da Defensoria Pública da União:</w:t>
      </w:r>
    </w:p>
    <w:p w14:paraId="74CA381B"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 xml:space="preserve">I – </w:t>
      </w:r>
      <w:proofErr w:type="gramStart"/>
      <w:r w:rsidRPr="00772ED5">
        <w:rPr>
          <w:rFonts w:ascii="Book Antiqua" w:eastAsia="Times New Roman" w:hAnsi="Book Antiqua" w:cs="Arial"/>
          <w:color w:val="000000"/>
          <w:kern w:val="0"/>
          <w:sz w:val="19"/>
          <w:szCs w:val="19"/>
          <w:lang w:eastAsia="pt-BR"/>
          <w14:ligatures w14:val="none"/>
        </w:rPr>
        <w:t>zelar</w:t>
      </w:r>
      <w:proofErr w:type="gramEnd"/>
      <w:r w:rsidRPr="00772ED5">
        <w:rPr>
          <w:rFonts w:ascii="Book Antiqua" w:eastAsia="Times New Roman" w:hAnsi="Book Antiqua" w:cs="Arial"/>
          <w:color w:val="000000"/>
          <w:kern w:val="0"/>
          <w:sz w:val="19"/>
          <w:szCs w:val="19"/>
          <w:lang w:eastAsia="pt-BR"/>
          <w14:ligatures w14:val="none"/>
        </w:rPr>
        <w:t xml:space="preserve"> pela aplicação dos recursos na consecução dos objetivos previstos no </w:t>
      </w:r>
      <w:hyperlink r:id="rId6" w:anchor="art4xxi" w:history="1">
        <w:r w:rsidRPr="00772ED5">
          <w:rPr>
            <w:rFonts w:ascii="Book Antiqua" w:eastAsia="Times New Roman" w:hAnsi="Book Antiqua" w:cs="Arial"/>
            <w:color w:val="0000FF"/>
            <w:kern w:val="0"/>
            <w:sz w:val="19"/>
            <w:szCs w:val="19"/>
            <w:u w:val="single"/>
            <w:lang w:eastAsia="pt-BR"/>
            <w14:ligatures w14:val="none"/>
          </w:rPr>
          <w:t>inciso XXI do </w:t>
        </w:r>
        <w:r w:rsidRPr="00772ED5">
          <w:rPr>
            <w:rFonts w:ascii="Book Antiqua" w:eastAsia="Times New Roman" w:hAnsi="Book Antiqua" w:cs="Arial"/>
            <w:i/>
            <w:iCs/>
            <w:color w:val="0000FF"/>
            <w:kern w:val="0"/>
            <w:sz w:val="19"/>
            <w:szCs w:val="19"/>
            <w:u w:val="single"/>
            <w:lang w:eastAsia="pt-BR"/>
            <w14:ligatures w14:val="none"/>
          </w:rPr>
          <w:t>caput</w:t>
        </w:r>
        <w:r w:rsidRPr="00772ED5">
          <w:rPr>
            <w:rFonts w:ascii="Book Antiqua" w:eastAsia="Times New Roman" w:hAnsi="Book Antiqua" w:cs="Arial"/>
            <w:color w:val="0000FF"/>
            <w:kern w:val="0"/>
            <w:sz w:val="19"/>
            <w:szCs w:val="19"/>
            <w:u w:val="single"/>
            <w:lang w:eastAsia="pt-BR"/>
            <w14:ligatures w14:val="none"/>
          </w:rPr>
          <w:t> do art. 4º da Lei Complementar nº 80, de 12 de janeiro de 1994</w:t>
        </w:r>
      </w:hyperlink>
      <w:r w:rsidRPr="00772ED5">
        <w:rPr>
          <w:rFonts w:ascii="Book Antiqua" w:eastAsia="Times New Roman" w:hAnsi="Book Antiqua" w:cs="Arial"/>
          <w:color w:val="000000"/>
          <w:kern w:val="0"/>
          <w:sz w:val="19"/>
          <w:szCs w:val="19"/>
          <w:lang w:eastAsia="pt-BR"/>
          <w14:ligatures w14:val="none"/>
        </w:rPr>
        <w:t> (Lei Orgânica da Defensoria Pública);</w:t>
      </w:r>
    </w:p>
    <w:p w14:paraId="0CD74D29"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 xml:space="preserve">II – </w:t>
      </w:r>
      <w:proofErr w:type="gramStart"/>
      <w:r w:rsidRPr="00772ED5">
        <w:rPr>
          <w:rFonts w:ascii="Book Antiqua" w:eastAsia="Times New Roman" w:hAnsi="Book Antiqua" w:cs="Arial"/>
          <w:color w:val="000000"/>
          <w:kern w:val="0"/>
          <w:sz w:val="19"/>
          <w:szCs w:val="19"/>
          <w:lang w:eastAsia="pt-BR"/>
          <w14:ligatures w14:val="none"/>
        </w:rPr>
        <w:t>aprovar e firmar</w:t>
      </w:r>
      <w:proofErr w:type="gramEnd"/>
      <w:r w:rsidRPr="00772ED5">
        <w:rPr>
          <w:rFonts w:ascii="Book Antiqua" w:eastAsia="Times New Roman" w:hAnsi="Book Antiqua" w:cs="Arial"/>
          <w:color w:val="000000"/>
          <w:kern w:val="0"/>
          <w:sz w:val="19"/>
          <w:szCs w:val="19"/>
          <w:lang w:eastAsia="pt-BR"/>
          <w14:ligatures w14:val="none"/>
        </w:rPr>
        <w:t xml:space="preserve"> convênios e contratos com o objetivo de atender ao disposto no inciso I deste </w:t>
      </w:r>
      <w:r w:rsidRPr="00772ED5">
        <w:rPr>
          <w:rFonts w:ascii="Book Antiqua" w:eastAsia="Times New Roman" w:hAnsi="Book Antiqua" w:cs="Arial"/>
          <w:i/>
          <w:iCs/>
          <w:color w:val="000000"/>
          <w:kern w:val="0"/>
          <w:sz w:val="19"/>
          <w:szCs w:val="19"/>
          <w:lang w:eastAsia="pt-BR"/>
          <w14:ligatures w14:val="none"/>
        </w:rPr>
        <w:t>caput</w:t>
      </w:r>
      <w:r w:rsidRPr="00772ED5">
        <w:rPr>
          <w:rFonts w:ascii="Book Antiqua" w:eastAsia="Times New Roman" w:hAnsi="Book Antiqua" w:cs="Arial"/>
          <w:color w:val="000000"/>
          <w:kern w:val="0"/>
          <w:sz w:val="19"/>
          <w:szCs w:val="19"/>
          <w:lang w:eastAsia="pt-BR"/>
          <w14:ligatures w14:val="none"/>
        </w:rPr>
        <w:t>;</w:t>
      </w:r>
    </w:p>
    <w:p w14:paraId="3AB7E05B"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III – cumprir as demais atribuições e encargos previstos em regulamento.</w:t>
      </w:r>
    </w:p>
    <w:p w14:paraId="3B26E152"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772ED5">
        <w:rPr>
          <w:rFonts w:ascii="Book Antiqua" w:eastAsia="Times New Roman" w:hAnsi="Book Antiqua" w:cs="Arial"/>
          <w:color w:val="000000"/>
          <w:kern w:val="0"/>
          <w:sz w:val="19"/>
          <w:szCs w:val="19"/>
          <w:lang w:eastAsia="pt-BR"/>
          <w14:ligatures w14:val="none"/>
        </w:rPr>
        <w:t>Art. 4º Além dos honorários que couberem à Defensoria Pública em qualquer processo judicial, bem como em atuações extrajudiciais, ainda poderão constituir receita do Fundo de Aperfeiçoamento da Defensoria Pública da União:</w:t>
      </w:r>
    </w:p>
    <w:p w14:paraId="5D9ECD98"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I – as doações, as contribuições em dinheiro, os valores, os bens móveis e imóveis que venha a receber de empresas privadas, de sociedades de economia mista e de organismos ou entidades nacionais ou estrangeiras, bem como de pessoas físicas ou jurídicas, nacionais ou estrangeiras, e aqueles decorrentes de acordos firmados com entidades públicas ou privadas, nacionais, internacionais ou estrangeiras;</w:t>
      </w:r>
    </w:p>
    <w:p w14:paraId="30423303"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 xml:space="preserve">II – </w:t>
      </w:r>
      <w:proofErr w:type="gramStart"/>
      <w:r w:rsidRPr="00772ED5">
        <w:rPr>
          <w:rFonts w:ascii="Book Antiqua" w:eastAsia="Times New Roman" w:hAnsi="Book Antiqua" w:cs="Arial"/>
          <w:color w:val="000000"/>
          <w:kern w:val="0"/>
          <w:sz w:val="19"/>
          <w:szCs w:val="19"/>
          <w:lang w:eastAsia="pt-BR"/>
          <w14:ligatures w14:val="none"/>
        </w:rPr>
        <w:t>as</w:t>
      </w:r>
      <w:proofErr w:type="gramEnd"/>
      <w:r w:rsidRPr="00772ED5">
        <w:rPr>
          <w:rFonts w:ascii="Book Antiqua" w:eastAsia="Times New Roman" w:hAnsi="Book Antiqua" w:cs="Arial"/>
          <w:color w:val="000000"/>
          <w:kern w:val="0"/>
          <w:sz w:val="19"/>
          <w:szCs w:val="19"/>
          <w:lang w:eastAsia="pt-BR"/>
          <w14:ligatures w14:val="none"/>
        </w:rPr>
        <w:t xml:space="preserve"> transferências de outros fundos com natureza privada;</w:t>
      </w:r>
    </w:p>
    <w:p w14:paraId="76ABB80D"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III – outros recursos que lhe forem destinados, com natureza privada.</w:t>
      </w:r>
    </w:p>
    <w:p w14:paraId="34C0D33E"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 1º A receita destinada ao Fundo de Aperfeiçoamento da Defensoria Pública da União será recolhida em conta especial, sob o título Fundo para Aperfeiçoamento Profissional da Defensoria Pública da União.</w:t>
      </w:r>
    </w:p>
    <w:p w14:paraId="6474C990"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lastRenderedPageBreak/>
        <w:t>§ 2º As verbas destinadas ao Fundo de Aperfeiçoamento da Defensoria Pública da União têm natureza privada com finalidade pública, não integrando o orçamento da Defensoria Pública da União autorizado na lei orçamentária anual.</w:t>
      </w:r>
    </w:p>
    <w:p w14:paraId="6F65838F"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 3º Os recursos de que trata este artigo não estarão sujeitos a retenção administrativa ou judicial.</w:t>
      </w:r>
    </w:p>
    <w:p w14:paraId="2474F485"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772ED5">
        <w:rPr>
          <w:rFonts w:ascii="Book Antiqua" w:eastAsia="Times New Roman" w:hAnsi="Book Antiqua" w:cs="Arial"/>
          <w:color w:val="000000"/>
          <w:kern w:val="0"/>
          <w:sz w:val="19"/>
          <w:szCs w:val="19"/>
          <w:lang w:eastAsia="pt-BR"/>
          <w14:ligatures w14:val="none"/>
        </w:rPr>
        <w:t>Art. 5º Caberá ao Conselho Superior da Defensoria Pública da União editar o regulamento e as demais instruções normativas necessárias ao funcionamento do Conselho Curador.</w:t>
      </w:r>
    </w:p>
    <w:p w14:paraId="35D557A0" w14:textId="77777777" w:rsidR="00772ED5" w:rsidRPr="00772ED5" w:rsidRDefault="00772ED5" w:rsidP="00772ED5">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772ED5">
        <w:rPr>
          <w:rFonts w:ascii="Book Antiqua" w:eastAsia="Times New Roman" w:hAnsi="Book Antiqua" w:cs="Arial"/>
          <w:color w:val="000000"/>
          <w:kern w:val="0"/>
          <w:sz w:val="19"/>
          <w:szCs w:val="19"/>
          <w:lang w:eastAsia="pt-BR"/>
          <w14:ligatures w14:val="none"/>
        </w:rPr>
        <w:t>Art. 6º Esta Lei entra em vigor na data de sua publicação. </w:t>
      </w:r>
    </w:p>
    <w:p w14:paraId="548F6FA3" w14:textId="77777777" w:rsidR="00772ED5" w:rsidRPr="00772ED5" w:rsidRDefault="00772ED5" w:rsidP="00772ED5">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Brasília, 30 de julho de 2024; 203º da Independência e 136º da República. </w:t>
      </w:r>
    </w:p>
    <w:p w14:paraId="1DBAAA3E" w14:textId="77777777" w:rsidR="00772ED5" w:rsidRPr="00772ED5" w:rsidRDefault="00772ED5" w:rsidP="00772ED5">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000000"/>
          <w:kern w:val="0"/>
          <w:sz w:val="19"/>
          <w:szCs w:val="19"/>
          <w:lang w:eastAsia="pt-BR"/>
          <w14:ligatures w14:val="none"/>
        </w:rPr>
        <w:t>LUIZ INÁCIO LULA DA SILVA</w:t>
      </w:r>
      <w:r w:rsidRPr="00772ED5">
        <w:rPr>
          <w:rFonts w:ascii="Book Antiqua" w:eastAsia="Times New Roman" w:hAnsi="Book Antiqua" w:cs="Arial"/>
          <w:color w:val="000000"/>
          <w:kern w:val="0"/>
          <w:sz w:val="19"/>
          <w:szCs w:val="19"/>
          <w:lang w:eastAsia="pt-BR"/>
          <w14:ligatures w14:val="none"/>
        </w:rPr>
        <w:br/>
      </w:r>
      <w:r w:rsidRPr="00772ED5">
        <w:rPr>
          <w:rFonts w:ascii="Book Antiqua" w:eastAsia="Times New Roman" w:hAnsi="Book Antiqua" w:cs="Arial"/>
          <w:i/>
          <w:iCs/>
          <w:color w:val="212529"/>
          <w:kern w:val="0"/>
          <w:sz w:val="19"/>
          <w:szCs w:val="19"/>
          <w:lang w:eastAsia="pt-BR"/>
          <w14:ligatures w14:val="none"/>
        </w:rPr>
        <w:t>Enrique Ricardo Lewandowski</w:t>
      </w:r>
    </w:p>
    <w:p w14:paraId="1D21C0D3" w14:textId="77777777" w:rsidR="00772ED5" w:rsidRPr="00772ED5" w:rsidRDefault="00772ED5" w:rsidP="00772ED5">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FF0000"/>
          <w:kern w:val="0"/>
          <w:sz w:val="19"/>
          <w:szCs w:val="19"/>
          <w:lang w:eastAsia="pt-BR"/>
          <w14:ligatures w14:val="none"/>
        </w:rPr>
        <w:t>Este texto não substitui o publicado no DOU de 31.7.2024.</w:t>
      </w:r>
    </w:p>
    <w:p w14:paraId="32EF3040" w14:textId="77777777" w:rsidR="00772ED5" w:rsidRPr="00772ED5" w:rsidRDefault="00772ED5" w:rsidP="00772ED5">
      <w:pPr>
        <w:spacing w:before="100" w:beforeAutospacing="1" w:after="100" w:afterAutospacing="1" w:line="240" w:lineRule="auto"/>
        <w:ind w:right="284"/>
        <w:jc w:val="center"/>
        <w:rPr>
          <w:rFonts w:ascii="Book Antiqua" w:eastAsia="Times New Roman" w:hAnsi="Book Antiqua" w:cs="Times New Roman"/>
          <w:color w:val="000000"/>
          <w:kern w:val="0"/>
          <w:sz w:val="19"/>
          <w:szCs w:val="19"/>
          <w:lang w:eastAsia="pt-BR"/>
          <w14:ligatures w14:val="none"/>
        </w:rPr>
      </w:pPr>
      <w:r w:rsidRPr="00772ED5">
        <w:rPr>
          <w:rFonts w:ascii="Book Antiqua" w:eastAsia="Times New Roman" w:hAnsi="Book Antiqua" w:cs="Arial"/>
          <w:color w:val="FF0000"/>
          <w:kern w:val="0"/>
          <w:sz w:val="19"/>
          <w:szCs w:val="19"/>
          <w:lang w:eastAsia="pt-BR"/>
          <w14:ligatures w14:val="none"/>
        </w:rPr>
        <w:t>*</w:t>
      </w:r>
    </w:p>
    <w:p w14:paraId="23B45905" w14:textId="77777777" w:rsidR="00BB7FE6" w:rsidRPr="00772ED5" w:rsidRDefault="00BB7FE6" w:rsidP="00772ED5">
      <w:pPr>
        <w:spacing w:before="100" w:beforeAutospacing="1" w:after="100" w:afterAutospacing="1" w:line="240" w:lineRule="auto"/>
        <w:rPr>
          <w:rFonts w:ascii="Book Antiqua" w:hAnsi="Book Antiqua"/>
          <w:sz w:val="19"/>
          <w:szCs w:val="19"/>
        </w:rPr>
      </w:pPr>
    </w:p>
    <w:sectPr w:rsidR="00BB7FE6" w:rsidRPr="00772ED5" w:rsidSect="00772ED5">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69A"/>
    <w:rsid w:val="00772ED5"/>
    <w:rsid w:val="00841069"/>
    <w:rsid w:val="00BB7FE6"/>
    <w:rsid w:val="00C7069A"/>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F9618D-A4FB-4395-A730-3BBE19FB2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99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LEIS/LCP/Lcp80.htm" TargetMode="External"/><Relationship Id="rId5" Type="http://schemas.openxmlformats.org/officeDocument/2006/relationships/hyperlink" Target="https://www.planalto.gov.br/ccivil_03/LEIS/LCP/Lcp80.htm" TargetMode="External"/><Relationship Id="rId4" Type="http://schemas.openxmlformats.org/officeDocument/2006/relationships/hyperlink" Target="http://legislacao.planalto.gov.br/legisla/legislacao.nsf/Viw_Identificacao/lei%2014.941-202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3131</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2024-08-22T18:50:00Z</dcterms:created>
  <dcterms:modified xsi:type="dcterms:W3CDTF">2024-08-22T18:50:00Z</dcterms:modified>
</cp:coreProperties>
</file>