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6C113"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fldChar w:fldCharType="begin"/>
      </w:r>
      <w:r w:rsidRPr="000D517E">
        <w:rPr>
          <w:rFonts w:ascii="Book Antiqua" w:hAnsi="Book Antiqua"/>
          <w:b/>
          <w:bCs/>
          <w:sz w:val="19"/>
          <w:szCs w:val="19"/>
        </w:rPr>
        <w:instrText xml:space="preserve"> HYPERLINK "https://dpu.def.br/images/stories/Infoleg/2016/04/19/resol_127.pdf" \t "_blank" </w:instrText>
      </w:r>
      <w:r w:rsidRPr="000D517E">
        <w:rPr>
          <w:rFonts w:ascii="Book Antiqua" w:hAnsi="Book Antiqua"/>
          <w:b/>
          <w:bCs/>
          <w:sz w:val="19"/>
          <w:szCs w:val="19"/>
        </w:rPr>
        <w:fldChar w:fldCharType="separate"/>
      </w:r>
      <w:r w:rsidRPr="000D517E">
        <w:rPr>
          <w:rStyle w:val="Hyperlink"/>
          <w:rFonts w:ascii="Book Antiqua" w:hAnsi="Book Antiqua"/>
          <w:b/>
          <w:bCs/>
          <w:sz w:val="19"/>
          <w:szCs w:val="19"/>
        </w:rPr>
        <w:t>RESOLUÇÃO CSDPU Nº 127, DE 06 DE ABRIL 2016</w:t>
      </w:r>
      <w:r w:rsidRPr="000D517E">
        <w:rPr>
          <w:rFonts w:ascii="Book Antiqua" w:hAnsi="Book Antiqua"/>
          <w:sz w:val="19"/>
          <w:szCs w:val="19"/>
        </w:rPr>
        <w:fldChar w:fldCharType="end"/>
      </w:r>
    </w:p>
    <w:p w14:paraId="49D9C2B4" w14:textId="77777777" w:rsidR="000D517E" w:rsidRPr="000D517E" w:rsidRDefault="000D517E" w:rsidP="000D517E">
      <w:pPr>
        <w:jc w:val="both"/>
        <w:rPr>
          <w:rFonts w:ascii="Book Antiqua" w:hAnsi="Book Antiqua"/>
          <w:sz w:val="19"/>
          <w:szCs w:val="19"/>
        </w:rPr>
      </w:pPr>
      <w:r w:rsidRPr="000D517E">
        <w:rPr>
          <w:rFonts w:ascii="Book Antiqua" w:hAnsi="Book Antiqua"/>
          <w:i/>
          <w:iCs/>
          <w:sz w:val="19"/>
          <w:szCs w:val="19"/>
        </w:rPr>
        <w:t>Regulamenta a tutela coletiva de direitos e interesses pela Defensoria Pública da União</w:t>
      </w:r>
    </w:p>
    <w:p w14:paraId="420F5433"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 </w:t>
      </w:r>
    </w:p>
    <w:p w14:paraId="611DF614"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O CONSELHO SUPERIOR DA DEFENSORIA PÚBLICA DA UNIÃO</w:t>
      </w:r>
      <w:r w:rsidRPr="000D517E">
        <w:rPr>
          <w:rFonts w:ascii="Book Antiqua" w:hAnsi="Book Antiqua"/>
          <w:sz w:val="19"/>
          <w:szCs w:val="19"/>
        </w:rPr>
        <w:t>, no uso das atribuições que lhe são conferidas pelo inciso I do art. 10 da Lei Complementar 80/1994;</w:t>
      </w:r>
    </w:p>
    <w:p w14:paraId="55763707"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 </w:t>
      </w:r>
    </w:p>
    <w:p w14:paraId="3329F89C"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RESOLVE:</w:t>
      </w:r>
    </w:p>
    <w:p w14:paraId="6C33562E"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 </w:t>
      </w:r>
    </w:p>
    <w:p w14:paraId="087E16EE"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O CONSELHO SUPERIOR DA DEFENSORIA PÚBLICA DA UNIÃO </w:t>
      </w:r>
      <w:r w:rsidRPr="000D517E">
        <w:rPr>
          <w:rFonts w:ascii="Book Antiqua" w:hAnsi="Book Antiqua"/>
          <w:sz w:val="19"/>
          <w:szCs w:val="19"/>
        </w:rPr>
        <w:t>, no uso das atribuições que lhe são conferidas pelo inciso I do art. 10 da Lei Complementar 80/1994;</w:t>
      </w:r>
    </w:p>
    <w:p w14:paraId="68425172"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RESOLVE:</w:t>
      </w:r>
    </w:p>
    <w:p w14:paraId="533B69F7"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1º.</w:t>
      </w:r>
      <w:r w:rsidRPr="000D517E">
        <w:rPr>
          <w:rFonts w:ascii="Book Antiqua" w:hAnsi="Book Antiqua"/>
          <w:sz w:val="19"/>
          <w:szCs w:val="19"/>
        </w:rPr>
        <w:t> A tutela de direitos e interesses comuns a grupos integrados potencialmente por indivíduos vulneráveis se dará prioritariamente de forma coletiva.</w:t>
      </w:r>
    </w:p>
    <w:p w14:paraId="295D039F"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2º.</w:t>
      </w:r>
      <w:r w:rsidRPr="000D517E">
        <w:rPr>
          <w:rFonts w:ascii="Book Antiqua" w:hAnsi="Book Antiqua"/>
          <w:sz w:val="19"/>
          <w:szCs w:val="19"/>
        </w:rPr>
        <w:t> Na tutela coletiva, primar-se-á pela solução extrajudicial de litígios, mediante a utilização de todas as formas e instrumentos legais disponíveis.</w:t>
      </w:r>
    </w:p>
    <w:p w14:paraId="7060AAE6"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3º.</w:t>
      </w:r>
      <w:r w:rsidRPr="000D517E">
        <w:rPr>
          <w:rFonts w:ascii="Book Antiqua" w:hAnsi="Book Antiqua"/>
          <w:sz w:val="19"/>
          <w:szCs w:val="19"/>
        </w:rPr>
        <w:t> Verificando-se a inviabilidade da solução extrajudicial da controvérsia, poderá a Defensoria Pública da União promover ação civil pública e todas as espécies de ações capazes de propiciar a adequada tutela dos direitos difusos, coletivos ou individuais homogêneos quando o resultado da demanda puder beneficiar indivíduos vulneráveis integrantes do grupo.</w:t>
      </w:r>
    </w:p>
    <w:p w14:paraId="7382BB5D"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4º</w:t>
      </w:r>
      <w:r w:rsidRPr="000D517E">
        <w:rPr>
          <w:rFonts w:ascii="Book Antiqua" w:hAnsi="Book Antiqua"/>
          <w:sz w:val="19"/>
          <w:szCs w:val="19"/>
        </w:rPr>
        <w:t> O Defensor Público-Geral Federal designará, ad referendum do Conselho Superior, por maioria absoluta, membros da carreira, independentemente da categoria e do local de lotação, para exercer as funções de Defensor Nacional de Direitos Humanos e seu substituto.</w:t>
      </w:r>
      <w:hyperlink r:id="rId5" w:history="1">
        <w:r w:rsidRPr="000D517E">
          <w:rPr>
            <w:rStyle w:val="Hyperlink"/>
            <w:rFonts w:ascii="Book Antiqua" w:hAnsi="Book Antiqua"/>
            <w:sz w:val="19"/>
            <w:szCs w:val="19"/>
          </w:rPr>
          <w:t>(Redação dada pela Resolução CSDPU n° 153, de 4 de outubro de 2019)</w:t>
        </w:r>
      </w:hyperlink>
    </w:p>
    <w:p w14:paraId="2B74A0E7" w14:textId="77777777" w:rsidR="000D517E" w:rsidRPr="000D517E" w:rsidRDefault="000D517E" w:rsidP="000D517E">
      <w:pPr>
        <w:numPr>
          <w:ilvl w:val="0"/>
          <w:numId w:val="1"/>
        </w:numPr>
        <w:jc w:val="both"/>
        <w:rPr>
          <w:rFonts w:ascii="Book Antiqua" w:hAnsi="Book Antiqua"/>
          <w:sz w:val="19"/>
          <w:szCs w:val="19"/>
        </w:rPr>
      </w:pPr>
      <w:r w:rsidRPr="000D517E">
        <w:rPr>
          <w:rFonts w:ascii="Book Antiqua" w:hAnsi="Book Antiqua"/>
          <w:sz w:val="19"/>
          <w:szCs w:val="19"/>
        </w:rPr>
        <w:t>§ 1º O Defensor Nacional de Direitos Humanos e o seu Substituto exercerão suas funções, pelo período de um ano, admitida três reconduções. </w:t>
      </w:r>
      <w:hyperlink r:id="rId6" w:history="1">
        <w:r w:rsidRPr="000D517E">
          <w:rPr>
            <w:rStyle w:val="Hyperlink"/>
            <w:rFonts w:ascii="Book Antiqua" w:hAnsi="Book Antiqua"/>
            <w:sz w:val="19"/>
            <w:szCs w:val="19"/>
          </w:rPr>
          <w:t>(Redação dada pela Resolução CSDPU n° 153, de 4 de outubro de 2019)</w:t>
        </w:r>
      </w:hyperlink>
    </w:p>
    <w:p w14:paraId="1B687154" w14:textId="77777777" w:rsidR="000D517E" w:rsidRPr="000D517E" w:rsidRDefault="000D517E" w:rsidP="000D517E">
      <w:pPr>
        <w:numPr>
          <w:ilvl w:val="0"/>
          <w:numId w:val="1"/>
        </w:numPr>
        <w:jc w:val="both"/>
        <w:rPr>
          <w:rFonts w:ascii="Book Antiqua" w:hAnsi="Book Antiqua"/>
          <w:sz w:val="19"/>
          <w:szCs w:val="19"/>
        </w:rPr>
      </w:pPr>
      <w:r w:rsidRPr="000D517E">
        <w:rPr>
          <w:rFonts w:ascii="Book Antiqua" w:hAnsi="Book Antiqua"/>
          <w:sz w:val="19"/>
          <w:szCs w:val="19"/>
        </w:rPr>
        <w:t>§ 2º Não poderão ser designados os Conselheiros da Defensoria Pública da União. </w:t>
      </w:r>
      <w:hyperlink r:id="rId7" w:history="1">
        <w:r w:rsidRPr="000D517E">
          <w:rPr>
            <w:rStyle w:val="Hyperlink"/>
            <w:rFonts w:ascii="Book Antiqua" w:hAnsi="Book Antiqua"/>
            <w:sz w:val="19"/>
            <w:szCs w:val="19"/>
          </w:rPr>
          <w:t>(Redação dada pela Resolução CSDPU n° 153, de 4 de outubro de 2019)</w:t>
        </w:r>
      </w:hyperlink>
    </w:p>
    <w:p w14:paraId="277D33B8" w14:textId="77777777" w:rsidR="000D517E" w:rsidRPr="000D517E" w:rsidRDefault="000D517E" w:rsidP="000D517E">
      <w:pPr>
        <w:numPr>
          <w:ilvl w:val="0"/>
          <w:numId w:val="1"/>
        </w:numPr>
        <w:jc w:val="both"/>
        <w:rPr>
          <w:rFonts w:ascii="Book Antiqua" w:hAnsi="Book Antiqua"/>
          <w:sz w:val="19"/>
          <w:szCs w:val="19"/>
        </w:rPr>
      </w:pPr>
      <w:r w:rsidRPr="000D517E">
        <w:rPr>
          <w:rFonts w:ascii="Book Antiqua" w:hAnsi="Book Antiqua"/>
          <w:sz w:val="19"/>
          <w:szCs w:val="19"/>
        </w:rPr>
        <w:t>§ 3º O Defensor Nacional dos Direitos Humanos e seu substituto somente serão dispensados, antes do termo de sua investidura, por iniciativa fundamentada de membro da carreira, anuindo a maioria absoluta do Conselho Superior. </w:t>
      </w:r>
      <w:hyperlink r:id="rId8" w:history="1">
        <w:r w:rsidRPr="000D517E">
          <w:rPr>
            <w:rStyle w:val="Hyperlink"/>
            <w:rFonts w:ascii="Book Antiqua" w:hAnsi="Book Antiqua"/>
            <w:sz w:val="19"/>
            <w:szCs w:val="19"/>
          </w:rPr>
          <w:t>(Redação dada pela Resolução CSDPU n° 153, de 4 de outubro de 2019)</w:t>
        </w:r>
      </w:hyperlink>
    </w:p>
    <w:p w14:paraId="0935D6EA" w14:textId="77777777" w:rsidR="000D517E" w:rsidRPr="000D517E" w:rsidRDefault="000D517E" w:rsidP="000D517E">
      <w:pPr>
        <w:numPr>
          <w:ilvl w:val="0"/>
          <w:numId w:val="1"/>
        </w:numPr>
        <w:jc w:val="both"/>
        <w:rPr>
          <w:rFonts w:ascii="Book Antiqua" w:hAnsi="Book Antiqua"/>
          <w:sz w:val="19"/>
          <w:szCs w:val="19"/>
        </w:rPr>
      </w:pPr>
      <w:r w:rsidRPr="000D517E">
        <w:rPr>
          <w:rFonts w:ascii="Book Antiqua" w:hAnsi="Book Antiqua"/>
          <w:sz w:val="19"/>
          <w:szCs w:val="19"/>
        </w:rPr>
        <w:t>§ 4º O Defensor Nacional de Direitos Humanos será afastado de suas atividades ordinárias e não poderá ocupar outro cargo ou desempenhar outra função na Defensoria Pública da União.</w:t>
      </w:r>
    </w:p>
    <w:p w14:paraId="718283E8" w14:textId="77777777" w:rsidR="000D517E" w:rsidRPr="000D517E" w:rsidRDefault="000D517E" w:rsidP="000D517E">
      <w:pPr>
        <w:numPr>
          <w:ilvl w:val="0"/>
          <w:numId w:val="1"/>
        </w:numPr>
        <w:jc w:val="both"/>
        <w:rPr>
          <w:rFonts w:ascii="Book Antiqua" w:hAnsi="Book Antiqua"/>
          <w:sz w:val="19"/>
          <w:szCs w:val="19"/>
        </w:rPr>
      </w:pPr>
      <w:r w:rsidRPr="000D517E">
        <w:rPr>
          <w:rFonts w:ascii="Book Antiqua" w:hAnsi="Book Antiqua"/>
          <w:sz w:val="19"/>
          <w:szCs w:val="19"/>
        </w:rPr>
        <w:t>§ 5º O Defensor Nacional de Direitos Humanos substituto só será afastado de suas atividades ordinárias quando estiver efetivamente substituindo o titular.</w:t>
      </w:r>
    </w:p>
    <w:p w14:paraId="370B3E43" w14:textId="77777777" w:rsidR="000D517E" w:rsidRPr="000D517E" w:rsidRDefault="000D517E" w:rsidP="000D517E">
      <w:pPr>
        <w:numPr>
          <w:ilvl w:val="0"/>
          <w:numId w:val="1"/>
        </w:numPr>
        <w:jc w:val="both"/>
        <w:rPr>
          <w:rFonts w:ascii="Book Antiqua" w:hAnsi="Book Antiqua"/>
          <w:sz w:val="19"/>
          <w:szCs w:val="19"/>
        </w:rPr>
      </w:pPr>
      <w:r w:rsidRPr="000D517E">
        <w:rPr>
          <w:rFonts w:ascii="Book Antiqua" w:hAnsi="Book Antiqua"/>
          <w:sz w:val="19"/>
          <w:szCs w:val="19"/>
        </w:rPr>
        <w:t>§ 6º O Defensor Nacional de Direitos Humanos terá exercício na capital federal enquanto desempenhar suas funções.</w:t>
      </w:r>
    </w:p>
    <w:p w14:paraId="4560683B" w14:textId="77777777" w:rsidR="000D517E" w:rsidRPr="000D517E" w:rsidRDefault="000D517E" w:rsidP="000D517E">
      <w:pPr>
        <w:numPr>
          <w:ilvl w:val="0"/>
          <w:numId w:val="1"/>
        </w:numPr>
        <w:jc w:val="both"/>
        <w:rPr>
          <w:rFonts w:ascii="Book Antiqua" w:hAnsi="Book Antiqua"/>
          <w:sz w:val="19"/>
          <w:szCs w:val="19"/>
        </w:rPr>
      </w:pPr>
      <w:r w:rsidRPr="000D517E">
        <w:rPr>
          <w:rFonts w:ascii="Book Antiqua" w:hAnsi="Book Antiqua"/>
          <w:sz w:val="19"/>
          <w:szCs w:val="19"/>
        </w:rPr>
        <w:t>§ 7º A função do caput tem natureza jurídica de Assessoramento à Defensoria Pública-Geral da União, sendo regidas por esta Resolução</w:t>
      </w:r>
      <w:hyperlink r:id="rId9" w:history="1">
        <w:r w:rsidRPr="000D517E">
          <w:rPr>
            <w:rStyle w:val="Hyperlink"/>
            <w:rFonts w:ascii="Book Antiqua" w:hAnsi="Book Antiqua"/>
            <w:sz w:val="19"/>
            <w:szCs w:val="19"/>
          </w:rPr>
          <w:t>.(Incluído pela Resolução CSDPU n° 153, de 4 de outubro de 2019)</w:t>
        </w:r>
      </w:hyperlink>
    </w:p>
    <w:p w14:paraId="1E8B7BBF"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lastRenderedPageBreak/>
        <w:t>Art. 4º-A</w:t>
      </w:r>
      <w:r w:rsidRPr="000D517E">
        <w:rPr>
          <w:rFonts w:ascii="Book Antiqua" w:hAnsi="Book Antiqua"/>
          <w:sz w:val="19"/>
          <w:szCs w:val="19"/>
        </w:rPr>
        <w:t> O ajuizamento de ação e a elaboração de manifestações extraprocessuais acerca de ações coletivas que visem ato de Chefe dos Poderes Executivo, Legislativo e Judiciário da União precederão de manifestação do Defensor Público-Geral Federal. </w:t>
      </w:r>
      <w:hyperlink r:id="rId10" w:history="1">
        <w:r w:rsidRPr="000D517E">
          <w:rPr>
            <w:rStyle w:val="Hyperlink"/>
            <w:rFonts w:ascii="Book Antiqua" w:hAnsi="Book Antiqua"/>
            <w:sz w:val="19"/>
            <w:szCs w:val="19"/>
          </w:rPr>
          <w:t>.(Incluído pela Resolução CSDPU n° 153, de 4 de outubro de 2019)</w:t>
        </w:r>
      </w:hyperlink>
    </w:p>
    <w:p w14:paraId="5A2D193A"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5º</w:t>
      </w:r>
      <w:r w:rsidRPr="000D517E">
        <w:rPr>
          <w:rFonts w:ascii="Book Antiqua" w:hAnsi="Book Antiqua"/>
          <w:sz w:val="19"/>
          <w:szCs w:val="19"/>
        </w:rPr>
        <w:t> Serão designados Defensores Regionais de Direitos Humanos e seus substitutos, pelo Defensor Público-Geral Federal, dentre integrantes de lista tríplice formada por meio de eleições entre os membros da carreira, de qualquer categoria, lotados na respectiva região geográfica, na forma e quantitativo previstos no Anexo I. </w:t>
      </w:r>
      <w:hyperlink r:id="rId11" w:history="1">
        <w:r w:rsidRPr="000D517E">
          <w:rPr>
            <w:rStyle w:val="Hyperlink"/>
            <w:rFonts w:ascii="Book Antiqua" w:hAnsi="Book Antiqua"/>
            <w:sz w:val="19"/>
            <w:szCs w:val="19"/>
          </w:rPr>
          <w:t>(Redação dada pela Resolução CSDPU n° 153, de 4 de outubro de 2019)</w:t>
        </w:r>
      </w:hyperlink>
    </w:p>
    <w:p w14:paraId="0F2DA0A9" w14:textId="77777777" w:rsidR="000D517E" w:rsidRPr="000D517E" w:rsidRDefault="000D517E" w:rsidP="000D517E">
      <w:pPr>
        <w:numPr>
          <w:ilvl w:val="0"/>
          <w:numId w:val="2"/>
        </w:numPr>
        <w:jc w:val="both"/>
        <w:rPr>
          <w:rFonts w:ascii="Book Antiqua" w:hAnsi="Book Antiqua"/>
          <w:sz w:val="19"/>
          <w:szCs w:val="19"/>
        </w:rPr>
      </w:pPr>
      <w:r w:rsidRPr="000D517E">
        <w:rPr>
          <w:rFonts w:ascii="Book Antiqua" w:hAnsi="Book Antiqua"/>
          <w:sz w:val="19"/>
          <w:szCs w:val="19"/>
        </w:rPr>
        <w:t xml:space="preserve">§ 1º A lista tríplice será elaborada mediante escolha </w:t>
      </w:r>
      <w:proofErr w:type="spellStart"/>
      <w:r w:rsidRPr="000D517E">
        <w:rPr>
          <w:rFonts w:ascii="Book Antiqua" w:hAnsi="Book Antiqua"/>
          <w:sz w:val="19"/>
          <w:szCs w:val="19"/>
        </w:rPr>
        <w:t>plurinominal</w:t>
      </w:r>
      <w:proofErr w:type="spellEnd"/>
      <w:r w:rsidRPr="000D517E">
        <w:rPr>
          <w:rFonts w:ascii="Book Antiqua" w:hAnsi="Book Antiqua"/>
          <w:sz w:val="19"/>
          <w:szCs w:val="19"/>
        </w:rPr>
        <w:t xml:space="preserve"> e secreta, dentre membros em exercício na Defensoria Pública da União.</w:t>
      </w:r>
    </w:p>
    <w:p w14:paraId="1A4D42B9" w14:textId="77777777" w:rsidR="000D517E" w:rsidRPr="000D517E" w:rsidRDefault="000D517E" w:rsidP="000D517E">
      <w:pPr>
        <w:numPr>
          <w:ilvl w:val="0"/>
          <w:numId w:val="2"/>
        </w:numPr>
        <w:jc w:val="both"/>
        <w:rPr>
          <w:rFonts w:ascii="Book Antiqua" w:hAnsi="Book Antiqua"/>
          <w:sz w:val="19"/>
          <w:szCs w:val="19"/>
        </w:rPr>
      </w:pPr>
      <w:r w:rsidRPr="000D517E">
        <w:rPr>
          <w:rFonts w:ascii="Book Antiqua" w:hAnsi="Book Antiqua"/>
          <w:sz w:val="19"/>
          <w:szCs w:val="19"/>
        </w:rPr>
        <w:t>§ 2º Caso não haja candidatos, deverá o Defensor Público-Geral Federal: </w:t>
      </w:r>
      <w:hyperlink r:id="rId12" w:history="1">
        <w:r w:rsidRPr="000D517E">
          <w:rPr>
            <w:rStyle w:val="Hyperlink"/>
            <w:rFonts w:ascii="Book Antiqua" w:hAnsi="Book Antiqua"/>
            <w:sz w:val="19"/>
            <w:szCs w:val="19"/>
          </w:rPr>
          <w:t>(Redação dada pela Resolução CSDPU n° 153, de 4 de outubro de 2019)</w:t>
        </w:r>
      </w:hyperlink>
    </w:p>
    <w:p w14:paraId="2105852E"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I - proceder à livre escolha ou designação de um Defensor Público Regional de Direitos Humanos para atuação em mais de um Estado da Federação, sempre com anuência do membro; ou </w:t>
      </w:r>
      <w:hyperlink r:id="rId13" w:history="1">
        <w:r w:rsidRPr="000D517E">
          <w:rPr>
            <w:rStyle w:val="Hyperlink"/>
            <w:rFonts w:ascii="Book Antiqua" w:hAnsi="Book Antiqua"/>
            <w:sz w:val="19"/>
            <w:szCs w:val="19"/>
          </w:rPr>
          <w:t>.(Incluído pela Resolução CSDPU n° 153, de 4 de outubro de 2019)</w:t>
        </w:r>
      </w:hyperlink>
    </w:p>
    <w:p w14:paraId="6BD3049C"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II - determinar que a atuação de todos os membros da respectiva região geográfica seja realizada em substituição por prevenção, vedada a redistribuição de acervo e observadas as atribuições legais de cada categoria, não se aplicando na hipótese o previsto na Resolução nº 63/2012. </w:t>
      </w:r>
      <w:hyperlink r:id="rId14" w:history="1">
        <w:r w:rsidRPr="000D517E">
          <w:rPr>
            <w:rStyle w:val="Hyperlink"/>
            <w:rFonts w:ascii="Book Antiqua" w:hAnsi="Book Antiqua"/>
            <w:sz w:val="19"/>
            <w:szCs w:val="19"/>
          </w:rPr>
          <w:t>.(Incluído pela Resolução CSDPU n° 153, de 4 de outubro de 2019)</w:t>
        </w:r>
      </w:hyperlink>
    </w:p>
    <w:p w14:paraId="1964B8C7" w14:textId="77777777" w:rsidR="000D517E" w:rsidRPr="000D517E" w:rsidRDefault="000D517E" w:rsidP="000D517E">
      <w:pPr>
        <w:numPr>
          <w:ilvl w:val="0"/>
          <w:numId w:val="3"/>
        </w:numPr>
        <w:jc w:val="both"/>
        <w:rPr>
          <w:rFonts w:ascii="Book Antiqua" w:hAnsi="Book Antiqua"/>
          <w:sz w:val="19"/>
          <w:szCs w:val="19"/>
        </w:rPr>
      </w:pPr>
      <w:r w:rsidRPr="000D517E">
        <w:rPr>
          <w:rFonts w:ascii="Book Antiqua" w:hAnsi="Book Antiqua"/>
          <w:sz w:val="19"/>
          <w:szCs w:val="19"/>
        </w:rPr>
        <w:t>§ 2°-A Aplicam-se as disposições do parágrafo anterior para afastamentos temporários do Defensor Regional de Direitos Humanos quando não houver substituto designado. </w:t>
      </w:r>
      <w:hyperlink r:id="rId15" w:history="1">
        <w:r w:rsidRPr="000D517E">
          <w:rPr>
            <w:rStyle w:val="Hyperlink"/>
            <w:rFonts w:ascii="Book Antiqua" w:hAnsi="Book Antiqua"/>
            <w:sz w:val="19"/>
            <w:szCs w:val="19"/>
          </w:rPr>
          <w:t>.(Incluído pela Resolução CSDPU n° 153, de 4 de outubro de 2019)</w:t>
        </w:r>
      </w:hyperlink>
    </w:p>
    <w:p w14:paraId="6123F3C0" w14:textId="77777777" w:rsidR="000D517E" w:rsidRPr="000D517E" w:rsidRDefault="000D517E" w:rsidP="000D517E">
      <w:pPr>
        <w:numPr>
          <w:ilvl w:val="0"/>
          <w:numId w:val="3"/>
        </w:numPr>
        <w:jc w:val="both"/>
        <w:rPr>
          <w:rFonts w:ascii="Book Antiqua" w:hAnsi="Book Antiqua"/>
          <w:sz w:val="19"/>
          <w:szCs w:val="19"/>
        </w:rPr>
      </w:pPr>
      <w:r w:rsidRPr="000D517E">
        <w:rPr>
          <w:rFonts w:ascii="Book Antiqua" w:hAnsi="Book Antiqua"/>
          <w:sz w:val="19"/>
          <w:szCs w:val="19"/>
        </w:rPr>
        <w:t>§ 3º Os Defensores Regionais de Direitos Humanos e seus substitutos exercerão suas funções pelo prazo de dois anos, admitida a recondução e observado o procedimento do caput . </w:t>
      </w:r>
      <w:hyperlink r:id="rId16" w:history="1">
        <w:r w:rsidRPr="000D517E">
          <w:rPr>
            <w:rStyle w:val="Hyperlink"/>
            <w:rFonts w:ascii="Book Antiqua" w:hAnsi="Book Antiqua"/>
            <w:sz w:val="19"/>
            <w:szCs w:val="19"/>
          </w:rPr>
          <w:t>(Redação dada pela Resolução CSDPU n° 153, de 4 de outubro de 2019)</w:t>
        </w:r>
      </w:hyperlink>
    </w:p>
    <w:p w14:paraId="3B4AE7F0" w14:textId="77777777" w:rsidR="000D517E" w:rsidRPr="000D517E" w:rsidRDefault="000D517E" w:rsidP="000D517E">
      <w:pPr>
        <w:numPr>
          <w:ilvl w:val="0"/>
          <w:numId w:val="3"/>
        </w:numPr>
        <w:jc w:val="both"/>
        <w:rPr>
          <w:rFonts w:ascii="Book Antiqua" w:hAnsi="Book Antiqua"/>
          <w:sz w:val="19"/>
          <w:szCs w:val="19"/>
        </w:rPr>
      </w:pPr>
      <w:r w:rsidRPr="000D517E">
        <w:rPr>
          <w:rFonts w:ascii="Book Antiqua" w:hAnsi="Book Antiqua"/>
          <w:sz w:val="19"/>
          <w:szCs w:val="19"/>
        </w:rPr>
        <w:t>§ 4º O Defensor Regional de Direitos Humanos será afastado das atividades de seu Ofício de titularidade.</w:t>
      </w:r>
    </w:p>
    <w:p w14:paraId="43B0BE33" w14:textId="77777777" w:rsidR="000D517E" w:rsidRPr="000D517E" w:rsidRDefault="000D517E" w:rsidP="000D517E">
      <w:pPr>
        <w:numPr>
          <w:ilvl w:val="0"/>
          <w:numId w:val="3"/>
        </w:numPr>
        <w:jc w:val="both"/>
        <w:rPr>
          <w:rFonts w:ascii="Book Antiqua" w:hAnsi="Book Antiqua"/>
          <w:sz w:val="19"/>
          <w:szCs w:val="19"/>
        </w:rPr>
      </w:pPr>
      <w:r w:rsidRPr="000D517E">
        <w:rPr>
          <w:rFonts w:ascii="Book Antiqua" w:hAnsi="Book Antiqua"/>
          <w:sz w:val="19"/>
          <w:szCs w:val="19"/>
        </w:rPr>
        <w:t>§ 5º A tramitação ou conclusão em substituição dos processos em razão do afastamento dar-se-á na forma do art. 11, § 3º, alíneas a, b e c, da Resolução CSDPU 63/2012, se houver menos de cinco defensores públicos lotados em ofícios de mesma especialidade do Defensor Regional de Direitos Humanos. </w:t>
      </w:r>
      <w:hyperlink r:id="rId17" w:history="1">
        <w:r w:rsidRPr="000D517E">
          <w:rPr>
            <w:rStyle w:val="Hyperlink"/>
            <w:rFonts w:ascii="Book Antiqua" w:hAnsi="Book Antiqua"/>
            <w:sz w:val="19"/>
            <w:szCs w:val="19"/>
          </w:rPr>
          <w:t>(Revogado pela Resolução CSDPU n° 153, de 4 de outubro de 2019)</w:t>
        </w:r>
      </w:hyperlink>
    </w:p>
    <w:p w14:paraId="6E7D8676" w14:textId="77777777" w:rsidR="000D517E" w:rsidRPr="000D517E" w:rsidRDefault="000D517E" w:rsidP="000D517E">
      <w:pPr>
        <w:numPr>
          <w:ilvl w:val="0"/>
          <w:numId w:val="3"/>
        </w:numPr>
        <w:jc w:val="both"/>
        <w:rPr>
          <w:rFonts w:ascii="Book Antiqua" w:hAnsi="Book Antiqua"/>
          <w:sz w:val="19"/>
          <w:szCs w:val="19"/>
        </w:rPr>
      </w:pPr>
      <w:r w:rsidRPr="000D517E">
        <w:rPr>
          <w:rFonts w:ascii="Book Antiqua" w:hAnsi="Book Antiqua"/>
          <w:sz w:val="19"/>
          <w:szCs w:val="19"/>
        </w:rPr>
        <w:t>§ 6º Se o Defensor Regional de Direitos Humanos estiver lotado em Unidade da Defensoria Pública da União integrada por menos de dez membros, haverá adequação do atendimento na Unidade pelo Defensor Público-Geral Federal.</w:t>
      </w:r>
    </w:p>
    <w:p w14:paraId="609C5833" w14:textId="77777777" w:rsidR="000D517E" w:rsidRPr="000D517E" w:rsidRDefault="000D517E" w:rsidP="000D517E">
      <w:pPr>
        <w:numPr>
          <w:ilvl w:val="0"/>
          <w:numId w:val="3"/>
        </w:numPr>
        <w:jc w:val="both"/>
        <w:rPr>
          <w:rFonts w:ascii="Book Antiqua" w:hAnsi="Book Antiqua"/>
          <w:sz w:val="19"/>
          <w:szCs w:val="19"/>
        </w:rPr>
      </w:pPr>
      <w:r w:rsidRPr="000D517E">
        <w:rPr>
          <w:rFonts w:ascii="Book Antiqua" w:hAnsi="Book Antiqua"/>
          <w:sz w:val="19"/>
          <w:szCs w:val="19"/>
        </w:rPr>
        <w:t>§ 7º O Defensor Regional de Direitos Humanos terá exercício na capital de um dos Estados Federados ou no Distrito Federal, em que desempenhe suas funções.</w:t>
      </w:r>
    </w:p>
    <w:p w14:paraId="68F075C4" w14:textId="77777777" w:rsidR="000D517E" w:rsidRPr="000D517E" w:rsidRDefault="000D517E" w:rsidP="000D517E">
      <w:pPr>
        <w:numPr>
          <w:ilvl w:val="0"/>
          <w:numId w:val="3"/>
        </w:numPr>
        <w:jc w:val="both"/>
        <w:rPr>
          <w:rFonts w:ascii="Book Antiqua" w:hAnsi="Book Antiqua"/>
          <w:sz w:val="19"/>
          <w:szCs w:val="19"/>
        </w:rPr>
      </w:pPr>
      <w:r w:rsidRPr="000D517E">
        <w:rPr>
          <w:rFonts w:ascii="Book Antiqua" w:hAnsi="Book Antiqua"/>
          <w:sz w:val="19"/>
          <w:szCs w:val="19"/>
        </w:rPr>
        <w:t>§ 8º Nas regiões em que houver apenas um Defensor Regional de Direitos Humanos, o substituto só será afastado de suas atividades do ofício quando estiver efetivamente substituindo o titular.</w:t>
      </w:r>
    </w:p>
    <w:p w14:paraId="6BE2C6DA" w14:textId="77777777" w:rsidR="000D517E" w:rsidRPr="000D517E" w:rsidRDefault="000D517E" w:rsidP="000D517E">
      <w:pPr>
        <w:numPr>
          <w:ilvl w:val="0"/>
          <w:numId w:val="3"/>
        </w:numPr>
        <w:jc w:val="both"/>
        <w:rPr>
          <w:rFonts w:ascii="Book Antiqua" w:hAnsi="Book Antiqua"/>
          <w:sz w:val="19"/>
          <w:szCs w:val="19"/>
        </w:rPr>
      </w:pPr>
      <w:r w:rsidRPr="000D517E">
        <w:rPr>
          <w:rFonts w:ascii="Book Antiqua" w:hAnsi="Book Antiqua"/>
          <w:sz w:val="19"/>
          <w:szCs w:val="19"/>
        </w:rPr>
        <w:t>§ 9º Nas regiões em que houver mais de um Defensor Regional de Direitos Humanos, haverá substituição recíproca.</w:t>
      </w:r>
    </w:p>
    <w:p w14:paraId="75F3938D" w14:textId="77777777" w:rsidR="000D517E" w:rsidRPr="000D517E" w:rsidRDefault="000D517E" w:rsidP="000D517E">
      <w:pPr>
        <w:numPr>
          <w:ilvl w:val="0"/>
          <w:numId w:val="3"/>
        </w:numPr>
        <w:jc w:val="both"/>
        <w:rPr>
          <w:rFonts w:ascii="Book Antiqua" w:hAnsi="Book Antiqua"/>
          <w:sz w:val="19"/>
          <w:szCs w:val="19"/>
        </w:rPr>
      </w:pPr>
      <w:r w:rsidRPr="000D517E">
        <w:rPr>
          <w:rFonts w:ascii="Book Antiqua" w:hAnsi="Book Antiqua"/>
          <w:sz w:val="19"/>
          <w:szCs w:val="19"/>
        </w:rPr>
        <w:t>§ 10° O Defensor Regional de Direitos Humanos não poderá participar de processos seletivos ou editais que importem o afastamento da unidade de lotação por mais de 30 dias. </w:t>
      </w:r>
      <w:hyperlink r:id="rId18" w:history="1">
        <w:r w:rsidRPr="000D517E">
          <w:rPr>
            <w:rStyle w:val="Hyperlink"/>
            <w:rFonts w:ascii="Book Antiqua" w:hAnsi="Book Antiqua"/>
            <w:sz w:val="19"/>
            <w:szCs w:val="19"/>
          </w:rPr>
          <w:t>.(Incluído pela Resolução CSDPU n° 153, de 4 de outubro de 2019)</w:t>
        </w:r>
      </w:hyperlink>
    </w:p>
    <w:p w14:paraId="1C7079E4" w14:textId="77777777" w:rsidR="000D517E" w:rsidRPr="000D517E" w:rsidRDefault="000D517E" w:rsidP="000D517E">
      <w:pPr>
        <w:numPr>
          <w:ilvl w:val="0"/>
          <w:numId w:val="3"/>
        </w:numPr>
        <w:jc w:val="both"/>
        <w:rPr>
          <w:rFonts w:ascii="Book Antiqua" w:hAnsi="Book Antiqua"/>
          <w:sz w:val="19"/>
          <w:szCs w:val="19"/>
        </w:rPr>
      </w:pPr>
      <w:r w:rsidRPr="000D517E">
        <w:rPr>
          <w:rFonts w:ascii="Book Antiqua" w:hAnsi="Book Antiqua"/>
          <w:sz w:val="19"/>
          <w:szCs w:val="19"/>
        </w:rPr>
        <w:lastRenderedPageBreak/>
        <w:t>§ 11° Os processos de assistência jurídica do ofício individual de titularidade dos defensores afastados para o exercício do cargo de Defensor Regional de Direitos Humanos deverão ser vinculados, por prevenção, aos demais ofícios gerais ou de mesma especialidade da unidade, com a manutenção da distribuição originária. </w:t>
      </w:r>
      <w:hyperlink r:id="rId19" w:history="1">
        <w:r w:rsidRPr="000D517E">
          <w:rPr>
            <w:rStyle w:val="Hyperlink"/>
            <w:rFonts w:ascii="Book Antiqua" w:hAnsi="Book Antiqua"/>
            <w:sz w:val="19"/>
            <w:szCs w:val="19"/>
          </w:rPr>
          <w:t>.(Incluído pela Resolução CSDPU n° 153, de 4 de outubro de 2019)</w:t>
        </w:r>
      </w:hyperlink>
    </w:p>
    <w:p w14:paraId="2200E870"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6º.</w:t>
      </w:r>
      <w:r w:rsidRPr="000D517E">
        <w:rPr>
          <w:rFonts w:ascii="Book Antiqua" w:hAnsi="Book Antiqua"/>
          <w:sz w:val="19"/>
          <w:szCs w:val="19"/>
        </w:rPr>
        <w:t> O Defensor Público Nacional de Direitos Humanos e os Defensores Regionais de Direitos Humanos poderão ser destituídos de suas funções pelo voto de dois terços dos membros do Conselho Superior da Defensoria Pública da União, assegurada ampla defesa.</w:t>
      </w:r>
    </w:p>
    <w:p w14:paraId="17E1C48A"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Parágrafo único. O processo de destituição será instaurado mediante requerimento de membro da Defensoria Pública da União e distribuído a um dos Conselheiros e terá sua abertura condicionada a aprovação do Colegiado.</w:t>
      </w:r>
    </w:p>
    <w:p w14:paraId="4B3DB048"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highlight w:val="magenta"/>
        </w:rPr>
        <w:t>Art. 7º</w:t>
      </w:r>
      <w:r w:rsidRPr="000D517E">
        <w:rPr>
          <w:rFonts w:ascii="Book Antiqua" w:hAnsi="Book Antiqua"/>
          <w:b/>
          <w:bCs/>
          <w:sz w:val="19"/>
          <w:szCs w:val="19"/>
        </w:rPr>
        <w:t>.</w:t>
      </w:r>
      <w:r w:rsidRPr="000D517E">
        <w:rPr>
          <w:rFonts w:ascii="Book Antiqua" w:hAnsi="Book Antiqua"/>
          <w:sz w:val="19"/>
          <w:szCs w:val="19"/>
        </w:rPr>
        <w:t> Incumbe ao Defensor Nacional de Direitos Humanos, entre outros:</w:t>
      </w:r>
    </w:p>
    <w:p w14:paraId="18A0A54E" w14:textId="186E777E" w:rsidR="000D517E" w:rsidRPr="000D517E" w:rsidRDefault="000D517E" w:rsidP="000D517E">
      <w:pPr>
        <w:jc w:val="both"/>
        <w:rPr>
          <w:rFonts w:ascii="Book Antiqua" w:hAnsi="Book Antiqua"/>
          <w:b/>
          <w:bCs/>
          <w:sz w:val="19"/>
          <w:szCs w:val="19"/>
          <w:u w:val="single"/>
        </w:rPr>
      </w:pPr>
      <w:r w:rsidRPr="000D517E">
        <w:rPr>
          <w:rFonts w:ascii="Book Antiqua" w:hAnsi="Book Antiqua"/>
          <w:sz w:val="19"/>
          <w:szCs w:val="19"/>
        </w:rPr>
        <w:t>I – representar aos sistemas internacionais de proteção dos direitos humanos, postulando perante seus órgãos;</w:t>
      </w:r>
      <w:r w:rsidR="00CB505B" w:rsidRPr="00CB505B">
        <w:rPr>
          <w:rFonts w:ascii="Book Antiqua" w:hAnsi="Book Antiqua"/>
          <w:color w:val="FF0000"/>
          <w:sz w:val="19"/>
          <w:szCs w:val="19"/>
        </w:rPr>
        <w:t xml:space="preserve"> </w:t>
      </w:r>
      <w:r w:rsidR="00CB505B" w:rsidRPr="00CB505B">
        <w:rPr>
          <w:rFonts w:ascii="Book Antiqua" w:hAnsi="Book Antiqua"/>
          <w:b/>
          <w:bCs/>
          <w:color w:val="FF0000"/>
          <w:sz w:val="19"/>
          <w:szCs w:val="19"/>
          <w:u w:val="single"/>
        </w:rPr>
        <w:t>(DPU-2017)</w:t>
      </w:r>
    </w:p>
    <w:p w14:paraId="65F2716F"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II – coordenar e subsidiar nacionalmente a atuação dos Defensores Regionais de Direitos Humanos, respeitado o princípio da independência funcional;</w:t>
      </w:r>
    </w:p>
    <w:p w14:paraId="20F68FD6"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III – manter banco de dados atualizado de todos os processos de assistência jurídica coletivos instaurados no âmbito da Defensoria Pública da União;</w:t>
      </w:r>
    </w:p>
    <w:p w14:paraId="2DF8B66C"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IV – estabelecer interlocução nacional junto aos demais órgãos e instituições, visando à promoção dos direitos humanos e defesa coletiva de direitos e interesses;</w:t>
      </w:r>
    </w:p>
    <w:p w14:paraId="397B111F"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V – atuar junto à Defensoria Pública-Geral da União na elaboração do plano anual da Defensoria Pública da União e estabelecimento de programas nacionais e atuação estratégica da instituição;</w:t>
      </w:r>
    </w:p>
    <w:p w14:paraId="414C9B78"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VI – participar, quando tiver assento e não houver outro membro exercendo esta função, dos conselhos e comitês federais afetos às funções institucionais da Defensoria Pública;</w:t>
      </w:r>
    </w:p>
    <w:p w14:paraId="7E6D0B8F"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VII – manifestar-se, por solicitação do Defensor Público-Geral Federal, a respeito de projetos de lei e outros atos normativos concernentes a direitos humanos ou a interesses de vulneráveis; </w:t>
      </w:r>
      <w:hyperlink r:id="rId20" w:history="1">
        <w:r w:rsidRPr="000D517E">
          <w:rPr>
            <w:rStyle w:val="Hyperlink"/>
            <w:rFonts w:ascii="Book Antiqua" w:hAnsi="Book Antiqua"/>
            <w:sz w:val="19"/>
            <w:szCs w:val="19"/>
          </w:rPr>
          <w:t>(Redação dada pela Resolução CSDPU n° 153, de 4 de outubro de 2019)</w:t>
        </w:r>
      </w:hyperlink>
    </w:p>
    <w:p w14:paraId="09F08229"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VIII – encaminhar ao Defensor Público-Geral Federal sugestão de atuação nas hipóteses de grave violação de direitos humanos, para que seja instaurado incidente de deslocamento de competência para a Justiça Federal; </w:t>
      </w:r>
      <w:hyperlink r:id="rId21" w:history="1">
        <w:r w:rsidRPr="000D517E">
          <w:rPr>
            <w:rStyle w:val="Hyperlink"/>
            <w:rFonts w:ascii="Book Antiqua" w:hAnsi="Book Antiqua"/>
            <w:sz w:val="19"/>
            <w:szCs w:val="19"/>
          </w:rPr>
          <w:t>(Redação dada pela Resolução CSDPU n° 153, de 4 de outubro de 2019)</w:t>
        </w:r>
      </w:hyperlink>
    </w:p>
    <w:p w14:paraId="1A352847"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IX – encaminhar ao Defensor Público-Geral Federal sugestão de atuação nas hipóteses de inconstitucionalidade de lei atinente a direitos humanos ou a interesses de vulneráveis; </w:t>
      </w:r>
      <w:hyperlink r:id="rId22" w:history="1">
        <w:r w:rsidRPr="000D517E">
          <w:rPr>
            <w:rStyle w:val="Hyperlink"/>
            <w:rFonts w:ascii="Book Antiqua" w:hAnsi="Book Antiqua"/>
            <w:sz w:val="19"/>
            <w:szCs w:val="19"/>
          </w:rPr>
          <w:t>(Redação dada pela Resolução CSDPU n° 153, de 4 de outubro de 2019)</w:t>
        </w:r>
      </w:hyperlink>
    </w:p>
    <w:p w14:paraId="0456FD05"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 – opinar sobre a criação e participar da atuação estratégica dos Grupos de Trabalho e Núcleos Temáticos criados pela Defensoria-Geral da União;</w:t>
      </w:r>
    </w:p>
    <w:p w14:paraId="18355866"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XI – publicar diretrizes nacionais de atuação coletiva aos Defensores Públicos Federais, respeitado o princípio da independência funcional;</w:t>
      </w:r>
    </w:p>
    <w:p w14:paraId="518D01A4"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XII - requerer ao tribunal competente para conhecer do recurso extraordinário ou especial a suspensão de todos os processos individuais ou coletivos em curso no território nacional que versem sobre a questão objeto de incidente de resolução de demandas repetitivas já instaurado, na forma do art. 982, § 3º, do CPC;</w:t>
      </w:r>
    </w:p>
    <w:p w14:paraId="69A35685"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 xml:space="preserve">XIII – manifestar-se nos incidentes de resolução de demandas repetitivas e de assunção de competência no Superior Tribunal de Justiça, sempre que versem sobre direitos humanos ou assuntos que envolvam </w:t>
      </w:r>
      <w:r w:rsidRPr="000D517E">
        <w:rPr>
          <w:rFonts w:ascii="Book Antiqua" w:hAnsi="Book Antiqua"/>
          <w:sz w:val="19"/>
          <w:szCs w:val="19"/>
        </w:rPr>
        <w:lastRenderedPageBreak/>
        <w:t>interesses de grupos ou indivíduos vulneráveis; </w:t>
      </w:r>
      <w:hyperlink r:id="rId23" w:history="1">
        <w:r w:rsidRPr="000D517E">
          <w:rPr>
            <w:rStyle w:val="Hyperlink"/>
            <w:rFonts w:ascii="Book Antiqua" w:hAnsi="Book Antiqua"/>
            <w:sz w:val="19"/>
            <w:szCs w:val="19"/>
          </w:rPr>
          <w:t>(Redação dada pela Resolução CSDPU n° 153, de 4 de outubro de 2019)</w:t>
        </w:r>
      </w:hyperlink>
    </w:p>
    <w:p w14:paraId="07BDE34F"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XIV - assessorar o Defensor Público-Geral Federal nos incidentes de resolução de demandas repetitivas e de assunção de competência no Supremo Tribunal Federal, sempre que versem sobre direitos humanos ou assuntos que envolvam interesses de grupos ou indivíduos vulneráveis; </w:t>
      </w:r>
      <w:hyperlink r:id="rId24" w:history="1">
        <w:r w:rsidRPr="000D517E">
          <w:rPr>
            <w:rStyle w:val="Hyperlink"/>
            <w:rFonts w:ascii="Book Antiqua" w:hAnsi="Book Antiqua"/>
            <w:sz w:val="19"/>
            <w:szCs w:val="19"/>
          </w:rPr>
          <w:t>(Redação dada pela Resolução CSDPU n° 153, de 4 de outubro de 2019)</w:t>
        </w:r>
      </w:hyperlink>
    </w:p>
    <w:p w14:paraId="1AC5F38A"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XV – atuar nas demandas coletivas e incidentes processuais no âmbito dos Tribunais Superiores, desde que acompanhados pelos Defensores Regionais na origem, exceto no Supremo Tribunal Federal; </w:t>
      </w:r>
      <w:hyperlink r:id="rId25" w:history="1">
        <w:r w:rsidRPr="000D517E">
          <w:rPr>
            <w:rStyle w:val="Hyperlink"/>
            <w:rFonts w:ascii="Book Antiqua" w:hAnsi="Book Antiqua"/>
            <w:sz w:val="19"/>
            <w:szCs w:val="19"/>
          </w:rPr>
          <w:t>.(Incluído pela Resolução CSDPU n° 153, de 4 de outubro de 2019)</w:t>
        </w:r>
      </w:hyperlink>
    </w:p>
    <w:p w14:paraId="371CC48F"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XVI – apresentar ao Conselho Superior da Defensoria Pública da União, no mês de março, relatório de suas atividades e dos Defensores Regionais de Direitos Humanos desenvolvidas no ano anterior, inclusive publicá-los; </w:t>
      </w:r>
      <w:hyperlink r:id="rId26" w:history="1">
        <w:r w:rsidRPr="000D517E">
          <w:rPr>
            <w:rStyle w:val="Hyperlink"/>
            <w:rFonts w:ascii="Book Antiqua" w:hAnsi="Book Antiqua"/>
            <w:sz w:val="19"/>
            <w:szCs w:val="19"/>
          </w:rPr>
          <w:t>.(Incluído pela Resolução CSDPU n° 153, de 4 de outubro de 2019)</w:t>
        </w:r>
      </w:hyperlink>
    </w:p>
    <w:p w14:paraId="65AD6A1A"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XVII – assessorar o Defensor Público-Geral Federal no trâmite de recursos no Supremo Tribunal Federal originados de processos de demandas inauguradas por Defensores Regionais de Direitos Humanos. </w:t>
      </w:r>
      <w:hyperlink r:id="rId27" w:history="1">
        <w:r w:rsidRPr="000D517E">
          <w:rPr>
            <w:rStyle w:val="Hyperlink"/>
            <w:rFonts w:ascii="Book Antiqua" w:hAnsi="Book Antiqua"/>
            <w:sz w:val="19"/>
            <w:szCs w:val="19"/>
          </w:rPr>
          <w:t>.(Incluído pela Resolução CSDPU n° 153, de 4 de outubro de 2019)</w:t>
        </w:r>
      </w:hyperlink>
    </w:p>
    <w:p w14:paraId="643B4247"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Parágrafo único. Nas hipóteses dos incisos I, VIII, IX, XII, XIII e XV, as atribuições do Defensor Nacional de Direitos Humanos serão desempenhadas sem prejuízo da atuação do defensor natural. </w:t>
      </w:r>
      <w:hyperlink r:id="rId28" w:history="1">
        <w:r w:rsidRPr="000D517E">
          <w:rPr>
            <w:rStyle w:val="Hyperlink"/>
            <w:rFonts w:ascii="Book Antiqua" w:hAnsi="Book Antiqua"/>
            <w:sz w:val="19"/>
            <w:szCs w:val="19"/>
          </w:rPr>
          <w:t>(Redação dada pela Resolução CSDPU n° 153, de 4 de outubro de 2019)</w:t>
        </w:r>
      </w:hyperlink>
    </w:p>
    <w:p w14:paraId="506A86B1"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8º.</w:t>
      </w:r>
      <w:r w:rsidRPr="000D517E">
        <w:rPr>
          <w:rFonts w:ascii="Book Antiqua" w:hAnsi="Book Antiqua"/>
          <w:sz w:val="19"/>
          <w:szCs w:val="19"/>
        </w:rPr>
        <w:t> Incumbe aos Defensores Regionais de Direitos Humanos:</w:t>
      </w:r>
    </w:p>
    <w:p w14:paraId="21BE1988"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I – promover a defesa judicial, em primeira instância, e extrajudicial coletiva de direitos e interesses de grupos integrados potencialmente por indivíduos vulneráveis;</w:t>
      </w:r>
    </w:p>
    <w:p w14:paraId="14E63918"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II – convocar audiências públicas, na forma do art. 4º, XXII, da Lei Complementar 80/94;</w:t>
      </w:r>
    </w:p>
    <w:p w14:paraId="46EB4120"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III – expedir recomendações, objetivando adoção de providências necessárias pelo destinatário, pessoa natural ou jurídica, pública ou privada, dentro de seu estrito âmbito de atuação territorial; </w:t>
      </w:r>
      <w:hyperlink r:id="rId29" w:history="1">
        <w:r w:rsidRPr="000D517E">
          <w:rPr>
            <w:rStyle w:val="Hyperlink"/>
            <w:rFonts w:ascii="Book Antiqua" w:hAnsi="Book Antiqua"/>
            <w:sz w:val="19"/>
            <w:szCs w:val="19"/>
          </w:rPr>
          <w:t>(Redação dada pela Resolução CSDPU n° 153, de 4 de outubro de 2019)</w:t>
        </w:r>
      </w:hyperlink>
    </w:p>
    <w:p w14:paraId="4A2E362D"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IV – celebrar compromissos de ajustamento de conduta, na forma do art. 5º, § 6º, da Lei 7.347/85;</w:t>
      </w:r>
    </w:p>
    <w:p w14:paraId="69E1361C"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V – manter banco de dados atualizado de todos os processos de assistência jurídica coletivos instaurados no âmbito do Estado da Federação ou do Distrito Federal;</w:t>
      </w:r>
    </w:p>
    <w:p w14:paraId="7FE5C13C"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VI – promover a difusão e a conscientização dos direitos humanos, da cidadania e do ordenamento jurídico;</w:t>
      </w:r>
    </w:p>
    <w:p w14:paraId="2C331EAC"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VII – ajuizar ação civil pública e todas as espécies de ações capazes de propiciar a adequada tutela dos direitos difusos, coletivos ou individuais homogêneos quando o resultado da demanda puder beneficiar indivíduos vulneráveis integrantes do grupo;</w:t>
      </w:r>
    </w:p>
    <w:p w14:paraId="402C7A56"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VIII – coordenar e subsidiar regionalmente a atuação dos Defensores Públicos Federais nos processos de assistência jurídica coletivos, respeitado princípio da independência funcional;</w:t>
      </w:r>
    </w:p>
    <w:p w14:paraId="055E0485"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IX - informar ao Defensor Nacional de Direitos Humanos a instauração de processo de assistência jurídica coletivo no âmbito do Estado da Federação ou do Distrito Federal;</w:t>
      </w:r>
    </w:p>
    <w:p w14:paraId="02E01C8A"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 – participar, quando tiver assento e não houver outro membro exercendo esta função, dos conselhos e comitês municipais, localizados na capital, e estaduais afetos às funções institucionais da Defensoria Pública;</w:t>
      </w:r>
    </w:p>
    <w:p w14:paraId="6AB392C7"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XI – estabelecer interlocução regional junto aos demais órgãos e instituições, visando à promoção dos direitos humanos e defesa coletiva de direitos e interesses;</w:t>
      </w:r>
    </w:p>
    <w:p w14:paraId="0612C26D"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lastRenderedPageBreak/>
        <w:t>XII – promover a tutela individual extrajudicial e judicial nas hipóteses de grave violação a direitos humanos ou de especial relevância do tema, especialmente em casos que atinjam componentes de minorias ou grupos vulneráveis;</w:t>
      </w:r>
    </w:p>
    <w:p w14:paraId="18B989D2"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XIII - pleitear as providências administrativas e judiciais para proteção a vítimas de crimes e testemunhas ameaçadas;</w:t>
      </w:r>
    </w:p>
    <w:p w14:paraId="20E8F5F0"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XIV - atuar como assistente de acusação e promover ação penal privada subsidiária da pública nas hipóteses de grave violação de direitos humanos;</w:t>
      </w:r>
    </w:p>
    <w:p w14:paraId="55B0D538"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XV – requerer a instauração de incidente de resolução de demandas repetitivas, de assunção de competência ou revisão de tese jurídica a Presidente de Tribunal em sua área de atuação, na forma do art. 977, III, 947, § 1º ou 986, do CPC, sem prejuízo da atuação de Defensor Público Federal natural em cada processo, na forma do art. 977, II, do CPC; </w:t>
      </w:r>
      <w:hyperlink r:id="rId30" w:history="1">
        <w:r w:rsidRPr="000D517E">
          <w:rPr>
            <w:rStyle w:val="Hyperlink"/>
            <w:rFonts w:ascii="Book Antiqua" w:hAnsi="Book Antiqua"/>
            <w:sz w:val="19"/>
            <w:szCs w:val="19"/>
          </w:rPr>
          <w:t>(Redação dada pela Resolução CSDPU n° 153, de 4 de outubro de 2019)</w:t>
        </w:r>
      </w:hyperlink>
    </w:p>
    <w:p w14:paraId="5B39C72C"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XVI – manifestar-se nos incidentes de resolução de demandas repetitivas ou de assunção de competência instaurados em Tribunais Regionais Federais, Tribunais Regionais do Trabalho e Tribunais Regionais Eleitorais com sede em sua área de atuação, sempre que o incidente versar sobre direitos humanos ou assuntos que envolvam interesses de grupos ou indivíduos vulneráveis; </w:t>
      </w:r>
      <w:hyperlink r:id="rId31" w:history="1">
        <w:r w:rsidRPr="000D517E">
          <w:rPr>
            <w:rStyle w:val="Hyperlink"/>
            <w:rFonts w:ascii="Book Antiqua" w:hAnsi="Book Antiqua"/>
            <w:sz w:val="19"/>
            <w:szCs w:val="19"/>
          </w:rPr>
          <w:t>(Redação dada pela Resolução CSDPU n° 153, de 4 de outubro de 2019)</w:t>
        </w:r>
      </w:hyperlink>
    </w:p>
    <w:p w14:paraId="189D960C"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XVII - atuar, concorrentemente, em processo de assistência jurídica coletivo, na tutela extrajudicial ou judicial, em primeiro ou segundo grau de jurisdição. </w:t>
      </w:r>
      <w:hyperlink r:id="rId32" w:history="1">
        <w:r w:rsidRPr="000D517E">
          <w:rPr>
            <w:rStyle w:val="Hyperlink"/>
            <w:rFonts w:ascii="Book Antiqua" w:hAnsi="Book Antiqua"/>
            <w:sz w:val="19"/>
            <w:szCs w:val="19"/>
          </w:rPr>
          <w:t>(Redação dada pela Resolução CSDPU n° 153, de 4 de outubro de 2019)</w:t>
        </w:r>
      </w:hyperlink>
    </w:p>
    <w:p w14:paraId="7092052D"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XVIII - encaminhar ao Defensor Nacional de Direitos Humanos, nos meses de janeiro e julho, relatório semestral de suas atividades; </w:t>
      </w:r>
      <w:hyperlink r:id="rId33" w:history="1">
        <w:r w:rsidRPr="000D517E">
          <w:rPr>
            <w:rStyle w:val="Hyperlink"/>
            <w:rFonts w:ascii="Book Antiqua" w:hAnsi="Book Antiqua"/>
            <w:sz w:val="19"/>
            <w:szCs w:val="19"/>
          </w:rPr>
          <w:t>.(Incluído pela Resolução CSDPU n° 153, de 4 de outubro de 2019)</w:t>
        </w:r>
      </w:hyperlink>
    </w:p>
    <w:p w14:paraId="2CDD7FBE"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XIX - promover, prioritariamente, a solução extrajudicial dos conflitos, registrando no processo de assistência jurídica coletiva todas as medidas, ofícios enviados, reuniões realizadas e demais providências adotadas no caso. </w:t>
      </w:r>
      <w:hyperlink r:id="rId34" w:history="1">
        <w:r w:rsidRPr="000D517E">
          <w:rPr>
            <w:rStyle w:val="Hyperlink"/>
            <w:rFonts w:ascii="Book Antiqua" w:hAnsi="Book Antiqua"/>
            <w:sz w:val="19"/>
            <w:szCs w:val="19"/>
          </w:rPr>
          <w:t>.(Incluído pela Resolução CSDPU n° 153, de 4 de outubro de 2019)</w:t>
        </w:r>
      </w:hyperlink>
    </w:p>
    <w:p w14:paraId="19EF14A7" w14:textId="77777777" w:rsidR="000D517E" w:rsidRPr="000D517E" w:rsidRDefault="000D517E" w:rsidP="000D517E">
      <w:pPr>
        <w:numPr>
          <w:ilvl w:val="0"/>
          <w:numId w:val="4"/>
        </w:numPr>
        <w:jc w:val="both"/>
        <w:rPr>
          <w:rFonts w:ascii="Book Antiqua" w:hAnsi="Book Antiqua"/>
          <w:sz w:val="19"/>
          <w:szCs w:val="19"/>
        </w:rPr>
      </w:pPr>
      <w:r w:rsidRPr="000D517E">
        <w:rPr>
          <w:rFonts w:ascii="Book Antiqua" w:hAnsi="Book Antiqua"/>
          <w:sz w:val="19"/>
          <w:szCs w:val="19"/>
        </w:rPr>
        <w:t>§ 1º Nas hipóteses dos incisos I, II, III, IV, VI, VII, XIII, XV e XVI, as atribuições do Defensor Regional de Direitos Humanos serão desempenhadas sem prejuízo da atuação do defensor natural. </w:t>
      </w:r>
      <w:hyperlink r:id="rId35" w:history="1">
        <w:r w:rsidRPr="000D517E">
          <w:rPr>
            <w:rStyle w:val="Hyperlink"/>
            <w:rFonts w:ascii="Book Antiqua" w:hAnsi="Book Antiqua"/>
            <w:sz w:val="19"/>
            <w:szCs w:val="19"/>
          </w:rPr>
          <w:t>(Renumerado do parágrafo único pela Resolução CSDPU n° 153, de 4 de outubro de 2019)</w:t>
        </w:r>
      </w:hyperlink>
    </w:p>
    <w:p w14:paraId="03F81693" w14:textId="77777777" w:rsidR="000D517E" w:rsidRPr="000D517E" w:rsidRDefault="000D517E" w:rsidP="000D517E">
      <w:pPr>
        <w:numPr>
          <w:ilvl w:val="0"/>
          <w:numId w:val="4"/>
        </w:numPr>
        <w:jc w:val="both"/>
        <w:rPr>
          <w:rFonts w:ascii="Book Antiqua" w:hAnsi="Book Antiqua"/>
          <w:sz w:val="19"/>
          <w:szCs w:val="19"/>
        </w:rPr>
      </w:pPr>
      <w:r w:rsidRPr="000D517E">
        <w:rPr>
          <w:rFonts w:ascii="Book Antiqua" w:hAnsi="Book Antiqua"/>
          <w:sz w:val="19"/>
          <w:szCs w:val="19"/>
        </w:rPr>
        <w:t xml:space="preserve">§ 2º Na hipótese do inciso XVII, as demandas ajuizadas por Defensor Regional de Direitos Humanos nos Estados que compõem cada região judiciária federal deverão ser acompanhadas pelo Defensor Regional que atua na sede do Tribunal Regional, impondo-se ao Defensor Regional do Estado de origem </w:t>
      </w:r>
      <w:proofErr w:type="spellStart"/>
      <w:r w:rsidRPr="000D517E">
        <w:rPr>
          <w:rFonts w:ascii="Book Antiqua" w:hAnsi="Book Antiqua"/>
          <w:sz w:val="19"/>
          <w:szCs w:val="19"/>
        </w:rPr>
        <w:t>a</w:t>
      </w:r>
      <w:proofErr w:type="spellEnd"/>
      <w:r w:rsidRPr="000D517E">
        <w:rPr>
          <w:rFonts w:ascii="Book Antiqua" w:hAnsi="Book Antiqua"/>
          <w:sz w:val="19"/>
          <w:szCs w:val="19"/>
        </w:rPr>
        <w:t xml:space="preserve"> atuação cooperada, inclusive, por meio de protocolo de manifestações judiciais e da divisão de tarefas de comum acordo entre ambos. </w:t>
      </w:r>
      <w:hyperlink r:id="rId36" w:history="1">
        <w:r w:rsidRPr="000D517E">
          <w:rPr>
            <w:rStyle w:val="Hyperlink"/>
            <w:rFonts w:ascii="Book Antiqua" w:hAnsi="Book Antiqua"/>
            <w:sz w:val="19"/>
            <w:szCs w:val="19"/>
          </w:rPr>
          <w:t>.(Incluído pela Resolução CSDPU n° 153, de 4 de outubro de 2019)</w:t>
        </w:r>
      </w:hyperlink>
    </w:p>
    <w:p w14:paraId="5F86B8F4" w14:textId="77777777" w:rsidR="000D517E" w:rsidRPr="000D517E" w:rsidRDefault="000D517E" w:rsidP="000D517E">
      <w:pPr>
        <w:numPr>
          <w:ilvl w:val="0"/>
          <w:numId w:val="4"/>
        </w:numPr>
        <w:jc w:val="both"/>
        <w:rPr>
          <w:rFonts w:ascii="Book Antiqua" w:hAnsi="Book Antiqua"/>
          <w:sz w:val="19"/>
          <w:szCs w:val="19"/>
        </w:rPr>
      </w:pPr>
      <w:r w:rsidRPr="000D517E">
        <w:rPr>
          <w:rFonts w:ascii="Book Antiqua" w:hAnsi="Book Antiqua"/>
          <w:sz w:val="19"/>
          <w:szCs w:val="19"/>
        </w:rPr>
        <w:t>§ 3º Na hipótese anterior, caberá ao Defensor Regional de Direitos Humanos lotado na sede do Tribunal Regional decidir pela necessidade de sustentação oral ou contato presencial no gabinete de magistrados, sem prejuízo de outras medidas que demandem a presença física na capital. </w:t>
      </w:r>
      <w:hyperlink r:id="rId37" w:history="1">
        <w:r w:rsidRPr="000D517E">
          <w:rPr>
            <w:rStyle w:val="Hyperlink"/>
            <w:rFonts w:ascii="Book Antiqua" w:hAnsi="Book Antiqua"/>
            <w:sz w:val="19"/>
            <w:szCs w:val="19"/>
          </w:rPr>
          <w:t>.(Incluído pela Resolução CSDPU n° 153, de 4 de outubro de 2019)</w:t>
        </w:r>
      </w:hyperlink>
    </w:p>
    <w:p w14:paraId="4E724148" w14:textId="77777777" w:rsidR="000D517E" w:rsidRPr="000D517E" w:rsidRDefault="000D517E" w:rsidP="000D517E">
      <w:pPr>
        <w:numPr>
          <w:ilvl w:val="0"/>
          <w:numId w:val="4"/>
        </w:numPr>
        <w:jc w:val="both"/>
        <w:rPr>
          <w:rFonts w:ascii="Book Antiqua" w:hAnsi="Book Antiqua"/>
          <w:sz w:val="19"/>
          <w:szCs w:val="19"/>
        </w:rPr>
      </w:pPr>
      <w:r w:rsidRPr="000D517E">
        <w:rPr>
          <w:rFonts w:ascii="Book Antiqua" w:hAnsi="Book Antiqua"/>
          <w:sz w:val="19"/>
          <w:szCs w:val="19"/>
        </w:rPr>
        <w:t>§ 4º Os Defensores Públicos Federais de 1ª Categoria lotados em sede de Tribunal Regional acompanharão as ações coletivas ajuizadas por Defensor Público Federal titular de ofício individual, com base no art. 9º desta Resolução, sem prejuízo da atuação do Defensor Regional de Direitos Humanos se este entender necessário. </w:t>
      </w:r>
      <w:hyperlink r:id="rId38" w:history="1">
        <w:r w:rsidRPr="000D517E">
          <w:rPr>
            <w:rStyle w:val="Hyperlink"/>
            <w:rFonts w:ascii="Book Antiqua" w:hAnsi="Book Antiqua"/>
            <w:sz w:val="19"/>
            <w:szCs w:val="19"/>
          </w:rPr>
          <w:t>.(Incluído pela Resolução CSDPU n° 153, de 4 de outubro de 2019)</w:t>
        </w:r>
      </w:hyperlink>
    </w:p>
    <w:p w14:paraId="103F3C6E" w14:textId="77777777" w:rsidR="000D517E" w:rsidRPr="000D517E" w:rsidRDefault="000D517E" w:rsidP="000D517E">
      <w:pPr>
        <w:numPr>
          <w:ilvl w:val="0"/>
          <w:numId w:val="4"/>
        </w:numPr>
        <w:jc w:val="both"/>
        <w:rPr>
          <w:rFonts w:ascii="Book Antiqua" w:hAnsi="Book Antiqua"/>
          <w:sz w:val="19"/>
          <w:szCs w:val="19"/>
        </w:rPr>
      </w:pPr>
      <w:r w:rsidRPr="000D517E">
        <w:rPr>
          <w:rFonts w:ascii="Book Antiqua" w:hAnsi="Book Antiqua"/>
          <w:sz w:val="19"/>
          <w:szCs w:val="19"/>
        </w:rPr>
        <w:t xml:space="preserve">§ 5º Durante a instrução do processo de assistência jurídica coletivo instaurado por Defensor Regional de Direitos Humanos, caso se conclua pela impugnação de ato do Presidente da República, Presidente das Mesas da Câmara dos Deputados e do Senado Federal, do Tribunal </w:t>
      </w:r>
      <w:r w:rsidRPr="000D517E">
        <w:rPr>
          <w:rFonts w:ascii="Book Antiqua" w:hAnsi="Book Antiqua"/>
          <w:sz w:val="19"/>
          <w:szCs w:val="19"/>
        </w:rPr>
        <w:lastRenderedPageBreak/>
        <w:t>de Contas da União, do Procurador-Geral da República, do Supremo Tribunal Federal, do Defensor Público-Geral Federal, de Ministro de Estado, dos Comandantes da Marinha, do Exército e da Aeronáutica ou de Tribunais Superiores, deverá haver prévia notificação ao Defensor Nacional de Direitos Humanos, que, no prazo de cinco dias, comunicará ao Defensor Público Geral Federal. </w:t>
      </w:r>
      <w:hyperlink r:id="rId39" w:history="1">
        <w:r w:rsidRPr="000D517E">
          <w:rPr>
            <w:rStyle w:val="Hyperlink"/>
            <w:rFonts w:ascii="Book Antiqua" w:hAnsi="Book Antiqua"/>
            <w:sz w:val="19"/>
            <w:szCs w:val="19"/>
          </w:rPr>
          <w:t>.(Incluído pela Resolução CSDPU n° 153, de 4 de outubro de 2019)</w:t>
        </w:r>
      </w:hyperlink>
    </w:p>
    <w:p w14:paraId="64FDF032" w14:textId="77777777" w:rsidR="000D517E" w:rsidRPr="000D517E" w:rsidRDefault="000D517E" w:rsidP="000D517E">
      <w:pPr>
        <w:numPr>
          <w:ilvl w:val="0"/>
          <w:numId w:val="4"/>
        </w:numPr>
        <w:jc w:val="both"/>
        <w:rPr>
          <w:rFonts w:ascii="Book Antiqua" w:hAnsi="Book Antiqua"/>
          <w:sz w:val="19"/>
          <w:szCs w:val="19"/>
        </w:rPr>
      </w:pPr>
      <w:r w:rsidRPr="000D517E">
        <w:rPr>
          <w:rFonts w:ascii="Book Antiqua" w:hAnsi="Book Antiqua"/>
          <w:sz w:val="19"/>
          <w:szCs w:val="19"/>
        </w:rPr>
        <w:t>§ 6º Antes do ajuizamento de ação coletiva, o Defensor Regional de Direitos Humanos deverá promover a adequada instrução do processo de assistência jurídica, comprovando que houve a tentativa de solução extrajudicial do conflito ou descumprimento de recomendação anteriormente encaminhada ao órgão ou autoridade questionada, ou de termo de ajustamento de conduta celebrado na forma do art. 5º, §6º da Lei n. 7374/85. </w:t>
      </w:r>
      <w:hyperlink r:id="rId40" w:history="1">
        <w:r w:rsidRPr="000D517E">
          <w:rPr>
            <w:rStyle w:val="Hyperlink"/>
            <w:rFonts w:ascii="Book Antiqua" w:hAnsi="Book Antiqua"/>
            <w:sz w:val="19"/>
            <w:szCs w:val="19"/>
          </w:rPr>
          <w:t>.(Incluído pela Resolução CSDPU n° 153, de 4 de outubro de 2019)</w:t>
        </w:r>
      </w:hyperlink>
    </w:p>
    <w:p w14:paraId="7CF49CC1"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9º.</w:t>
      </w:r>
      <w:r w:rsidRPr="000D517E">
        <w:rPr>
          <w:rFonts w:ascii="Book Antiqua" w:hAnsi="Book Antiqua"/>
          <w:sz w:val="19"/>
          <w:szCs w:val="19"/>
        </w:rPr>
        <w:t> Qualquer Defensor Público Federal poderá, de ofício ou mediante provocação, instaurar processo de assistência jurídica coletiva, respeitada sua área de atribuição.</w:t>
      </w:r>
    </w:p>
    <w:p w14:paraId="4F2E9C36" w14:textId="77777777" w:rsidR="000D517E" w:rsidRPr="000D517E" w:rsidRDefault="000D517E" w:rsidP="000D517E">
      <w:pPr>
        <w:numPr>
          <w:ilvl w:val="0"/>
          <w:numId w:val="5"/>
        </w:numPr>
        <w:jc w:val="both"/>
        <w:rPr>
          <w:rFonts w:ascii="Book Antiqua" w:hAnsi="Book Antiqua"/>
          <w:sz w:val="19"/>
          <w:szCs w:val="19"/>
        </w:rPr>
      </w:pPr>
      <w:r w:rsidRPr="000D517E">
        <w:rPr>
          <w:rFonts w:ascii="Book Antiqua" w:hAnsi="Book Antiqua"/>
          <w:sz w:val="19"/>
          <w:szCs w:val="19"/>
        </w:rPr>
        <w:t>§ 1º O processo de assistência jurídica coletivo impede a instauração de um novo com o mesmo objeto e abrangência territorial.</w:t>
      </w:r>
    </w:p>
    <w:p w14:paraId="4A2BA673" w14:textId="77777777" w:rsidR="000D517E" w:rsidRPr="000D517E" w:rsidRDefault="000D517E" w:rsidP="000D517E">
      <w:pPr>
        <w:numPr>
          <w:ilvl w:val="0"/>
          <w:numId w:val="5"/>
        </w:numPr>
        <w:jc w:val="both"/>
        <w:rPr>
          <w:rFonts w:ascii="Book Antiqua" w:hAnsi="Book Antiqua"/>
          <w:sz w:val="19"/>
          <w:szCs w:val="19"/>
        </w:rPr>
      </w:pPr>
      <w:r w:rsidRPr="000D517E">
        <w:rPr>
          <w:rFonts w:ascii="Book Antiqua" w:hAnsi="Book Antiqua"/>
          <w:sz w:val="19"/>
          <w:szCs w:val="19"/>
        </w:rPr>
        <w:t xml:space="preserve">§ 2º Antes da abertura do processo de assistência jurídica coletiva, o Defensor </w:t>
      </w:r>
      <w:proofErr w:type="spellStart"/>
      <w:r w:rsidRPr="000D517E">
        <w:rPr>
          <w:rFonts w:ascii="Book Antiqua" w:hAnsi="Book Antiqua"/>
          <w:sz w:val="19"/>
          <w:szCs w:val="19"/>
        </w:rPr>
        <w:t>Publico</w:t>
      </w:r>
      <w:proofErr w:type="spellEnd"/>
      <w:r w:rsidRPr="000D517E">
        <w:rPr>
          <w:rFonts w:ascii="Book Antiqua" w:hAnsi="Book Antiqua"/>
          <w:sz w:val="19"/>
          <w:szCs w:val="19"/>
        </w:rPr>
        <w:t xml:space="preserve"> Federal deverá verificar a existência de outro com mesmo objeto e abrangência territorial.</w:t>
      </w:r>
    </w:p>
    <w:p w14:paraId="079D53A9" w14:textId="77777777" w:rsidR="000D517E" w:rsidRPr="000D517E" w:rsidRDefault="000D517E" w:rsidP="000D517E">
      <w:pPr>
        <w:numPr>
          <w:ilvl w:val="0"/>
          <w:numId w:val="5"/>
        </w:numPr>
        <w:jc w:val="both"/>
        <w:rPr>
          <w:rFonts w:ascii="Book Antiqua" w:hAnsi="Book Antiqua"/>
          <w:sz w:val="19"/>
          <w:szCs w:val="19"/>
        </w:rPr>
      </w:pPr>
      <w:r w:rsidRPr="000D517E">
        <w:rPr>
          <w:rFonts w:ascii="Book Antiqua" w:hAnsi="Book Antiqua"/>
          <w:sz w:val="19"/>
          <w:szCs w:val="19"/>
        </w:rPr>
        <w:t>§ 3º Se constatada possibilidade de atuação coletiva em prol de vulneráveis, deverá ser instaurado o respectivo processo de assistência jurídica coletivo, ainda que a provocação tenha advindo de quem não se encontre em situação de vulnerabilidade.</w:t>
      </w:r>
    </w:p>
    <w:p w14:paraId="399F319E" w14:textId="77777777" w:rsidR="000D517E" w:rsidRPr="000D517E" w:rsidRDefault="000D517E" w:rsidP="000D517E">
      <w:pPr>
        <w:numPr>
          <w:ilvl w:val="0"/>
          <w:numId w:val="5"/>
        </w:numPr>
        <w:jc w:val="both"/>
        <w:rPr>
          <w:rFonts w:ascii="Book Antiqua" w:hAnsi="Book Antiqua"/>
          <w:sz w:val="19"/>
          <w:szCs w:val="19"/>
        </w:rPr>
      </w:pPr>
      <w:r w:rsidRPr="000D517E">
        <w:rPr>
          <w:rFonts w:ascii="Book Antiqua" w:hAnsi="Book Antiqua"/>
          <w:sz w:val="19"/>
          <w:szCs w:val="19"/>
        </w:rPr>
        <w:t xml:space="preserve">§ 4º Verificando, na análise do processo de assistência jurídica individual, que se trata concorrentemente de hipótese de atuação coletiva, o Defensor Público Federal poderá notificar o Defensor Regional de Direitos Humanos para conhecimento e abertura de </w:t>
      </w:r>
      <w:proofErr w:type="spellStart"/>
      <w:r w:rsidRPr="000D517E">
        <w:rPr>
          <w:rFonts w:ascii="Book Antiqua" w:hAnsi="Book Antiqua"/>
          <w:sz w:val="19"/>
          <w:szCs w:val="19"/>
        </w:rPr>
        <w:t>Paj</w:t>
      </w:r>
      <w:proofErr w:type="spellEnd"/>
      <w:r w:rsidRPr="000D517E">
        <w:rPr>
          <w:rFonts w:ascii="Book Antiqua" w:hAnsi="Book Antiqua"/>
          <w:sz w:val="19"/>
          <w:szCs w:val="19"/>
        </w:rPr>
        <w:t xml:space="preserve"> coletivo, caso este entenda ser o caso.</w:t>
      </w:r>
    </w:p>
    <w:p w14:paraId="2B3F4F38" w14:textId="77777777" w:rsidR="000D517E" w:rsidRPr="000D517E" w:rsidRDefault="000D517E" w:rsidP="000D517E">
      <w:pPr>
        <w:numPr>
          <w:ilvl w:val="0"/>
          <w:numId w:val="5"/>
        </w:numPr>
        <w:jc w:val="both"/>
        <w:rPr>
          <w:rFonts w:ascii="Book Antiqua" w:hAnsi="Book Antiqua"/>
          <w:sz w:val="19"/>
          <w:szCs w:val="19"/>
        </w:rPr>
      </w:pPr>
      <w:r w:rsidRPr="000D517E">
        <w:rPr>
          <w:rFonts w:ascii="Book Antiqua" w:hAnsi="Book Antiqua"/>
          <w:sz w:val="19"/>
          <w:szCs w:val="19"/>
        </w:rPr>
        <w:t>§ 5º Respeitadas suas respectivas atribuições e se houver anuência de todos os envolvidos, poderá haver atuação conjunta entre Defensores Públicos Federais, inclusive o Defensor Regional de Direitos Humanos, e outros órgãos legitimados, na tutela coletiva extrajudicial e judicial de direitos e interesses.</w:t>
      </w:r>
    </w:p>
    <w:p w14:paraId="36CEE27F" w14:textId="77777777" w:rsidR="000D517E" w:rsidRPr="000D517E" w:rsidRDefault="000D517E" w:rsidP="000D517E">
      <w:pPr>
        <w:numPr>
          <w:ilvl w:val="0"/>
          <w:numId w:val="5"/>
        </w:numPr>
        <w:jc w:val="both"/>
        <w:rPr>
          <w:rFonts w:ascii="Book Antiqua" w:hAnsi="Book Antiqua"/>
          <w:sz w:val="19"/>
          <w:szCs w:val="19"/>
        </w:rPr>
      </w:pPr>
      <w:r w:rsidRPr="000D517E">
        <w:rPr>
          <w:rFonts w:ascii="Book Antiqua" w:hAnsi="Book Antiqua"/>
          <w:sz w:val="19"/>
          <w:szCs w:val="19"/>
        </w:rPr>
        <w:t>§ 6º Se houver anuência do Defensor Regional de Direitos Humanos, poderá a ele ser redistribuído processo de assistência jurídica instaurado em outro ofício, mediante requerimento fundamentado formulado pelo titular do processo.</w:t>
      </w:r>
    </w:p>
    <w:p w14:paraId="39D40318" w14:textId="77777777" w:rsidR="000D517E" w:rsidRPr="000D517E" w:rsidRDefault="000D517E" w:rsidP="000D517E">
      <w:pPr>
        <w:numPr>
          <w:ilvl w:val="0"/>
          <w:numId w:val="5"/>
        </w:numPr>
        <w:jc w:val="both"/>
        <w:rPr>
          <w:rFonts w:ascii="Book Antiqua" w:hAnsi="Book Antiqua"/>
          <w:sz w:val="19"/>
          <w:szCs w:val="19"/>
        </w:rPr>
      </w:pPr>
      <w:r w:rsidRPr="000D517E">
        <w:rPr>
          <w:rFonts w:ascii="Book Antiqua" w:hAnsi="Book Antiqua"/>
          <w:sz w:val="19"/>
          <w:szCs w:val="19"/>
        </w:rPr>
        <w:t>§ 7º Aplica-se o disposto nos parágrafos 5º e 6º do artigo 8º às ações ajuizadas na forma do caput. </w:t>
      </w:r>
      <w:hyperlink r:id="rId41" w:history="1">
        <w:r w:rsidRPr="000D517E">
          <w:rPr>
            <w:rStyle w:val="Hyperlink"/>
            <w:rFonts w:ascii="Book Antiqua" w:hAnsi="Book Antiqua"/>
            <w:sz w:val="19"/>
            <w:szCs w:val="19"/>
          </w:rPr>
          <w:t>.(Incluído pela Resolução CSDPU n° 153, de 4 de outubro de 2019)</w:t>
        </w:r>
      </w:hyperlink>
    </w:p>
    <w:p w14:paraId="15878B36"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10.</w:t>
      </w:r>
      <w:r w:rsidRPr="000D517E">
        <w:rPr>
          <w:rFonts w:ascii="Book Antiqua" w:hAnsi="Book Antiqua"/>
          <w:sz w:val="19"/>
          <w:szCs w:val="19"/>
        </w:rPr>
        <w:t> Instaurado o processo de assistência jurídica coletivo, é dever do Defensor Público Federal:</w:t>
      </w:r>
    </w:p>
    <w:p w14:paraId="0BF441C8"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I – Comunicar ao Defensor Regional de Direitos Humanos sua abertura e seu objeto;</w:t>
      </w:r>
    </w:p>
    <w:p w14:paraId="348C3ABF"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II – Assinalar e manter atualizado, no campo de narrativa do processo de assistência jurídica, seu estado atual, informando, sucintamente, seu objeto, partes potencialmente envolvidas, abrangência territorial pretendida, tratativas extrajudiciais em curso e, na hipótese de existência de processo judicial:</w:t>
      </w:r>
    </w:p>
    <w:p w14:paraId="02B687DC" w14:textId="77777777" w:rsidR="000D517E" w:rsidRPr="000D517E" w:rsidRDefault="000D517E" w:rsidP="000D517E">
      <w:pPr>
        <w:numPr>
          <w:ilvl w:val="0"/>
          <w:numId w:val="6"/>
        </w:numPr>
        <w:jc w:val="both"/>
        <w:rPr>
          <w:rFonts w:ascii="Book Antiqua" w:hAnsi="Book Antiqua"/>
          <w:sz w:val="19"/>
          <w:szCs w:val="19"/>
        </w:rPr>
      </w:pPr>
      <w:r w:rsidRPr="000D517E">
        <w:rPr>
          <w:rFonts w:ascii="Book Antiqua" w:hAnsi="Book Antiqua"/>
          <w:sz w:val="19"/>
          <w:szCs w:val="19"/>
        </w:rPr>
        <w:t>a)      Número do processo judicial e juízo no qual tramita;</w:t>
      </w:r>
    </w:p>
    <w:p w14:paraId="2F86A790" w14:textId="77777777" w:rsidR="000D517E" w:rsidRPr="000D517E" w:rsidRDefault="000D517E" w:rsidP="000D517E">
      <w:pPr>
        <w:numPr>
          <w:ilvl w:val="0"/>
          <w:numId w:val="6"/>
        </w:numPr>
        <w:jc w:val="both"/>
        <w:rPr>
          <w:rFonts w:ascii="Book Antiqua" w:hAnsi="Book Antiqua"/>
          <w:sz w:val="19"/>
          <w:szCs w:val="19"/>
        </w:rPr>
      </w:pPr>
      <w:r w:rsidRPr="000D517E">
        <w:rPr>
          <w:rFonts w:ascii="Book Antiqua" w:hAnsi="Book Antiqua"/>
          <w:sz w:val="19"/>
          <w:szCs w:val="19"/>
        </w:rPr>
        <w:t>b)      Último trâmite relevante do processo judicial;</w:t>
      </w:r>
    </w:p>
    <w:p w14:paraId="5BD71256" w14:textId="77777777" w:rsidR="000D517E" w:rsidRPr="000D517E" w:rsidRDefault="000D517E" w:rsidP="000D517E">
      <w:pPr>
        <w:numPr>
          <w:ilvl w:val="0"/>
          <w:numId w:val="6"/>
        </w:numPr>
        <w:jc w:val="both"/>
        <w:rPr>
          <w:rFonts w:ascii="Book Antiqua" w:hAnsi="Book Antiqua"/>
          <w:sz w:val="19"/>
          <w:szCs w:val="19"/>
        </w:rPr>
      </w:pPr>
      <w:r w:rsidRPr="000D517E">
        <w:rPr>
          <w:rFonts w:ascii="Book Antiqua" w:hAnsi="Book Antiqua"/>
          <w:sz w:val="19"/>
          <w:szCs w:val="19"/>
        </w:rPr>
        <w:t>c)     A existência de decisão judicial cujos efeitos se encontram em vigor, e sua extensão territorial, na forma do art. 16 da Lei 7.347/85;</w:t>
      </w:r>
    </w:p>
    <w:p w14:paraId="64E7419C" w14:textId="77777777" w:rsidR="000D517E" w:rsidRPr="000D517E" w:rsidRDefault="000D517E" w:rsidP="000D517E">
      <w:pPr>
        <w:numPr>
          <w:ilvl w:val="0"/>
          <w:numId w:val="6"/>
        </w:numPr>
        <w:jc w:val="both"/>
        <w:rPr>
          <w:rFonts w:ascii="Book Antiqua" w:hAnsi="Book Antiqua"/>
          <w:sz w:val="19"/>
          <w:szCs w:val="19"/>
        </w:rPr>
      </w:pPr>
      <w:r w:rsidRPr="000D517E">
        <w:rPr>
          <w:rFonts w:ascii="Book Antiqua" w:hAnsi="Book Antiqua"/>
          <w:sz w:val="19"/>
          <w:szCs w:val="19"/>
        </w:rPr>
        <w:t>d)      O indeferimento de pedido de tutela de urgência, se houver;</w:t>
      </w:r>
    </w:p>
    <w:p w14:paraId="16CCEBBF"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lastRenderedPageBreak/>
        <w:t>III – Assinalar e manter atualizado, no campo de narrativa do processo de assistência jurídica, a existência de outros processos de assistência jurídica coletivos de idêntico objeto em trâmite na Defensoria Pública da União de que tiver conhecimento, especialmente em outros Estados da Federação.</w:t>
      </w:r>
    </w:p>
    <w:p w14:paraId="4E7CAB58"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Parágrafo único. Recebida a comunicação de instauração de processo de assistência jurídica coletivo, o Defensor Regional de Direitos Humanos deverá informar ao titular do processo a existência de outro de mesmo objeto e abrangência territorial, se houver, caso em que deverá ser arquivado o mais novo, e/ou poderá exercer a prerrogativa do art. 8º, XVII.</w:t>
      </w:r>
    </w:p>
    <w:p w14:paraId="1FC62836"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11.</w:t>
      </w:r>
      <w:r w:rsidRPr="000D517E">
        <w:rPr>
          <w:rFonts w:ascii="Book Antiqua" w:hAnsi="Book Antiqua"/>
          <w:sz w:val="19"/>
          <w:szCs w:val="19"/>
        </w:rPr>
        <w:t> Na pendência de processo de assistência jurídica coletivo, os processos de assistência jurídica individuais de mesmo objeto poderão, a critério do Defensor Público Federal natural, no âmbito de sua independência funcional, ser sobrestados.</w:t>
      </w:r>
    </w:p>
    <w:p w14:paraId="10015FE9" w14:textId="77777777" w:rsidR="000D517E" w:rsidRPr="000D517E" w:rsidRDefault="000D517E" w:rsidP="000D517E">
      <w:pPr>
        <w:numPr>
          <w:ilvl w:val="0"/>
          <w:numId w:val="7"/>
        </w:numPr>
        <w:jc w:val="both"/>
        <w:rPr>
          <w:rFonts w:ascii="Book Antiqua" w:hAnsi="Book Antiqua"/>
          <w:sz w:val="19"/>
          <w:szCs w:val="19"/>
        </w:rPr>
      </w:pPr>
      <w:r w:rsidRPr="000D517E">
        <w:rPr>
          <w:rFonts w:ascii="Book Antiqua" w:hAnsi="Book Antiqua"/>
          <w:sz w:val="19"/>
          <w:szCs w:val="19"/>
        </w:rPr>
        <w:t>§ 1º Promovido o sobrestamento, o processo de assistência jurídica deverá ser relacionado em campo próprio do processo de assistência jurídica coletivo, não importando em alteração de seu ofício de titularidade.</w:t>
      </w:r>
    </w:p>
    <w:p w14:paraId="1FC91B47" w14:textId="77777777" w:rsidR="000D517E" w:rsidRPr="000D517E" w:rsidRDefault="000D517E" w:rsidP="000D517E">
      <w:pPr>
        <w:numPr>
          <w:ilvl w:val="0"/>
          <w:numId w:val="7"/>
        </w:numPr>
        <w:jc w:val="both"/>
        <w:rPr>
          <w:rFonts w:ascii="Book Antiqua" w:hAnsi="Book Antiqua"/>
          <w:sz w:val="19"/>
          <w:szCs w:val="19"/>
        </w:rPr>
      </w:pPr>
      <w:r w:rsidRPr="000D517E">
        <w:rPr>
          <w:rFonts w:ascii="Book Antiqua" w:hAnsi="Book Antiqua"/>
          <w:sz w:val="19"/>
          <w:szCs w:val="19"/>
        </w:rPr>
        <w:t>§ 2º O sobrestamento dar-se-á por prazo certo, após o qual poderá ser reanalisada a situação, no âmbito de sua independência funcional.</w:t>
      </w:r>
    </w:p>
    <w:p w14:paraId="01283E06" w14:textId="77777777" w:rsidR="000D517E" w:rsidRPr="000D517E" w:rsidRDefault="000D517E" w:rsidP="000D517E">
      <w:pPr>
        <w:numPr>
          <w:ilvl w:val="0"/>
          <w:numId w:val="7"/>
        </w:numPr>
        <w:jc w:val="both"/>
        <w:rPr>
          <w:rFonts w:ascii="Book Antiqua" w:hAnsi="Book Antiqua"/>
          <w:sz w:val="19"/>
          <w:szCs w:val="19"/>
        </w:rPr>
      </w:pPr>
      <w:r w:rsidRPr="000D517E">
        <w:rPr>
          <w:rFonts w:ascii="Book Antiqua" w:hAnsi="Book Antiqua"/>
          <w:sz w:val="19"/>
          <w:szCs w:val="19"/>
        </w:rPr>
        <w:t>§ 3º O processo sobrestado poderá ser reativado a qualquer tempo.</w:t>
      </w:r>
    </w:p>
    <w:p w14:paraId="7FE02DBD" w14:textId="77777777" w:rsidR="000D517E" w:rsidRPr="000D517E" w:rsidRDefault="000D517E" w:rsidP="000D517E">
      <w:pPr>
        <w:numPr>
          <w:ilvl w:val="0"/>
          <w:numId w:val="7"/>
        </w:numPr>
        <w:jc w:val="both"/>
        <w:rPr>
          <w:rFonts w:ascii="Book Antiqua" w:hAnsi="Book Antiqua"/>
          <w:sz w:val="19"/>
          <w:szCs w:val="19"/>
        </w:rPr>
      </w:pPr>
      <w:r w:rsidRPr="000D517E">
        <w:rPr>
          <w:rFonts w:ascii="Book Antiqua" w:hAnsi="Book Antiqua"/>
          <w:sz w:val="19"/>
          <w:szCs w:val="19"/>
        </w:rPr>
        <w:t>§ 4º Todos os atos a serem praticados nos processos de assistência jurídica individuais, inclusive referentes a atendimentos de retorno, serão de responsabilidade do Defensor Público Federal que atua no ofício titular do processo de assistência jurídica individual.</w:t>
      </w:r>
    </w:p>
    <w:p w14:paraId="5647A964" w14:textId="77777777" w:rsidR="000D517E" w:rsidRPr="000D517E" w:rsidRDefault="000D517E" w:rsidP="000D517E">
      <w:pPr>
        <w:numPr>
          <w:ilvl w:val="0"/>
          <w:numId w:val="7"/>
        </w:numPr>
        <w:jc w:val="both"/>
        <w:rPr>
          <w:rFonts w:ascii="Book Antiqua" w:hAnsi="Book Antiqua"/>
          <w:sz w:val="19"/>
          <w:szCs w:val="19"/>
        </w:rPr>
      </w:pPr>
      <w:r w:rsidRPr="000D517E">
        <w:rPr>
          <w:rFonts w:ascii="Book Antiqua" w:hAnsi="Book Antiqua"/>
          <w:sz w:val="19"/>
          <w:szCs w:val="19"/>
        </w:rPr>
        <w:t>§ 5º Transitado em julgado o processo, a execução será de atribuição do Defensor Público Federal que atua no ofício titular do processo de assistência jurídica individual.</w:t>
      </w:r>
    </w:p>
    <w:p w14:paraId="163A3EC4" w14:textId="77777777" w:rsidR="000D517E" w:rsidRPr="000D517E" w:rsidRDefault="000D517E" w:rsidP="000D517E">
      <w:pPr>
        <w:numPr>
          <w:ilvl w:val="0"/>
          <w:numId w:val="7"/>
        </w:numPr>
        <w:jc w:val="both"/>
        <w:rPr>
          <w:rFonts w:ascii="Book Antiqua" w:hAnsi="Book Antiqua"/>
          <w:sz w:val="19"/>
          <w:szCs w:val="19"/>
        </w:rPr>
      </w:pPr>
      <w:r w:rsidRPr="000D517E">
        <w:rPr>
          <w:rFonts w:ascii="Book Antiqua" w:hAnsi="Book Antiqua"/>
          <w:sz w:val="19"/>
          <w:szCs w:val="19"/>
        </w:rPr>
        <w:t>§ 6º O responsável pelo processo de assistência jurídica individual deverá consultar periodicamente o andamento do processo coletivo.</w:t>
      </w:r>
    </w:p>
    <w:p w14:paraId="5386AC16"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12.</w:t>
      </w:r>
      <w:r w:rsidRPr="000D517E">
        <w:rPr>
          <w:rFonts w:ascii="Book Antiqua" w:hAnsi="Book Antiqua"/>
          <w:sz w:val="19"/>
          <w:szCs w:val="19"/>
        </w:rPr>
        <w:t> Previamente ao ingresso de demanda judicial, no curso do processo de assistência jurídica coletivo, o Defensor Público Federal adotará todas as medidas tendentes à sua mais ampla instrução, inclusive com auxílio do Defensor Regional de Direitos Humanos.</w:t>
      </w:r>
    </w:p>
    <w:p w14:paraId="70849B62"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Parágrafo único. Sempre que possível, deverão ser adotadas medidas atinentes à solução extrajudicial da controvérsia, inclusive com a convocação de audiências públicas, expedição de recomendações e celebração de compromissos de ajustamento de conduta.</w:t>
      </w:r>
    </w:p>
    <w:p w14:paraId="2A4A052D"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13</w:t>
      </w:r>
      <w:r w:rsidRPr="000D517E">
        <w:rPr>
          <w:rFonts w:ascii="Book Antiqua" w:hAnsi="Book Antiqua"/>
          <w:sz w:val="19"/>
          <w:szCs w:val="19"/>
        </w:rPr>
        <w:t>. Os arquivamentos de processos de assistência jurídica coletivos deverão ser comunicados ao Defensor Nacional de Direitos Humanos, para revisão, na forma da regulamentação pertinente.</w:t>
      </w:r>
    </w:p>
    <w:p w14:paraId="74B54B83" w14:textId="77777777" w:rsidR="000D517E" w:rsidRPr="000D517E" w:rsidRDefault="000D517E" w:rsidP="000D517E">
      <w:pPr>
        <w:numPr>
          <w:ilvl w:val="0"/>
          <w:numId w:val="8"/>
        </w:numPr>
        <w:jc w:val="both"/>
        <w:rPr>
          <w:rFonts w:ascii="Book Antiqua" w:hAnsi="Book Antiqua"/>
          <w:sz w:val="19"/>
          <w:szCs w:val="19"/>
        </w:rPr>
      </w:pPr>
      <w:r w:rsidRPr="000D517E">
        <w:rPr>
          <w:rFonts w:ascii="Book Antiqua" w:hAnsi="Book Antiqua"/>
          <w:sz w:val="19"/>
          <w:szCs w:val="19"/>
        </w:rPr>
        <w:t>§ 1º. O Defensor Nacional de Direitos Humanos elaborará parecer fundamentado sobre o arquivamento, remetendo o feito ao Defensor Público-Geral Federal.</w:t>
      </w:r>
    </w:p>
    <w:p w14:paraId="6A1EDB52" w14:textId="77777777" w:rsidR="000D517E" w:rsidRPr="000D517E" w:rsidRDefault="000D517E" w:rsidP="000D517E">
      <w:pPr>
        <w:numPr>
          <w:ilvl w:val="0"/>
          <w:numId w:val="8"/>
        </w:numPr>
        <w:jc w:val="both"/>
        <w:rPr>
          <w:rFonts w:ascii="Book Antiqua" w:hAnsi="Book Antiqua"/>
          <w:sz w:val="19"/>
          <w:szCs w:val="19"/>
        </w:rPr>
      </w:pPr>
      <w:r w:rsidRPr="000D517E">
        <w:rPr>
          <w:rFonts w:ascii="Book Antiqua" w:hAnsi="Book Antiqua"/>
          <w:sz w:val="19"/>
          <w:szCs w:val="19"/>
        </w:rPr>
        <w:t>§ 2º Não concordando com as razões de arquivamento, o Defensor Público-Geral Federal poderá delegar a Defensor Regional de Direitos Humanos o prosseguimento do feito, salvo se o arquivamento houver por este sido promovido, hipótese na qual caberá a seu substituto dar seguimento ao processo.</w:t>
      </w:r>
    </w:p>
    <w:p w14:paraId="306F78FC"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14</w:t>
      </w:r>
      <w:r w:rsidRPr="000D517E">
        <w:rPr>
          <w:rFonts w:ascii="Book Antiqua" w:hAnsi="Book Antiqua"/>
          <w:sz w:val="19"/>
          <w:szCs w:val="19"/>
        </w:rPr>
        <w:t> A Defensoria Pública-Geral da União fornecerá estrutura material e pessoal para o desempenho das funções do Defensor Nacional de Direitos Humanos e dos Defensores Regionais de Direitos Humanos, nas capitais e no Distrito Federal, com especial atenção às particularidades e interdisciplinaridade da atuação. </w:t>
      </w:r>
      <w:hyperlink r:id="rId42" w:history="1">
        <w:r w:rsidRPr="000D517E">
          <w:rPr>
            <w:rStyle w:val="Hyperlink"/>
            <w:rFonts w:ascii="Book Antiqua" w:hAnsi="Book Antiqua"/>
            <w:sz w:val="19"/>
            <w:szCs w:val="19"/>
          </w:rPr>
          <w:t>(Redação dada pela Resolução CSDPU n° 153, de 4 de outubro de 2019)</w:t>
        </w:r>
      </w:hyperlink>
    </w:p>
    <w:p w14:paraId="3F812C8B"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15.</w:t>
      </w:r>
      <w:r w:rsidRPr="000D517E">
        <w:rPr>
          <w:rFonts w:ascii="Book Antiqua" w:hAnsi="Book Antiqua"/>
          <w:sz w:val="19"/>
          <w:szCs w:val="19"/>
        </w:rPr>
        <w:t> Ficam extintos os Ofícios de Direitos Humanos e Tutela Coletiva atualmente existentes nas Unidades da Defensoria Pública da União.</w:t>
      </w:r>
    </w:p>
    <w:p w14:paraId="5996B7E5" w14:textId="77777777" w:rsidR="000D517E" w:rsidRPr="000D517E" w:rsidRDefault="000D517E" w:rsidP="000D517E">
      <w:pPr>
        <w:numPr>
          <w:ilvl w:val="0"/>
          <w:numId w:val="9"/>
        </w:numPr>
        <w:jc w:val="both"/>
        <w:rPr>
          <w:rFonts w:ascii="Book Antiqua" w:hAnsi="Book Antiqua"/>
          <w:sz w:val="19"/>
          <w:szCs w:val="19"/>
        </w:rPr>
      </w:pPr>
      <w:r w:rsidRPr="000D517E">
        <w:rPr>
          <w:rFonts w:ascii="Book Antiqua" w:hAnsi="Book Antiqua"/>
          <w:sz w:val="19"/>
          <w:szCs w:val="19"/>
        </w:rPr>
        <w:lastRenderedPageBreak/>
        <w:t>§ 1º Serão criados novos ofícios em substituição aos ofícios extintos, cuja atribuição será fixada na forma da Resolução CSDPU 63/2012.</w:t>
      </w:r>
    </w:p>
    <w:p w14:paraId="0619BF83" w14:textId="77777777" w:rsidR="000D517E" w:rsidRPr="000D517E" w:rsidRDefault="000D517E" w:rsidP="000D517E">
      <w:pPr>
        <w:numPr>
          <w:ilvl w:val="0"/>
          <w:numId w:val="9"/>
        </w:numPr>
        <w:jc w:val="both"/>
        <w:rPr>
          <w:rFonts w:ascii="Book Antiqua" w:hAnsi="Book Antiqua"/>
          <w:sz w:val="19"/>
          <w:szCs w:val="19"/>
        </w:rPr>
      </w:pPr>
      <w:r w:rsidRPr="000D517E">
        <w:rPr>
          <w:rFonts w:ascii="Book Antiqua" w:hAnsi="Book Antiqua"/>
          <w:sz w:val="19"/>
          <w:szCs w:val="19"/>
        </w:rPr>
        <w:t>§ 2º O acervo processual dos Ofícios de Direitos Humanos e Tutela Coletiva será redistribuído aos Defensores Regionais de Direitos Humanos.</w:t>
      </w:r>
    </w:p>
    <w:p w14:paraId="24D4A69C"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16.</w:t>
      </w:r>
      <w:r w:rsidRPr="000D517E">
        <w:rPr>
          <w:rFonts w:ascii="Book Antiqua" w:hAnsi="Book Antiqua"/>
          <w:sz w:val="19"/>
          <w:szCs w:val="19"/>
        </w:rPr>
        <w:t> Os atuais ocupantes dos Ofícios de Direitos Humanos e Tutela coletiva poderão optar por exercer a função de Defensor Regional de Direitos Humanos independentemente do procedimento previsto no art. 5º, pelo primeiro período de dois anos.</w:t>
      </w:r>
    </w:p>
    <w:p w14:paraId="0D0873FC" w14:textId="77777777" w:rsidR="000D517E" w:rsidRPr="000D517E" w:rsidRDefault="000D517E" w:rsidP="000D517E">
      <w:pPr>
        <w:numPr>
          <w:ilvl w:val="0"/>
          <w:numId w:val="10"/>
        </w:numPr>
        <w:jc w:val="both"/>
        <w:rPr>
          <w:rFonts w:ascii="Book Antiqua" w:hAnsi="Book Antiqua"/>
          <w:sz w:val="19"/>
          <w:szCs w:val="19"/>
        </w:rPr>
      </w:pPr>
      <w:r w:rsidRPr="000D517E">
        <w:rPr>
          <w:rFonts w:ascii="Book Antiqua" w:hAnsi="Book Antiqua"/>
          <w:sz w:val="19"/>
          <w:szCs w:val="19"/>
        </w:rPr>
        <w:t>§ 1º. A opção prevista no </w:t>
      </w:r>
      <w:r w:rsidRPr="000D517E">
        <w:rPr>
          <w:rFonts w:ascii="Book Antiqua" w:hAnsi="Book Antiqua"/>
          <w:i/>
          <w:iCs/>
          <w:sz w:val="19"/>
          <w:szCs w:val="19"/>
        </w:rPr>
        <w:t>caput </w:t>
      </w:r>
      <w:r w:rsidRPr="000D517E">
        <w:rPr>
          <w:rFonts w:ascii="Book Antiqua" w:hAnsi="Book Antiqua"/>
          <w:sz w:val="19"/>
          <w:szCs w:val="19"/>
        </w:rPr>
        <w:t>deverá ser exercida no prazo de 30 dias da publicação desta resolução.</w:t>
      </w:r>
    </w:p>
    <w:p w14:paraId="18563EB3" w14:textId="77777777" w:rsidR="000D517E" w:rsidRPr="000D517E" w:rsidRDefault="000D517E" w:rsidP="000D517E">
      <w:pPr>
        <w:numPr>
          <w:ilvl w:val="0"/>
          <w:numId w:val="10"/>
        </w:numPr>
        <w:jc w:val="both"/>
        <w:rPr>
          <w:rFonts w:ascii="Book Antiqua" w:hAnsi="Book Antiqua"/>
          <w:sz w:val="19"/>
          <w:szCs w:val="19"/>
        </w:rPr>
      </w:pPr>
      <w:r w:rsidRPr="000D517E">
        <w:rPr>
          <w:rFonts w:ascii="Book Antiqua" w:hAnsi="Book Antiqua"/>
          <w:sz w:val="19"/>
          <w:szCs w:val="19"/>
        </w:rPr>
        <w:t>§ 2º Se o número de funções de Defensor Regional de Direitos Humanos previsto no Anexo I for inferior ao número de ocupantes de ofícios de direitos humanos e tutela coletiva que exerçam a opção do caput em determinado Estado da Federação, o Defensor Público-Geral Federal designará, dentre aqueles, os Defensores Regionais de Direitos Humanos.</w:t>
      </w:r>
    </w:p>
    <w:p w14:paraId="3FB01CB0"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17.</w:t>
      </w:r>
      <w:r w:rsidRPr="000D517E">
        <w:rPr>
          <w:rFonts w:ascii="Book Antiqua" w:hAnsi="Book Antiqua"/>
          <w:sz w:val="19"/>
          <w:szCs w:val="19"/>
        </w:rPr>
        <w:t> Inclui-se o inciso VI no art. 17 da Resolução CSDPU 53/2012, com a seguinte redação:</w:t>
      </w:r>
    </w:p>
    <w:p w14:paraId="62496699"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“VI. Para a atividade de Defensor Nacional de Direitos Humanos, 0,5 (zero vírgula cinco) ponto para cada seis meses de efetivo exercício, até o máximo de quatro pontos;” </w:t>
      </w:r>
      <w:hyperlink r:id="rId43" w:history="1">
        <w:r w:rsidRPr="000D517E">
          <w:rPr>
            <w:rStyle w:val="Hyperlink"/>
            <w:rFonts w:ascii="Book Antiqua" w:hAnsi="Book Antiqua"/>
            <w:sz w:val="19"/>
            <w:szCs w:val="19"/>
          </w:rPr>
          <w:t>(Vide art. 9° da Resolução CSDPU n° 153, de 4 de outubro de 2019)</w:t>
        </w:r>
      </w:hyperlink>
    </w:p>
    <w:p w14:paraId="34F1F38B"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18.</w:t>
      </w:r>
      <w:r w:rsidRPr="000D517E">
        <w:rPr>
          <w:rFonts w:ascii="Book Antiqua" w:hAnsi="Book Antiqua"/>
          <w:sz w:val="19"/>
          <w:szCs w:val="19"/>
        </w:rPr>
        <w:t xml:space="preserve"> Será implementado no SISDPU, no prazo cento e oitenta dias a partir da publicação desta resolução, mecanismo de identificação de processos de assistência jurídica coletivos e a possibilidade de se relacionar processos de assistência jurídica, na forma dos </w:t>
      </w:r>
      <w:proofErr w:type="spellStart"/>
      <w:r w:rsidRPr="000D517E">
        <w:rPr>
          <w:rFonts w:ascii="Book Antiqua" w:hAnsi="Book Antiqua"/>
          <w:sz w:val="19"/>
          <w:szCs w:val="19"/>
        </w:rPr>
        <w:t>arts</w:t>
      </w:r>
      <w:proofErr w:type="spellEnd"/>
      <w:r w:rsidRPr="000D517E">
        <w:rPr>
          <w:rFonts w:ascii="Book Antiqua" w:hAnsi="Book Antiqua"/>
          <w:sz w:val="19"/>
          <w:szCs w:val="19"/>
        </w:rPr>
        <w:t>. 10 e 11.</w:t>
      </w:r>
    </w:p>
    <w:p w14:paraId="4118EDEB"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18-A</w:t>
      </w:r>
      <w:r w:rsidRPr="000D517E">
        <w:rPr>
          <w:rFonts w:ascii="Book Antiqua" w:hAnsi="Book Antiqua"/>
          <w:sz w:val="19"/>
          <w:szCs w:val="19"/>
        </w:rPr>
        <w:t> Os bancos de dados referidos nos artigos 7º, III, e 8º, V, deverão ser implantados definitivamente e apresentados ao CSDPU no prazo improrrogável de 180 dias, devendo a Administração Superior proporcionar os meios técnicos necessários aos titulares dos cargos relacionados. </w:t>
      </w:r>
      <w:hyperlink r:id="rId44" w:history="1">
        <w:r w:rsidRPr="000D517E">
          <w:rPr>
            <w:rStyle w:val="Hyperlink"/>
            <w:rFonts w:ascii="Book Antiqua" w:hAnsi="Book Antiqua"/>
            <w:sz w:val="19"/>
            <w:szCs w:val="19"/>
          </w:rPr>
          <w:t>.(Incluído pela Resolução CSDPU n° 153, de 4 de outubro de 2019)</w:t>
        </w:r>
      </w:hyperlink>
    </w:p>
    <w:p w14:paraId="746C22B7"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19.</w:t>
      </w:r>
      <w:r w:rsidRPr="000D517E">
        <w:rPr>
          <w:rFonts w:ascii="Book Antiqua" w:hAnsi="Book Antiqua"/>
          <w:sz w:val="19"/>
          <w:szCs w:val="19"/>
        </w:rPr>
        <w:t> Revogam-se as disposições em contrário, em especial a Portaria DPGF nº 258, de 7 de julho de 2008.</w:t>
      </w:r>
    </w:p>
    <w:p w14:paraId="737CB838"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Art. 20.</w:t>
      </w:r>
      <w:r w:rsidRPr="000D517E">
        <w:rPr>
          <w:rFonts w:ascii="Book Antiqua" w:hAnsi="Book Antiqua"/>
          <w:sz w:val="19"/>
          <w:szCs w:val="19"/>
        </w:rPr>
        <w:t> Esta resolução entra em vigor sessenta dias após sua publicação.</w:t>
      </w:r>
    </w:p>
    <w:p w14:paraId="12B4325C"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LÚCIO FERREIRA GUEDES</w:t>
      </w:r>
    </w:p>
    <w:p w14:paraId="25FCAA32"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Defensor Público-Geral Federal, em exercício</w:t>
      </w:r>
    </w:p>
    <w:p w14:paraId="691A1189"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ANEXO I</w:t>
      </w:r>
    </w:p>
    <w:p w14:paraId="281F98A7"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 </w:t>
      </w:r>
    </w:p>
    <w:p w14:paraId="5F2FF703"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NÚMERO DE DEFENSORES REGIONAIS DE DIREITOS HUMANOS POR REGIÃO</w:t>
      </w:r>
    </w:p>
    <w:tbl>
      <w:tblPr>
        <w:tblW w:w="7590" w:type="dxa"/>
        <w:tblInd w:w="60" w:type="dxa"/>
        <w:shd w:val="clear" w:color="auto" w:fill="FFFFFF"/>
        <w:tblCellMar>
          <w:top w:w="15" w:type="dxa"/>
          <w:left w:w="15" w:type="dxa"/>
          <w:bottom w:w="15" w:type="dxa"/>
          <w:right w:w="15" w:type="dxa"/>
        </w:tblCellMar>
        <w:tblLook w:val="04A0" w:firstRow="1" w:lastRow="0" w:firstColumn="1" w:lastColumn="0" w:noHBand="0" w:noVBand="1"/>
      </w:tblPr>
      <w:tblGrid>
        <w:gridCol w:w="4674"/>
        <w:gridCol w:w="2916"/>
      </w:tblGrid>
      <w:tr w:rsidR="000D517E" w:rsidRPr="000D517E" w14:paraId="4E293B81" w14:textId="77777777" w:rsidTr="000D517E">
        <w:tc>
          <w:tcPr>
            <w:tcW w:w="4665" w:type="dxa"/>
            <w:shd w:val="clear" w:color="auto" w:fill="FFFFFF"/>
            <w:vAlign w:val="center"/>
            <w:hideMark/>
          </w:tcPr>
          <w:p w14:paraId="4E241EB5"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  UF</w:t>
            </w:r>
          </w:p>
        </w:tc>
        <w:tc>
          <w:tcPr>
            <w:tcW w:w="2910" w:type="dxa"/>
            <w:shd w:val="clear" w:color="auto" w:fill="FFFFFF"/>
            <w:vAlign w:val="center"/>
            <w:hideMark/>
          </w:tcPr>
          <w:p w14:paraId="5ABADFD1"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Número</w:t>
            </w:r>
          </w:p>
        </w:tc>
      </w:tr>
      <w:tr w:rsidR="000D517E" w:rsidRPr="000D517E" w14:paraId="75BD87E5" w14:textId="77777777" w:rsidTr="000D517E">
        <w:tc>
          <w:tcPr>
            <w:tcW w:w="4665" w:type="dxa"/>
            <w:shd w:val="clear" w:color="auto" w:fill="FFFFFF"/>
            <w:vAlign w:val="center"/>
            <w:hideMark/>
          </w:tcPr>
          <w:p w14:paraId="1EDC90E4"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Acre e Rondônia</w:t>
            </w:r>
          </w:p>
        </w:tc>
        <w:tc>
          <w:tcPr>
            <w:tcW w:w="2910" w:type="dxa"/>
            <w:shd w:val="clear" w:color="auto" w:fill="FFFFFF"/>
            <w:vAlign w:val="center"/>
            <w:hideMark/>
          </w:tcPr>
          <w:p w14:paraId="0EAF4A2E"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7B765383" w14:textId="77777777" w:rsidTr="000D517E">
        <w:tc>
          <w:tcPr>
            <w:tcW w:w="4665" w:type="dxa"/>
            <w:shd w:val="clear" w:color="auto" w:fill="FFFFFF"/>
            <w:vAlign w:val="center"/>
            <w:hideMark/>
          </w:tcPr>
          <w:p w14:paraId="03135D72"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Alagoas e Sergipe</w:t>
            </w:r>
          </w:p>
        </w:tc>
        <w:tc>
          <w:tcPr>
            <w:tcW w:w="2910" w:type="dxa"/>
            <w:shd w:val="clear" w:color="auto" w:fill="FFFFFF"/>
            <w:vAlign w:val="center"/>
            <w:hideMark/>
          </w:tcPr>
          <w:p w14:paraId="18F49EA1"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1A77E6BF" w14:textId="77777777" w:rsidTr="000D517E">
        <w:tc>
          <w:tcPr>
            <w:tcW w:w="4665" w:type="dxa"/>
            <w:shd w:val="clear" w:color="auto" w:fill="FFFFFF"/>
            <w:vAlign w:val="center"/>
            <w:hideMark/>
          </w:tcPr>
          <w:p w14:paraId="056ED54F"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Amapá e Pará</w:t>
            </w:r>
          </w:p>
        </w:tc>
        <w:tc>
          <w:tcPr>
            <w:tcW w:w="2910" w:type="dxa"/>
            <w:shd w:val="clear" w:color="auto" w:fill="FFFFFF"/>
            <w:vAlign w:val="center"/>
            <w:hideMark/>
          </w:tcPr>
          <w:p w14:paraId="07F9EFF9"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0D52410E" w14:textId="77777777" w:rsidTr="000D517E">
        <w:tc>
          <w:tcPr>
            <w:tcW w:w="4665" w:type="dxa"/>
            <w:shd w:val="clear" w:color="auto" w:fill="FFFFFF"/>
            <w:vAlign w:val="center"/>
            <w:hideMark/>
          </w:tcPr>
          <w:p w14:paraId="04DBE536"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Amazonas e Roraima</w:t>
            </w:r>
          </w:p>
        </w:tc>
        <w:tc>
          <w:tcPr>
            <w:tcW w:w="2910" w:type="dxa"/>
            <w:shd w:val="clear" w:color="auto" w:fill="FFFFFF"/>
            <w:vAlign w:val="center"/>
            <w:hideMark/>
          </w:tcPr>
          <w:p w14:paraId="02F50876"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33E0B280" w14:textId="77777777" w:rsidTr="000D517E">
        <w:tc>
          <w:tcPr>
            <w:tcW w:w="4665" w:type="dxa"/>
            <w:shd w:val="clear" w:color="auto" w:fill="FFFFFF"/>
            <w:vAlign w:val="center"/>
            <w:hideMark/>
          </w:tcPr>
          <w:p w14:paraId="279673AE"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Bahia</w:t>
            </w:r>
          </w:p>
        </w:tc>
        <w:tc>
          <w:tcPr>
            <w:tcW w:w="2910" w:type="dxa"/>
            <w:shd w:val="clear" w:color="auto" w:fill="FFFFFF"/>
            <w:vAlign w:val="center"/>
            <w:hideMark/>
          </w:tcPr>
          <w:p w14:paraId="51E0B085"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22433821" w14:textId="77777777" w:rsidTr="000D517E">
        <w:tc>
          <w:tcPr>
            <w:tcW w:w="4665" w:type="dxa"/>
            <w:shd w:val="clear" w:color="auto" w:fill="FFFFFF"/>
            <w:vAlign w:val="center"/>
            <w:hideMark/>
          </w:tcPr>
          <w:p w14:paraId="4E2CA1EE"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Ceará</w:t>
            </w:r>
          </w:p>
        </w:tc>
        <w:tc>
          <w:tcPr>
            <w:tcW w:w="2910" w:type="dxa"/>
            <w:shd w:val="clear" w:color="auto" w:fill="FFFFFF"/>
            <w:vAlign w:val="center"/>
            <w:hideMark/>
          </w:tcPr>
          <w:p w14:paraId="214D019A"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6E5BB709" w14:textId="77777777" w:rsidTr="000D517E">
        <w:tc>
          <w:tcPr>
            <w:tcW w:w="4665" w:type="dxa"/>
            <w:shd w:val="clear" w:color="auto" w:fill="FFFFFF"/>
            <w:vAlign w:val="center"/>
            <w:hideMark/>
          </w:tcPr>
          <w:p w14:paraId="07CD12E6"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lastRenderedPageBreak/>
              <w:t>Distrito Federal</w:t>
            </w:r>
          </w:p>
        </w:tc>
        <w:tc>
          <w:tcPr>
            <w:tcW w:w="2910" w:type="dxa"/>
            <w:shd w:val="clear" w:color="auto" w:fill="FFFFFF"/>
            <w:vAlign w:val="center"/>
            <w:hideMark/>
          </w:tcPr>
          <w:p w14:paraId="615AAAEA"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006C7F29" w14:textId="77777777" w:rsidTr="000D517E">
        <w:tc>
          <w:tcPr>
            <w:tcW w:w="4665" w:type="dxa"/>
            <w:shd w:val="clear" w:color="auto" w:fill="FFFFFF"/>
            <w:vAlign w:val="center"/>
            <w:hideMark/>
          </w:tcPr>
          <w:p w14:paraId="4F89C0EA"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Espirito Santo</w:t>
            </w:r>
          </w:p>
        </w:tc>
        <w:tc>
          <w:tcPr>
            <w:tcW w:w="2910" w:type="dxa"/>
            <w:shd w:val="clear" w:color="auto" w:fill="FFFFFF"/>
            <w:vAlign w:val="center"/>
            <w:hideMark/>
          </w:tcPr>
          <w:p w14:paraId="72BAB988"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74C8DC6C" w14:textId="77777777" w:rsidTr="000D517E">
        <w:tc>
          <w:tcPr>
            <w:tcW w:w="4665" w:type="dxa"/>
            <w:shd w:val="clear" w:color="auto" w:fill="FFFFFF"/>
            <w:vAlign w:val="center"/>
            <w:hideMark/>
          </w:tcPr>
          <w:p w14:paraId="5D56F8F9"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Goiás e Tocantins</w:t>
            </w:r>
          </w:p>
        </w:tc>
        <w:tc>
          <w:tcPr>
            <w:tcW w:w="2910" w:type="dxa"/>
            <w:shd w:val="clear" w:color="auto" w:fill="FFFFFF"/>
            <w:vAlign w:val="center"/>
            <w:hideMark/>
          </w:tcPr>
          <w:p w14:paraId="6C9A4152"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6971B59F" w14:textId="77777777" w:rsidTr="000D517E">
        <w:tc>
          <w:tcPr>
            <w:tcW w:w="4665" w:type="dxa"/>
            <w:shd w:val="clear" w:color="auto" w:fill="FFFFFF"/>
            <w:vAlign w:val="center"/>
            <w:hideMark/>
          </w:tcPr>
          <w:p w14:paraId="58BD2254"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Maranhão</w:t>
            </w:r>
          </w:p>
        </w:tc>
        <w:tc>
          <w:tcPr>
            <w:tcW w:w="2910" w:type="dxa"/>
            <w:shd w:val="clear" w:color="auto" w:fill="FFFFFF"/>
            <w:vAlign w:val="center"/>
            <w:hideMark/>
          </w:tcPr>
          <w:p w14:paraId="6ADADD89"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62A2523C" w14:textId="77777777" w:rsidTr="000D517E">
        <w:tc>
          <w:tcPr>
            <w:tcW w:w="4665" w:type="dxa"/>
            <w:shd w:val="clear" w:color="auto" w:fill="FFFFFF"/>
            <w:vAlign w:val="center"/>
            <w:hideMark/>
          </w:tcPr>
          <w:p w14:paraId="4A51817B"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Mato Grosso</w:t>
            </w:r>
          </w:p>
        </w:tc>
        <w:tc>
          <w:tcPr>
            <w:tcW w:w="2910" w:type="dxa"/>
            <w:shd w:val="clear" w:color="auto" w:fill="FFFFFF"/>
            <w:vAlign w:val="center"/>
            <w:hideMark/>
          </w:tcPr>
          <w:p w14:paraId="33E13B07"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034E4E01" w14:textId="77777777" w:rsidTr="000D517E">
        <w:tc>
          <w:tcPr>
            <w:tcW w:w="4665" w:type="dxa"/>
            <w:shd w:val="clear" w:color="auto" w:fill="FFFFFF"/>
            <w:vAlign w:val="center"/>
            <w:hideMark/>
          </w:tcPr>
          <w:p w14:paraId="0839A7B5"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Mato Grosso do Sul</w:t>
            </w:r>
          </w:p>
        </w:tc>
        <w:tc>
          <w:tcPr>
            <w:tcW w:w="2910" w:type="dxa"/>
            <w:shd w:val="clear" w:color="auto" w:fill="FFFFFF"/>
            <w:vAlign w:val="center"/>
            <w:hideMark/>
          </w:tcPr>
          <w:p w14:paraId="26E3916A"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758F8F67" w14:textId="77777777" w:rsidTr="000D517E">
        <w:tc>
          <w:tcPr>
            <w:tcW w:w="4665" w:type="dxa"/>
            <w:shd w:val="clear" w:color="auto" w:fill="FFFFFF"/>
            <w:vAlign w:val="center"/>
            <w:hideMark/>
          </w:tcPr>
          <w:p w14:paraId="6E131C35"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Minas Gerais</w:t>
            </w:r>
          </w:p>
        </w:tc>
        <w:tc>
          <w:tcPr>
            <w:tcW w:w="2910" w:type="dxa"/>
            <w:shd w:val="clear" w:color="auto" w:fill="FFFFFF"/>
            <w:vAlign w:val="center"/>
            <w:hideMark/>
          </w:tcPr>
          <w:p w14:paraId="6E2DFEA9"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44D471C6" w14:textId="77777777" w:rsidTr="000D517E">
        <w:tc>
          <w:tcPr>
            <w:tcW w:w="4665" w:type="dxa"/>
            <w:shd w:val="clear" w:color="auto" w:fill="FFFFFF"/>
            <w:vAlign w:val="center"/>
            <w:hideMark/>
          </w:tcPr>
          <w:p w14:paraId="1F7D65EB"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Paraíba</w:t>
            </w:r>
          </w:p>
        </w:tc>
        <w:tc>
          <w:tcPr>
            <w:tcW w:w="2910" w:type="dxa"/>
            <w:shd w:val="clear" w:color="auto" w:fill="FFFFFF"/>
            <w:vAlign w:val="center"/>
            <w:hideMark/>
          </w:tcPr>
          <w:p w14:paraId="28BBB9D2"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78235D74" w14:textId="77777777" w:rsidTr="000D517E">
        <w:tc>
          <w:tcPr>
            <w:tcW w:w="4665" w:type="dxa"/>
            <w:shd w:val="clear" w:color="auto" w:fill="FFFFFF"/>
            <w:vAlign w:val="center"/>
            <w:hideMark/>
          </w:tcPr>
          <w:p w14:paraId="251D9385"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Paraná</w:t>
            </w:r>
          </w:p>
        </w:tc>
        <w:tc>
          <w:tcPr>
            <w:tcW w:w="2910" w:type="dxa"/>
            <w:shd w:val="clear" w:color="auto" w:fill="FFFFFF"/>
            <w:vAlign w:val="center"/>
            <w:hideMark/>
          </w:tcPr>
          <w:p w14:paraId="7AB11FF1"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7AB36848" w14:textId="77777777" w:rsidTr="000D517E">
        <w:tc>
          <w:tcPr>
            <w:tcW w:w="4665" w:type="dxa"/>
            <w:shd w:val="clear" w:color="auto" w:fill="FFFFFF"/>
            <w:vAlign w:val="center"/>
            <w:hideMark/>
          </w:tcPr>
          <w:p w14:paraId="7FC5238C"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Pernambuco</w:t>
            </w:r>
          </w:p>
        </w:tc>
        <w:tc>
          <w:tcPr>
            <w:tcW w:w="2910" w:type="dxa"/>
            <w:shd w:val="clear" w:color="auto" w:fill="FFFFFF"/>
            <w:vAlign w:val="center"/>
            <w:hideMark/>
          </w:tcPr>
          <w:p w14:paraId="48F1AE2A"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60F16E84" w14:textId="77777777" w:rsidTr="000D517E">
        <w:tc>
          <w:tcPr>
            <w:tcW w:w="4665" w:type="dxa"/>
            <w:shd w:val="clear" w:color="auto" w:fill="FFFFFF"/>
            <w:vAlign w:val="center"/>
            <w:hideMark/>
          </w:tcPr>
          <w:p w14:paraId="4FB488FE"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Piauí</w:t>
            </w:r>
          </w:p>
        </w:tc>
        <w:tc>
          <w:tcPr>
            <w:tcW w:w="2910" w:type="dxa"/>
            <w:shd w:val="clear" w:color="auto" w:fill="FFFFFF"/>
            <w:vAlign w:val="center"/>
            <w:hideMark/>
          </w:tcPr>
          <w:p w14:paraId="5BF85568"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4CDE079C" w14:textId="77777777" w:rsidTr="000D517E">
        <w:tc>
          <w:tcPr>
            <w:tcW w:w="4665" w:type="dxa"/>
            <w:shd w:val="clear" w:color="auto" w:fill="FFFFFF"/>
            <w:vAlign w:val="center"/>
            <w:hideMark/>
          </w:tcPr>
          <w:p w14:paraId="2929A1D6"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Rio de Janeiro</w:t>
            </w:r>
          </w:p>
        </w:tc>
        <w:tc>
          <w:tcPr>
            <w:tcW w:w="2910" w:type="dxa"/>
            <w:shd w:val="clear" w:color="auto" w:fill="FFFFFF"/>
            <w:vAlign w:val="center"/>
            <w:hideMark/>
          </w:tcPr>
          <w:p w14:paraId="3D324717"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2</w:t>
            </w:r>
          </w:p>
        </w:tc>
      </w:tr>
      <w:tr w:rsidR="000D517E" w:rsidRPr="000D517E" w14:paraId="20D7957A" w14:textId="77777777" w:rsidTr="000D517E">
        <w:tc>
          <w:tcPr>
            <w:tcW w:w="4665" w:type="dxa"/>
            <w:shd w:val="clear" w:color="auto" w:fill="FFFFFF"/>
            <w:vAlign w:val="center"/>
            <w:hideMark/>
          </w:tcPr>
          <w:p w14:paraId="7CD6C5BB"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Rio Grande do Norte</w:t>
            </w:r>
          </w:p>
        </w:tc>
        <w:tc>
          <w:tcPr>
            <w:tcW w:w="2910" w:type="dxa"/>
            <w:shd w:val="clear" w:color="auto" w:fill="FFFFFF"/>
            <w:vAlign w:val="center"/>
            <w:hideMark/>
          </w:tcPr>
          <w:p w14:paraId="566CA3DF"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07C61C35" w14:textId="77777777" w:rsidTr="000D517E">
        <w:tc>
          <w:tcPr>
            <w:tcW w:w="4665" w:type="dxa"/>
            <w:shd w:val="clear" w:color="auto" w:fill="FFFFFF"/>
            <w:vAlign w:val="center"/>
            <w:hideMark/>
          </w:tcPr>
          <w:p w14:paraId="098E3FA4"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Rio Grande do Sul</w:t>
            </w:r>
          </w:p>
        </w:tc>
        <w:tc>
          <w:tcPr>
            <w:tcW w:w="2910" w:type="dxa"/>
            <w:shd w:val="clear" w:color="auto" w:fill="FFFFFF"/>
            <w:vAlign w:val="center"/>
            <w:hideMark/>
          </w:tcPr>
          <w:p w14:paraId="312C33A5"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7379F55B" w14:textId="77777777" w:rsidTr="000D517E">
        <w:tc>
          <w:tcPr>
            <w:tcW w:w="4665" w:type="dxa"/>
            <w:shd w:val="clear" w:color="auto" w:fill="FFFFFF"/>
            <w:vAlign w:val="center"/>
            <w:hideMark/>
          </w:tcPr>
          <w:p w14:paraId="5634D9DF"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Santa Catarina</w:t>
            </w:r>
          </w:p>
        </w:tc>
        <w:tc>
          <w:tcPr>
            <w:tcW w:w="2910" w:type="dxa"/>
            <w:shd w:val="clear" w:color="auto" w:fill="FFFFFF"/>
            <w:vAlign w:val="center"/>
            <w:hideMark/>
          </w:tcPr>
          <w:p w14:paraId="449717D4"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1</w:t>
            </w:r>
          </w:p>
        </w:tc>
      </w:tr>
      <w:tr w:rsidR="000D517E" w:rsidRPr="000D517E" w14:paraId="50662874" w14:textId="77777777" w:rsidTr="000D517E">
        <w:tc>
          <w:tcPr>
            <w:tcW w:w="4665" w:type="dxa"/>
            <w:shd w:val="clear" w:color="auto" w:fill="FFFFFF"/>
            <w:vAlign w:val="center"/>
            <w:hideMark/>
          </w:tcPr>
          <w:p w14:paraId="28C69FFE"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São Paulo</w:t>
            </w:r>
          </w:p>
        </w:tc>
        <w:tc>
          <w:tcPr>
            <w:tcW w:w="2910" w:type="dxa"/>
            <w:shd w:val="clear" w:color="auto" w:fill="FFFFFF"/>
            <w:vAlign w:val="center"/>
            <w:hideMark/>
          </w:tcPr>
          <w:p w14:paraId="66F49788"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2</w:t>
            </w:r>
          </w:p>
        </w:tc>
      </w:tr>
    </w:tbl>
    <w:p w14:paraId="7A2AC121"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Este texto não substitui o publicado no DOU   </w:t>
      </w:r>
    </w:p>
    <w:p w14:paraId="55400AC5" w14:textId="77777777" w:rsidR="000D517E" w:rsidRPr="000D517E" w:rsidRDefault="000D517E" w:rsidP="000D517E">
      <w:pPr>
        <w:jc w:val="both"/>
        <w:rPr>
          <w:rFonts w:ascii="Book Antiqua" w:hAnsi="Book Antiqua"/>
          <w:sz w:val="19"/>
          <w:szCs w:val="19"/>
        </w:rPr>
      </w:pPr>
      <w:r w:rsidRPr="000D517E">
        <w:rPr>
          <w:rFonts w:ascii="Book Antiqua" w:hAnsi="Book Antiqua"/>
          <w:sz w:val="19"/>
          <w:szCs w:val="19"/>
        </w:rPr>
        <w:t> </w:t>
      </w:r>
    </w:p>
    <w:p w14:paraId="14EA041B" w14:textId="77777777" w:rsidR="000D517E" w:rsidRPr="000D517E" w:rsidRDefault="000D517E" w:rsidP="000D517E">
      <w:pPr>
        <w:jc w:val="both"/>
        <w:rPr>
          <w:rFonts w:ascii="Book Antiqua" w:hAnsi="Book Antiqua"/>
          <w:sz w:val="19"/>
          <w:szCs w:val="19"/>
        </w:rPr>
      </w:pPr>
      <w:r w:rsidRPr="000D517E">
        <w:rPr>
          <w:rFonts w:ascii="Book Antiqua" w:hAnsi="Book Antiqua"/>
          <w:b/>
          <w:bCs/>
          <w:sz w:val="19"/>
          <w:szCs w:val="19"/>
        </w:rPr>
        <w:t>Diário Oficial da União, Seção 1, Nº 74, terça-feira, 19 de abril de 2016, p.7</w:t>
      </w:r>
    </w:p>
    <w:p w14:paraId="097F853E" w14:textId="77777777" w:rsidR="00260DDF" w:rsidRPr="000D517E" w:rsidRDefault="00260DDF" w:rsidP="000D517E">
      <w:pPr>
        <w:jc w:val="both"/>
        <w:rPr>
          <w:rFonts w:ascii="Book Antiqua" w:hAnsi="Book Antiqua"/>
          <w:sz w:val="19"/>
          <w:szCs w:val="19"/>
        </w:rPr>
      </w:pPr>
    </w:p>
    <w:sectPr w:rsidR="00260DDF" w:rsidRPr="000D517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13935"/>
    <w:multiLevelType w:val="multilevel"/>
    <w:tmpl w:val="BC3E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F04A2"/>
    <w:multiLevelType w:val="multilevel"/>
    <w:tmpl w:val="BCAED14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2C0E5B14"/>
    <w:multiLevelType w:val="multilevel"/>
    <w:tmpl w:val="92F6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D1F87"/>
    <w:multiLevelType w:val="multilevel"/>
    <w:tmpl w:val="4930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A06E9"/>
    <w:multiLevelType w:val="multilevel"/>
    <w:tmpl w:val="AB82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01086F"/>
    <w:multiLevelType w:val="multilevel"/>
    <w:tmpl w:val="6602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370D48"/>
    <w:multiLevelType w:val="multilevel"/>
    <w:tmpl w:val="6FB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C2560"/>
    <w:multiLevelType w:val="multilevel"/>
    <w:tmpl w:val="2B2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F2430"/>
    <w:multiLevelType w:val="multilevel"/>
    <w:tmpl w:val="18F4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9E4977"/>
    <w:multiLevelType w:val="multilevel"/>
    <w:tmpl w:val="386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7"/>
  </w:num>
  <w:num w:numId="5">
    <w:abstractNumId w:val="2"/>
  </w:num>
  <w:num w:numId="6">
    <w:abstractNumId w:val="1"/>
  </w:num>
  <w:num w:numId="7">
    <w:abstractNumId w:val="3"/>
  </w:num>
  <w:num w:numId="8">
    <w:abstractNumId w:val="6"/>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DDF"/>
    <w:rsid w:val="000D517E"/>
    <w:rsid w:val="00260DDF"/>
    <w:rsid w:val="00724423"/>
    <w:rsid w:val="00CB50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46AC0"/>
  <w15:chartTrackingRefBased/>
  <w15:docId w15:val="{43187E41-7C52-42EA-9A9E-5E0E847B0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0D517E"/>
    <w:rPr>
      <w:color w:val="0563C1" w:themeColor="hyperlink"/>
      <w:u w:val="single"/>
    </w:rPr>
  </w:style>
  <w:style w:type="character" w:styleId="MenoPendente">
    <w:name w:val="Unresolved Mention"/>
    <w:basedOn w:val="Fontepargpadro"/>
    <w:uiPriority w:val="99"/>
    <w:semiHidden/>
    <w:unhideWhenUsed/>
    <w:rsid w:val="000D51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901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pu.def.br/images/stories/Infoleg/2019/10/22/RESOLUCAO_153.pdf" TargetMode="External"/><Relationship Id="rId13" Type="http://schemas.openxmlformats.org/officeDocument/2006/relationships/hyperlink" Target="https://dpu.def.br/images/stories/Infoleg/2019/10/22/RESOLUCAO_153.pdf" TargetMode="External"/><Relationship Id="rId18" Type="http://schemas.openxmlformats.org/officeDocument/2006/relationships/hyperlink" Target="https://dpu.def.br/images/stories/Infoleg/2019/10/22/RESOLUCAO_153.pdf" TargetMode="External"/><Relationship Id="rId26" Type="http://schemas.openxmlformats.org/officeDocument/2006/relationships/hyperlink" Target="https://dpu.def.br/images/stories/Infoleg/2019/10/22/RESOLUCAO_153.pdf" TargetMode="External"/><Relationship Id="rId39" Type="http://schemas.openxmlformats.org/officeDocument/2006/relationships/hyperlink" Target="https://dpu.def.br/images/stories/Infoleg/2019/10/22/RESOLUCAO_153.pdf" TargetMode="External"/><Relationship Id="rId3" Type="http://schemas.openxmlformats.org/officeDocument/2006/relationships/settings" Target="settings.xml"/><Relationship Id="rId21" Type="http://schemas.openxmlformats.org/officeDocument/2006/relationships/hyperlink" Target="https://dpu.def.br/images/stories/Infoleg/2019/10/22/RESOLUCAO_153.pdf" TargetMode="External"/><Relationship Id="rId34" Type="http://schemas.openxmlformats.org/officeDocument/2006/relationships/hyperlink" Target="https://dpu.def.br/images/stories/Infoleg/2019/10/22/RESOLUCAO_153.pdf" TargetMode="External"/><Relationship Id="rId42" Type="http://schemas.openxmlformats.org/officeDocument/2006/relationships/hyperlink" Target="https://dpu.def.br/images/stories/Infoleg/2019/10/22/RESOLUCAO_153.pdf" TargetMode="External"/><Relationship Id="rId7" Type="http://schemas.openxmlformats.org/officeDocument/2006/relationships/hyperlink" Target="https://dpu.def.br/images/stories/Infoleg/2019/10/22/RESOLUCAO_153.pdf" TargetMode="External"/><Relationship Id="rId12" Type="http://schemas.openxmlformats.org/officeDocument/2006/relationships/hyperlink" Target="https://dpu.def.br/images/stories/Infoleg/2019/10/22/RESOLUCAO_153.pdf" TargetMode="External"/><Relationship Id="rId17" Type="http://schemas.openxmlformats.org/officeDocument/2006/relationships/hyperlink" Target="https://dpu.def.br/images/stories/Infoleg/2019/10/22/RESOLUCAO_153.pdf" TargetMode="External"/><Relationship Id="rId25" Type="http://schemas.openxmlformats.org/officeDocument/2006/relationships/hyperlink" Target="https://dpu.def.br/images/stories/Infoleg/2019/10/22/RESOLUCAO_153.pdf" TargetMode="External"/><Relationship Id="rId33" Type="http://schemas.openxmlformats.org/officeDocument/2006/relationships/hyperlink" Target="https://dpu.def.br/images/stories/Infoleg/2019/10/22/RESOLUCAO_153.pdf" TargetMode="External"/><Relationship Id="rId38" Type="http://schemas.openxmlformats.org/officeDocument/2006/relationships/hyperlink" Target="https://dpu.def.br/images/stories/Infoleg/2019/10/22/RESOLUCAO_153.pdf"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pu.def.br/images/stories/Infoleg/2019/10/22/RESOLUCAO_153.pdf" TargetMode="External"/><Relationship Id="rId20" Type="http://schemas.openxmlformats.org/officeDocument/2006/relationships/hyperlink" Target="https://dpu.def.br/images/stories/Infoleg/2019/10/22/RESOLUCAO_153.pdf" TargetMode="External"/><Relationship Id="rId29" Type="http://schemas.openxmlformats.org/officeDocument/2006/relationships/hyperlink" Target="https://dpu.def.br/images/stories/Infoleg/2019/10/22/RESOLUCAO_153.pdf" TargetMode="External"/><Relationship Id="rId41" Type="http://schemas.openxmlformats.org/officeDocument/2006/relationships/hyperlink" Target="https://dpu.def.br/images/stories/Infoleg/2019/10/22/RESOLUCAO_153.pdf" TargetMode="External"/><Relationship Id="rId1" Type="http://schemas.openxmlformats.org/officeDocument/2006/relationships/numbering" Target="numbering.xml"/><Relationship Id="rId6" Type="http://schemas.openxmlformats.org/officeDocument/2006/relationships/hyperlink" Target="https://dpu.def.br/images/stories/Infoleg/2019/10/22/RESOLUCAO_153.pdf" TargetMode="External"/><Relationship Id="rId11" Type="http://schemas.openxmlformats.org/officeDocument/2006/relationships/hyperlink" Target="https://dpu.def.br/images/stories/Infoleg/2019/10/22/RESOLUCAO_153.pdf" TargetMode="External"/><Relationship Id="rId24" Type="http://schemas.openxmlformats.org/officeDocument/2006/relationships/hyperlink" Target="https://dpu.def.br/images/stories/Infoleg/2019/10/22/RESOLUCAO_153.pdf" TargetMode="External"/><Relationship Id="rId32" Type="http://schemas.openxmlformats.org/officeDocument/2006/relationships/hyperlink" Target="https://dpu.def.br/images/stories/Infoleg/2019/10/22/RESOLUCAO_153.pdf" TargetMode="External"/><Relationship Id="rId37" Type="http://schemas.openxmlformats.org/officeDocument/2006/relationships/hyperlink" Target="https://dpu.def.br/images/stories/Infoleg/2019/10/22/RESOLUCAO_153.pdf" TargetMode="External"/><Relationship Id="rId40" Type="http://schemas.openxmlformats.org/officeDocument/2006/relationships/hyperlink" Target="https://dpu.def.br/images/stories/Infoleg/2019/10/22/RESOLUCAO_153.pdf" TargetMode="External"/><Relationship Id="rId45" Type="http://schemas.openxmlformats.org/officeDocument/2006/relationships/fontTable" Target="fontTable.xml"/><Relationship Id="rId5" Type="http://schemas.openxmlformats.org/officeDocument/2006/relationships/hyperlink" Target="https://dpu.def.br/images/stories/Infoleg/2019/10/22/RESOLUCAO_153.pdf" TargetMode="External"/><Relationship Id="rId15" Type="http://schemas.openxmlformats.org/officeDocument/2006/relationships/hyperlink" Target="https://dpu.def.br/images/stories/Infoleg/2019/10/22/RESOLUCAO_153.pdf" TargetMode="External"/><Relationship Id="rId23" Type="http://schemas.openxmlformats.org/officeDocument/2006/relationships/hyperlink" Target="https://dpu.def.br/images/stories/Infoleg/2019/10/22/RESOLUCAO_153.pdf" TargetMode="External"/><Relationship Id="rId28" Type="http://schemas.openxmlformats.org/officeDocument/2006/relationships/hyperlink" Target="https://dpu.def.br/images/stories/Infoleg/2019/10/22/RESOLUCAO_153.pdf" TargetMode="External"/><Relationship Id="rId36" Type="http://schemas.openxmlformats.org/officeDocument/2006/relationships/hyperlink" Target="https://dpu.def.br/images/stories/Infoleg/2019/10/22/RESOLUCAO_153.pdf" TargetMode="External"/><Relationship Id="rId10" Type="http://schemas.openxmlformats.org/officeDocument/2006/relationships/hyperlink" Target="https://dpu.def.br/images/stories/Infoleg/2019/10/22/RESOLUCAO_153.pdf" TargetMode="External"/><Relationship Id="rId19" Type="http://schemas.openxmlformats.org/officeDocument/2006/relationships/hyperlink" Target="https://dpu.def.br/images/stories/Infoleg/2019/10/22/RESOLUCAO_153.pdf" TargetMode="External"/><Relationship Id="rId31" Type="http://schemas.openxmlformats.org/officeDocument/2006/relationships/hyperlink" Target="https://dpu.def.br/images/stories/Infoleg/2019/10/22/RESOLUCAO_153.pdf" TargetMode="External"/><Relationship Id="rId44" Type="http://schemas.openxmlformats.org/officeDocument/2006/relationships/hyperlink" Target="https://dpu.def.br/images/stories/Infoleg/2019/10/22/RESOLUCAO_153.pdf" TargetMode="External"/><Relationship Id="rId4" Type="http://schemas.openxmlformats.org/officeDocument/2006/relationships/webSettings" Target="webSettings.xml"/><Relationship Id="rId9" Type="http://schemas.openxmlformats.org/officeDocument/2006/relationships/hyperlink" Target="https://dpu.def.br/images/stories/Infoleg/2019/10/22/RESOLUCAO_153.pdf" TargetMode="External"/><Relationship Id="rId14" Type="http://schemas.openxmlformats.org/officeDocument/2006/relationships/hyperlink" Target="https://dpu.def.br/images/stories/Infoleg/2019/10/22/RESOLUCAO_153.pdf" TargetMode="External"/><Relationship Id="rId22" Type="http://schemas.openxmlformats.org/officeDocument/2006/relationships/hyperlink" Target="https://dpu.def.br/images/stories/Infoleg/2019/10/22/RESOLUCAO_153.pdf" TargetMode="External"/><Relationship Id="rId27" Type="http://schemas.openxmlformats.org/officeDocument/2006/relationships/hyperlink" Target="https://dpu.def.br/images/stories/Infoleg/2019/10/22/RESOLUCAO_153.pdf" TargetMode="External"/><Relationship Id="rId30" Type="http://schemas.openxmlformats.org/officeDocument/2006/relationships/hyperlink" Target="https://dpu.def.br/images/stories/Infoleg/2019/10/22/RESOLUCAO_153.pdf" TargetMode="External"/><Relationship Id="rId35" Type="http://schemas.openxmlformats.org/officeDocument/2006/relationships/hyperlink" Target="https://dpu.def.br/images/stories/Infoleg/2019/10/22/RESOLUCAO_153.pdf" TargetMode="External"/><Relationship Id="rId43" Type="http://schemas.openxmlformats.org/officeDocument/2006/relationships/hyperlink" Target="https://dpu.def.br/images/stories/Infoleg/2019/10/22/RESOLUCAO_153.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4735</Words>
  <Characters>25571</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2021-12-30T19:08:00Z</dcterms:created>
  <dcterms:modified xsi:type="dcterms:W3CDTF">2021-12-30T20:11:00Z</dcterms:modified>
</cp:coreProperties>
</file>