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6D76C" w14:textId="0A93C583" w:rsidR="008724AF" w:rsidRPr="008724AF" w:rsidRDefault="008724AF" w:rsidP="008724A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8724AF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7E1A6C">
        <w:rPr>
          <w:rFonts w:ascii="Book Antiqua" w:hAnsi="Book Antiqua"/>
          <w:b/>
          <w:bCs/>
          <w:color w:val="FF0000"/>
          <w:sz w:val="19"/>
          <w:szCs w:val="19"/>
        </w:rPr>
        <w:t>30</w:t>
      </w:r>
      <w:r w:rsidR="000E5162">
        <w:rPr>
          <w:rFonts w:ascii="Book Antiqua" w:hAnsi="Book Antiqua"/>
          <w:b/>
          <w:bCs/>
          <w:color w:val="FF0000"/>
          <w:sz w:val="19"/>
          <w:szCs w:val="19"/>
        </w:rPr>
        <w:t>/0</w:t>
      </w:r>
      <w:r w:rsidR="0068635E">
        <w:rPr>
          <w:rFonts w:ascii="Book Antiqua" w:hAnsi="Book Antiqua"/>
          <w:b/>
          <w:bCs/>
          <w:color w:val="FF0000"/>
          <w:sz w:val="19"/>
          <w:szCs w:val="19"/>
        </w:rPr>
        <w:t>8</w:t>
      </w:r>
      <w:r w:rsidRPr="008724AF">
        <w:rPr>
          <w:rFonts w:ascii="Book Antiqua" w:hAnsi="Book Antiqua"/>
          <w:b/>
          <w:bCs/>
          <w:color w:val="FF0000"/>
          <w:sz w:val="19"/>
          <w:szCs w:val="19"/>
        </w:rPr>
        <w:t>/2021: questões de concurso)</w:t>
      </w:r>
    </w:p>
    <w:p w14:paraId="23BFDD20" w14:textId="4A26AE43" w:rsidR="000E0220" w:rsidRDefault="000E0220" w:rsidP="008724AF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</w:t>
      </w:r>
      <w:r w:rsidR="0068635E">
        <w:rPr>
          <w:rFonts w:ascii="Book Antiqua" w:hAnsi="Book Antiqua"/>
          <w:b/>
          <w:bCs/>
          <w:sz w:val="19"/>
          <w:szCs w:val="19"/>
        </w:rPr>
        <w:t>AP-2021-CESPE</w:t>
      </w:r>
      <w:r>
        <w:rPr>
          <w:rFonts w:ascii="Book Antiqua" w:hAnsi="Book Antiqua"/>
          <w:b/>
          <w:bCs/>
          <w:sz w:val="19"/>
          <w:szCs w:val="19"/>
        </w:rPr>
        <w:t>)</w:t>
      </w:r>
      <w:r>
        <w:rPr>
          <w:rFonts w:ascii="Book Antiqua" w:hAnsi="Book Antiqua"/>
          <w:sz w:val="19"/>
          <w:szCs w:val="19"/>
        </w:rPr>
        <w:t xml:space="preserve">: </w:t>
      </w:r>
      <w:r w:rsidR="0068635E" w:rsidRPr="0068635E">
        <w:rPr>
          <w:rFonts w:ascii="Book Antiqua" w:hAnsi="Book Antiqua"/>
          <w:sz w:val="19"/>
          <w:szCs w:val="19"/>
        </w:rPr>
        <w:t>Os órgãos de execução do Ministério Público do Estado do Amapá incluem</w:t>
      </w:r>
      <w:r w:rsidR="0068635E">
        <w:rPr>
          <w:rFonts w:ascii="Book Antiqua" w:hAnsi="Book Antiqua"/>
          <w:sz w:val="19"/>
          <w:szCs w:val="19"/>
        </w:rPr>
        <w:t xml:space="preserve"> </w:t>
      </w:r>
      <w:r w:rsidR="0068635E" w:rsidRPr="0068635E">
        <w:rPr>
          <w:rFonts w:ascii="Book Antiqua" w:hAnsi="Book Antiqua"/>
          <w:sz w:val="19"/>
          <w:szCs w:val="19"/>
        </w:rPr>
        <w:t>os grupos especializados de atuação funcional.</w:t>
      </w:r>
      <w:r>
        <w:rPr>
          <w:rFonts w:ascii="Book Antiqua" w:hAnsi="Book Antiqua"/>
          <w:sz w:val="19"/>
          <w:szCs w:val="19"/>
        </w:rPr>
        <w:t xml:space="preserve">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BL: art. </w:t>
      </w:r>
      <w:r w:rsidR="0068635E">
        <w:rPr>
          <w:rFonts w:ascii="Book Antiqua" w:hAnsi="Book Antiqua"/>
          <w:b/>
          <w:bCs/>
          <w:sz w:val="19"/>
          <w:szCs w:val="19"/>
        </w:rPr>
        <w:t>8</w:t>
      </w:r>
      <w:r>
        <w:rPr>
          <w:rFonts w:ascii="Book Antiqua" w:hAnsi="Book Antiqua"/>
          <w:b/>
          <w:bCs/>
          <w:sz w:val="19"/>
          <w:szCs w:val="19"/>
        </w:rPr>
        <w:t xml:space="preserve">º,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LC </w:t>
      </w:r>
      <w:r w:rsidR="0068635E">
        <w:rPr>
          <w:rFonts w:ascii="Book Antiqua" w:hAnsi="Book Antiqua"/>
          <w:b/>
          <w:bCs/>
          <w:sz w:val="19"/>
          <w:szCs w:val="19"/>
        </w:rPr>
        <w:t>79</w:t>
      </w:r>
      <w:r w:rsidRPr="006E3789">
        <w:rPr>
          <w:rFonts w:ascii="Book Antiqua" w:hAnsi="Book Antiqua"/>
          <w:b/>
          <w:bCs/>
          <w:sz w:val="19"/>
          <w:szCs w:val="19"/>
        </w:rPr>
        <w:t>.</w:t>
      </w:r>
    </w:p>
    <w:p w14:paraId="260A687D" w14:textId="53856DB6" w:rsidR="000E0220" w:rsidRDefault="000E0220" w:rsidP="008724AF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6E3789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E3789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Vide art. </w:t>
      </w:r>
      <w:r w:rsidR="0068635E">
        <w:rPr>
          <w:rFonts w:ascii="Book Antiqua" w:hAnsi="Book Antiqua"/>
          <w:sz w:val="19"/>
          <w:szCs w:val="19"/>
        </w:rPr>
        <w:t>8º</w:t>
      </w:r>
      <w:r>
        <w:rPr>
          <w:rFonts w:ascii="Book Antiqua" w:hAnsi="Book Antiqua"/>
          <w:sz w:val="19"/>
          <w:szCs w:val="19"/>
        </w:rPr>
        <w:t xml:space="preserve"> da LC 85:</w:t>
      </w:r>
    </w:p>
    <w:p w14:paraId="235EDCE2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Art. 8º São Órgãos de Execução do Ministério Público:</w:t>
      </w:r>
    </w:p>
    <w:p w14:paraId="57D358EB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I - o Procurador-Geral de Justiça;</w:t>
      </w:r>
    </w:p>
    <w:p w14:paraId="4388E7D3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II - o Conselho Superior do Ministério Público;</w:t>
      </w:r>
    </w:p>
    <w:p w14:paraId="03EC43CC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III - os Procuradores de Justiça;</w:t>
      </w:r>
    </w:p>
    <w:p w14:paraId="6555F50F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IV - os Promotores de Justiça;</w:t>
      </w:r>
    </w:p>
    <w:p w14:paraId="0019348B" w14:textId="6F31D8AC" w:rsidR="000E0220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 xml:space="preserve">V - os </w:t>
      </w:r>
      <w:r w:rsidRPr="0068635E">
        <w:rPr>
          <w:rFonts w:ascii="Book Antiqua" w:hAnsi="Book Antiqua"/>
          <w:b/>
          <w:bCs/>
          <w:sz w:val="19"/>
          <w:szCs w:val="19"/>
          <w:highlight w:val="yellow"/>
        </w:rPr>
        <w:t>Grupos Especializados de Atuação Funcional</w:t>
      </w:r>
      <w:r w:rsidRPr="0068635E">
        <w:rPr>
          <w:rFonts w:ascii="Book Antiqua" w:hAnsi="Book Antiqua"/>
          <w:sz w:val="19"/>
          <w:szCs w:val="19"/>
        </w:rPr>
        <w:t>.</w:t>
      </w:r>
    </w:p>
    <w:p w14:paraId="39C43643" w14:textId="37626901" w:rsidR="0068635E" w:rsidRDefault="0068635E" w:rsidP="0068635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55631BD6" w14:textId="5D2C06A6" w:rsidR="0068635E" w:rsidRDefault="0068635E" w:rsidP="0068635E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6E3789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E3789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Na mesma questão cobraram os órgãos auxiliares do MPAP, previstos no art. 9º da LC 79 (destaque em amarelo):</w:t>
      </w:r>
    </w:p>
    <w:p w14:paraId="126EAA3C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Art. 9º São Órgãos Auxiliares do Ministério Público:</w:t>
      </w:r>
    </w:p>
    <w:p w14:paraId="3A858508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 xml:space="preserve">I - as </w:t>
      </w:r>
      <w:proofErr w:type="spellStart"/>
      <w:r w:rsidRPr="0068635E">
        <w:rPr>
          <w:rFonts w:ascii="Book Antiqua" w:hAnsi="Book Antiqua"/>
          <w:sz w:val="19"/>
          <w:szCs w:val="19"/>
        </w:rPr>
        <w:t>Subprocuradorias</w:t>
      </w:r>
      <w:proofErr w:type="spellEnd"/>
      <w:r w:rsidRPr="0068635E">
        <w:rPr>
          <w:rFonts w:ascii="Book Antiqua" w:hAnsi="Book Antiqua"/>
          <w:sz w:val="19"/>
          <w:szCs w:val="19"/>
        </w:rPr>
        <w:t>-Gerais de Justiça;</w:t>
      </w:r>
    </w:p>
    <w:p w14:paraId="2F4D5774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 xml:space="preserve">II - a </w:t>
      </w:r>
      <w:proofErr w:type="spellStart"/>
      <w:r w:rsidRPr="0068635E">
        <w:rPr>
          <w:rFonts w:ascii="Book Antiqua" w:hAnsi="Book Antiqua"/>
          <w:b/>
          <w:bCs/>
          <w:sz w:val="19"/>
          <w:szCs w:val="19"/>
          <w:highlight w:val="yellow"/>
        </w:rPr>
        <w:t>Secretaria-Geral</w:t>
      </w:r>
      <w:proofErr w:type="spellEnd"/>
      <w:r w:rsidRPr="0068635E">
        <w:rPr>
          <w:rFonts w:ascii="Book Antiqua" w:hAnsi="Book Antiqua"/>
          <w:b/>
          <w:bCs/>
          <w:sz w:val="19"/>
          <w:szCs w:val="19"/>
          <w:highlight w:val="yellow"/>
        </w:rPr>
        <w:t xml:space="preserve"> do Ministério Público</w:t>
      </w:r>
      <w:r w:rsidRPr="0068635E">
        <w:rPr>
          <w:rFonts w:ascii="Book Antiqua" w:hAnsi="Book Antiqua"/>
          <w:sz w:val="19"/>
          <w:szCs w:val="19"/>
        </w:rPr>
        <w:t>;</w:t>
      </w:r>
    </w:p>
    <w:p w14:paraId="4520C4EC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III - a Secretaria do Gabinete do Procurador-Geral de Justiça;</w:t>
      </w:r>
    </w:p>
    <w:p w14:paraId="152F6C07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 xml:space="preserve">IV - os </w:t>
      </w:r>
      <w:r w:rsidRPr="0068635E">
        <w:rPr>
          <w:rFonts w:ascii="Book Antiqua" w:hAnsi="Book Antiqua"/>
          <w:b/>
          <w:bCs/>
          <w:sz w:val="19"/>
          <w:szCs w:val="19"/>
          <w:highlight w:val="yellow"/>
        </w:rPr>
        <w:t>Centros de Apoio Operacional</w:t>
      </w:r>
      <w:r w:rsidRPr="0068635E">
        <w:rPr>
          <w:rFonts w:ascii="Book Antiqua" w:hAnsi="Book Antiqua"/>
          <w:sz w:val="19"/>
          <w:szCs w:val="19"/>
        </w:rPr>
        <w:t>;</w:t>
      </w:r>
    </w:p>
    <w:p w14:paraId="574FF74C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V - a Comissão de Concurso;</w:t>
      </w:r>
    </w:p>
    <w:p w14:paraId="31CF05A3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 xml:space="preserve">VI - o </w:t>
      </w:r>
      <w:r w:rsidRPr="0068635E">
        <w:rPr>
          <w:rFonts w:ascii="Book Antiqua" w:hAnsi="Book Antiqua"/>
          <w:b/>
          <w:bCs/>
          <w:sz w:val="19"/>
          <w:szCs w:val="19"/>
          <w:highlight w:val="yellow"/>
        </w:rPr>
        <w:t>Centro de Estudos e Aperfeiçoamento Funcional</w:t>
      </w:r>
      <w:r w:rsidRPr="0068635E">
        <w:rPr>
          <w:rFonts w:ascii="Book Antiqua" w:hAnsi="Book Antiqua"/>
          <w:sz w:val="19"/>
          <w:szCs w:val="19"/>
        </w:rPr>
        <w:t>;</w:t>
      </w:r>
    </w:p>
    <w:p w14:paraId="4336B202" w14:textId="7092119B" w:rsid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VII - as Coordenadorias das Procuradorias de Justiça</w:t>
      </w:r>
      <w:r>
        <w:rPr>
          <w:rFonts w:ascii="Book Antiqua" w:hAnsi="Book Antiqua"/>
          <w:sz w:val="19"/>
          <w:szCs w:val="19"/>
        </w:rPr>
        <w:t>;</w:t>
      </w:r>
    </w:p>
    <w:p w14:paraId="4607407E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 xml:space="preserve">VIII - as </w:t>
      </w:r>
      <w:r w:rsidRPr="0068635E">
        <w:rPr>
          <w:rFonts w:ascii="Book Antiqua" w:hAnsi="Book Antiqua"/>
          <w:b/>
          <w:bCs/>
          <w:sz w:val="19"/>
          <w:szCs w:val="19"/>
          <w:highlight w:val="yellow"/>
        </w:rPr>
        <w:t>Coordenadorias das Promotorias de Justiça</w:t>
      </w:r>
      <w:r w:rsidRPr="0068635E">
        <w:rPr>
          <w:rFonts w:ascii="Book Antiqua" w:hAnsi="Book Antiqua"/>
          <w:sz w:val="19"/>
          <w:szCs w:val="19"/>
        </w:rPr>
        <w:t>;</w:t>
      </w:r>
    </w:p>
    <w:p w14:paraId="1F41FBC4" w14:textId="77777777" w:rsidR="0068635E" w:rsidRP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IX - os Órgãos de apoio técnico, jurídico e administrativo;</w:t>
      </w:r>
    </w:p>
    <w:p w14:paraId="2EBA5A66" w14:textId="25EF0832" w:rsidR="0068635E" w:rsidRDefault="0068635E" w:rsidP="0068635E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8635E">
        <w:rPr>
          <w:rFonts w:ascii="Book Antiqua" w:hAnsi="Book Antiqua"/>
          <w:sz w:val="19"/>
          <w:szCs w:val="19"/>
        </w:rPr>
        <w:t>X - os Estagiários.</w:t>
      </w:r>
    </w:p>
    <w:p w14:paraId="5E1A3F2D" w14:textId="2FF69976" w:rsidR="006E208C" w:rsidRDefault="006E208C" w:rsidP="006E208C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573CD163" w14:textId="7F586D9A" w:rsidR="006E208C" w:rsidRDefault="006E208C" w:rsidP="006E208C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(MPAP-2021-CESPE)</w:t>
      </w:r>
      <w:r>
        <w:rPr>
          <w:rFonts w:ascii="Book Antiqua" w:hAnsi="Book Antiqua"/>
          <w:sz w:val="19"/>
          <w:szCs w:val="19"/>
        </w:rPr>
        <w:t xml:space="preserve">: </w:t>
      </w:r>
      <w:r w:rsidRPr="006E208C">
        <w:rPr>
          <w:rFonts w:ascii="Book Antiqua" w:hAnsi="Book Antiqua"/>
          <w:sz w:val="19"/>
          <w:szCs w:val="19"/>
        </w:rPr>
        <w:t>No âmbito do Ministério Público do Estado do Amapá, a promoção de arquivamento de inquérito civil será apreciada</w:t>
      </w:r>
      <w:r>
        <w:rPr>
          <w:rFonts w:ascii="Book Antiqua" w:hAnsi="Book Antiqua"/>
          <w:sz w:val="19"/>
          <w:szCs w:val="19"/>
        </w:rPr>
        <w:t xml:space="preserve"> </w:t>
      </w:r>
      <w:r w:rsidRPr="006E208C">
        <w:rPr>
          <w:rFonts w:ascii="Book Antiqua" w:hAnsi="Book Antiqua"/>
          <w:sz w:val="19"/>
          <w:szCs w:val="19"/>
        </w:rPr>
        <w:t>pelo Conselho Superior.</w:t>
      </w:r>
      <w:r>
        <w:rPr>
          <w:rFonts w:ascii="Book Antiqua" w:hAnsi="Book Antiqua"/>
          <w:sz w:val="19"/>
          <w:szCs w:val="19"/>
        </w:rPr>
        <w:t xml:space="preserve">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BL: art. </w:t>
      </w:r>
      <w:r>
        <w:rPr>
          <w:rFonts w:ascii="Book Antiqua" w:hAnsi="Book Antiqua"/>
          <w:b/>
          <w:bCs/>
          <w:sz w:val="19"/>
          <w:szCs w:val="19"/>
        </w:rPr>
        <w:t xml:space="preserve">30,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LC </w:t>
      </w:r>
      <w:r>
        <w:rPr>
          <w:rFonts w:ascii="Book Antiqua" w:hAnsi="Book Antiqua"/>
          <w:b/>
          <w:bCs/>
          <w:sz w:val="19"/>
          <w:szCs w:val="19"/>
        </w:rPr>
        <w:t>79</w:t>
      </w:r>
      <w:r w:rsidRPr="006E3789">
        <w:rPr>
          <w:rFonts w:ascii="Book Antiqua" w:hAnsi="Book Antiqua"/>
          <w:b/>
          <w:bCs/>
          <w:sz w:val="19"/>
          <w:szCs w:val="19"/>
        </w:rPr>
        <w:t>.</w:t>
      </w:r>
    </w:p>
    <w:p w14:paraId="2269FDDD" w14:textId="2F2D14C0" w:rsidR="006E208C" w:rsidRDefault="006E208C" w:rsidP="006E208C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6E3789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E3789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Vide art. 30 da LC 85:</w:t>
      </w:r>
    </w:p>
    <w:p w14:paraId="7BAF581E" w14:textId="77777777" w:rsidR="006E208C" w:rsidRPr="006E208C" w:rsidRDefault="006E208C" w:rsidP="006E208C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E208C">
        <w:rPr>
          <w:rFonts w:ascii="Book Antiqua" w:hAnsi="Book Antiqua"/>
          <w:sz w:val="19"/>
          <w:szCs w:val="19"/>
        </w:rPr>
        <w:t>Do Conselho Superior do Ministério Público</w:t>
      </w:r>
    </w:p>
    <w:p w14:paraId="6F81C8B0" w14:textId="45F71FFA" w:rsidR="006E208C" w:rsidRDefault="006E208C" w:rsidP="006E208C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6E208C">
        <w:rPr>
          <w:rFonts w:ascii="Book Antiqua" w:hAnsi="Book Antiqua"/>
          <w:sz w:val="19"/>
          <w:szCs w:val="19"/>
        </w:rPr>
        <w:lastRenderedPageBreak/>
        <w:t xml:space="preserve">Art. 30. Cabe ao </w:t>
      </w:r>
      <w:r w:rsidRPr="006E208C">
        <w:rPr>
          <w:rFonts w:ascii="Book Antiqua" w:hAnsi="Book Antiqua"/>
          <w:b/>
          <w:bCs/>
          <w:sz w:val="19"/>
          <w:szCs w:val="19"/>
          <w:highlight w:val="yellow"/>
        </w:rPr>
        <w:t>Conselho Superior do Ministério Público</w:t>
      </w:r>
      <w:r w:rsidRPr="006E208C">
        <w:rPr>
          <w:rFonts w:ascii="Book Antiqua" w:hAnsi="Book Antiqua"/>
          <w:sz w:val="19"/>
          <w:szCs w:val="19"/>
        </w:rPr>
        <w:t xml:space="preserve"> rever o arquivamento de inquérito civil, na forma da lei.</w:t>
      </w:r>
    </w:p>
    <w:p w14:paraId="34929CBA" w14:textId="77935C6A" w:rsidR="007E1A6C" w:rsidRDefault="007E1A6C" w:rsidP="007E1A6C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0FC30E97" w14:textId="0E49BB6C" w:rsidR="007E1A6C" w:rsidRDefault="007E1A6C" w:rsidP="007E1A6C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(MPAP-2021-CESPE)</w:t>
      </w:r>
      <w:r>
        <w:rPr>
          <w:rFonts w:ascii="Book Antiqua" w:hAnsi="Book Antiqua"/>
          <w:sz w:val="19"/>
          <w:szCs w:val="19"/>
        </w:rPr>
        <w:t xml:space="preserve">: </w:t>
      </w:r>
      <w:r w:rsidRPr="007E1A6C">
        <w:rPr>
          <w:rFonts w:ascii="Book Antiqua" w:hAnsi="Book Antiqua"/>
          <w:sz w:val="19"/>
          <w:szCs w:val="19"/>
        </w:rPr>
        <w:t>A autorização para membro do Ministério Público do Estado do Amapá se afastar do estado compete ao</w:t>
      </w:r>
      <w:r>
        <w:rPr>
          <w:rFonts w:ascii="Book Antiqua" w:hAnsi="Book Antiqua"/>
          <w:sz w:val="19"/>
          <w:szCs w:val="19"/>
        </w:rPr>
        <w:t xml:space="preserve"> </w:t>
      </w:r>
      <w:r w:rsidRPr="007E1A6C">
        <w:rPr>
          <w:rFonts w:ascii="Book Antiqua" w:hAnsi="Book Antiqua"/>
          <w:sz w:val="19"/>
          <w:szCs w:val="19"/>
        </w:rPr>
        <w:t>procurador-geral de justiça do estado.</w:t>
      </w:r>
      <w:r>
        <w:rPr>
          <w:rFonts w:ascii="Book Antiqua" w:hAnsi="Book Antiqua"/>
          <w:sz w:val="19"/>
          <w:szCs w:val="19"/>
        </w:rPr>
        <w:t xml:space="preserve">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BL: art. </w:t>
      </w:r>
      <w:r>
        <w:rPr>
          <w:rFonts w:ascii="Book Antiqua" w:hAnsi="Book Antiqua"/>
          <w:b/>
          <w:bCs/>
          <w:sz w:val="19"/>
          <w:szCs w:val="19"/>
        </w:rPr>
        <w:t xml:space="preserve">120, XI,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LC </w:t>
      </w:r>
      <w:r>
        <w:rPr>
          <w:rFonts w:ascii="Book Antiqua" w:hAnsi="Book Antiqua"/>
          <w:b/>
          <w:bCs/>
          <w:sz w:val="19"/>
          <w:szCs w:val="19"/>
        </w:rPr>
        <w:t>79</w:t>
      </w:r>
      <w:r w:rsidRPr="006E3789">
        <w:rPr>
          <w:rFonts w:ascii="Book Antiqua" w:hAnsi="Book Antiqua"/>
          <w:b/>
          <w:bCs/>
          <w:sz w:val="19"/>
          <w:szCs w:val="19"/>
        </w:rPr>
        <w:t>.</w:t>
      </w:r>
    </w:p>
    <w:p w14:paraId="49136623" w14:textId="460A6D42" w:rsidR="007E1A6C" w:rsidRDefault="007E1A6C" w:rsidP="007E1A6C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6E3789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E3789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Vide art. 120, XI da LC 85:</w:t>
      </w:r>
    </w:p>
    <w:p w14:paraId="40106FE0" w14:textId="77777777" w:rsidR="007E1A6C" w:rsidRPr="007E1A6C" w:rsidRDefault="007E1A6C" w:rsidP="007E1A6C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7E1A6C">
        <w:rPr>
          <w:rFonts w:ascii="Book Antiqua" w:hAnsi="Book Antiqua"/>
          <w:sz w:val="19"/>
          <w:szCs w:val="19"/>
        </w:rPr>
        <w:t>Art. 120. O Membro do Ministério Público deverá manter conduta irrepreensível nos atos de sua vida pública e privada, velando por sua respeitabilidade pessoal, pela dignidade do seu cargo e pelo prestígio da Instituição, incumbindo-lhe, especialmente:</w:t>
      </w:r>
    </w:p>
    <w:p w14:paraId="6B4D4E55" w14:textId="3B34B811" w:rsidR="007E1A6C" w:rsidRDefault="007E1A6C" w:rsidP="007E1A6C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7E1A6C">
        <w:rPr>
          <w:rFonts w:ascii="Book Antiqua" w:hAnsi="Book Antiqua"/>
          <w:sz w:val="19"/>
          <w:szCs w:val="19"/>
        </w:rPr>
        <w:t>XI - residir na sede do Juízo junto ao qual servir, salvo autorização do Procurador-Geral de Justiça;</w:t>
      </w:r>
    </w:p>
    <w:p w14:paraId="70862583" w14:textId="6559FB6A" w:rsidR="002406F7" w:rsidRDefault="002406F7" w:rsidP="002406F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0013FF40" w14:textId="286CA224" w:rsidR="002406F7" w:rsidRDefault="002406F7" w:rsidP="002406F7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(MPAP-2021-CESPE)</w:t>
      </w:r>
      <w:r>
        <w:rPr>
          <w:rFonts w:ascii="Book Antiqua" w:hAnsi="Book Antiqua"/>
          <w:sz w:val="19"/>
          <w:szCs w:val="19"/>
        </w:rPr>
        <w:t xml:space="preserve">: </w:t>
      </w:r>
      <w:r w:rsidRPr="002406F7">
        <w:rPr>
          <w:rFonts w:ascii="Book Antiqua" w:hAnsi="Book Antiqua"/>
          <w:sz w:val="19"/>
          <w:szCs w:val="19"/>
        </w:rPr>
        <w:t>A crítica pública e desrespeitosa a órgão do Ministério Público do Estado do Amapá feita por qualquer de seus membros é uma conduta incompatível com o exercício do cargo e</w:t>
      </w:r>
      <w:r>
        <w:rPr>
          <w:rFonts w:ascii="Book Antiqua" w:hAnsi="Book Antiqua"/>
          <w:sz w:val="19"/>
          <w:szCs w:val="19"/>
        </w:rPr>
        <w:t xml:space="preserve"> </w:t>
      </w:r>
      <w:r w:rsidRPr="002406F7">
        <w:rPr>
          <w:rFonts w:ascii="Book Antiqua" w:hAnsi="Book Antiqua"/>
          <w:sz w:val="19"/>
          <w:szCs w:val="19"/>
        </w:rPr>
        <w:t>punível com censura.</w:t>
      </w:r>
      <w:r>
        <w:rPr>
          <w:rFonts w:ascii="Book Antiqua" w:hAnsi="Book Antiqua"/>
          <w:sz w:val="19"/>
          <w:szCs w:val="19"/>
        </w:rPr>
        <w:t xml:space="preserve">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BL: art. </w:t>
      </w:r>
      <w:r>
        <w:rPr>
          <w:rFonts w:ascii="Book Antiqua" w:hAnsi="Book Antiqua"/>
          <w:b/>
          <w:bCs/>
          <w:sz w:val="19"/>
          <w:szCs w:val="19"/>
        </w:rPr>
        <w:t>1</w:t>
      </w:r>
      <w:r>
        <w:rPr>
          <w:rFonts w:ascii="Book Antiqua" w:hAnsi="Book Antiqua"/>
          <w:b/>
          <w:bCs/>
          <w:sz w:val="19"/>
          <w:szCs w:val="19"/>
        </w:rPr>
        <w:t xml:space="preserve">59, </w:t>
      </w:r>
      <w:r>
        <w:rPr>
          <w:rFonts w:ascii="Book Antiqua" w:hAnsi="Book Antiqua"/>
          <w:b/>
          <w:bCs/>
          <w:i/>
          <w:iCs/>
          <w:sz w:val="19"/>
          <w:szCs w:val="19"/>
        </w:rPr>
        <w:t>caput</w:t>
      </w:r>
      <w:r>
        <w:rPr>
          <w:rFonts w:ascii="Book Antiqua" w:hAnsi="Book Antiqua"/>
          <w:b/>
          <w:bCs/>
          <w:sz w:val="19"/>
          <w:szCs w:val="19"/>
        </w:rPr>
        <w:t xml:space="preserve"> V e §1º, “d” c/c</w:t>
      </w:r>
      <w:r>
        <w:rPr>
          <w:rFonts w:ascii="Book Antiqua" w:hAnsi="Book Antiqua"/>
          <w:b/>
          <w:bCs/>
          <w:sz w:val="19"/>
          <w:szCs w:val="19"/>
        </w:rPr>
        <w:t xml:space="preserve">, </w:t>
      </w:r>
      <w:r>
        <w:rPr>
          <w:rFonts w:ascii="Book Antiqua" w:hAnsi="Book Antiqua"/>
          <w:b/>
          <w:bCs/>
          <w:sz w:val="19"/>
          <w:szCs w:val="19"/>
        </w:rPr>
        <w:t>art. 161, II</w:t>
      </w:r>
      <w:r>
        <w:rPr>
          <w:rFonts w:ascii="Book Antiqua" w:hAnsi="Book Antiqua"/>
          <w:b/>
          <w:bCs/>
          <w:sz w:val="19"/>
          <w:szCs w:val="19"/>
        </w:rPr>
        <w:t xml:space="preserve">, </w:t>
      </w:r>
      <w:r w:rsidRPr="006E3789">
        <w:rPr>
          <w:rFonts w:ascii="Book Antiqua" w:hAnsi="Book Antiqua"/>
          <w:b/>
          <w:bCs/>
          <w:sz w:val="19"/>
          <w:szCs w:val="19"/>
        </w:rPr>
        <w:t xml:space="preserve">LC </w:t>
      </w:r>
      <w:r>
        <w:rPr>
          <w:rFonts w:ascii="Book Antiqua" w:hAnsi="Book Antiqua"/>
          <w:b/>
          <w:bCs/>
          <w:sz w:val="19"/>
          <w:szCs w:val="19"/>
        </w:rPr>
        <w:t>79</w:t>
      </w:r>
      <w:r w:rsidRPr="006E3789">
        <w:rPr>
          <w:rFonts w:ascii="Book Antiqua" w:hAnsi="Book Antiqua"/>
          <w:b/>
          <w:bCs/>
          <w:sz w:val="19"/>
          <w:szCs w:val="19"/>
        </w:rPr>
        <w:t>.</w:t>
      </w:r>
    </w:p>
    <w:p w14:paraId="1A33DC32" w14:textId="77777777" w:rsidR="002406F7" w:rsidRDefault="002406F7" w:rsidP="002406F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6E3789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6E3789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Vide art. 120, XI da LC 85:</w:t>
      </w:r>
    </w:p>
    <w:p w14:paraId="43D529A1" w14:textId="77777777" w:rsidR="002406F7" w:rsidRPr="002406F7" w:rsidRDefault="002406F7" w:rsidP="002406F7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2406F7">
        <w:rPr>
          <w:rFonts w:ascii="Book Antiqua" w:hAnsi="Book Antiqua"/>
          <w:sz w:val="19"/>
          <w:szCs w:val="19"/>
        </w:rPr>
        <w:t>Art. 159 - São infrações disciplinares: [...]</w:t>
      </w:r>
    </w:p>
    <w:p w14:paraId="77016AFF" w14:textId="17D90A3D" w:rsidR="002406F7" w:rsidRPr="002406F7" w:rsidRDefault="002406F7" w:rsidP="002406F7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2406F7">
        <w:rPr>
          <w:rFonts w:ascii="Book Antiqua" w:hAnsi="Book Antiqua"/>
          <w:sz w:val="19"/>
          <w:szCs w:val="19"/>
        </w:rPr>
        <w:t>V - conduta incompatível com o exercício do cargo;</w:t>
      </w:r>
      <w:r>
        <w:rPr>
          <w:rFonts w:ascii="Book Antiqua" w:hAnsi="Book Antiqua"/>
          <w:sz w:val="19"/>
          <w:szCs w:val="19"/>
        </w:rPr>
        <w:t xml:space="preserve"> </w:t>
      </w:r>
      <w:r w:rsidRPr="002406F7">
        <w:rPr>
          <w:rFonts w:ascii="Book Antiqua" w:hAnsi="Book Antiqua"/>
          <w:sz w:val="19"/>
          <w:szCs w:val="19"/>
        </w:rPr>
        <w:t>[...]</w:t>
      </w:r>
    </w:p>
    <w:p w14:paraId="24081172" w14:textId="77777777" w:rsidR="002406F7" w:rsidRPr="002406F7" w:rsidRDefault="002406F7" w:rsidP="002406F7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2406F7">
        <w:rPr>
          <w:rFonts w:ascii="Book Antiqua" w:hAnsi="Book Antiqua"/>
          <w:sz w:val="19"/>
          <w:szCs w:val="19"/>
        </w:rPr>
        <w:t xml:space="preserve">§ 1° Considera-se </w:t>
      </w:r>
      <w:r w:rsidRPr="002406F7">
        <w:rPr>
          <w:rFonts w:ascii="Book Antiqua" w:hAnsi="Book Antiqua"/>
          <w:b/>
          <w:bCs/>
          <w:sz w:val="19"/>
          <w:szCs w:val="19"/>
          <w:highlight w:val="cyan"/>
        </w:rPr>
        <w:t>conduta incompatível com o exercício do cargo</w:t>
      </w:r>
      <w:r w:rsidRPr="002406F7">
        <w:rPr>
          <w:rFonts w:ascii="Book Antiqua" w:hAnsi="Book Antiqua"/>
          <w:sz w:val="19"/>
          <w:szCs w:val="19"/>
        </w:rPr>
        <w:t>: [...]</w:t>
      </w:r>
    </w:p>
    <w:p w14:paraId="529AEF12" w14:textId="434CF6AA" w:rsidR="002406F7" w:rsidRPr="002406F7" w:rsidRDefault="002406F7" w:rsidP="002406F7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2406F7">
        <w:rPr>
          <w:rFonts w:ascii="Book Antiqua" w:hAnsi="Book Antiqua"/>
          <w:sz w:val="19"/>
          <w:szCs w:val="19"/>
        </w:rPr>
        <w:t xml:space="preserve">d) </w:t>
      </w:r>
      <w:r w:rsidRPr="002406F7">
        <w:rPr>
          <w:rFonts w:ascii="Book Antiqua" w:hAnsi="Book Antiqua"/>
          <w:b/>
          <w:bCs/>
          <w:sz w:val="19"/>
          <w:szCs w:val="19"/>
          <w:highlight w:val="yellow"/>
        </w:rPr>
        <w:t>crítica pública e desrespeitosa a órgão da Instituição</w:t>
      </w:r>
      <w:r w:rsidRPr="002406F7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1CD26FA4" w14:textId="77777777" w:rsidR="002406F7" w:rsidRPr="002406F7" w:rsidRDefault="002406F7" w:rsidP="002406F7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</w:p>
    <w:p w14:paraId="5DAB6F89" w14:textId="77777777" w:rsidR="002406F7" w:rsidRDefault="002406F7" w:rsidP="002406F7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2406F7">
        <w:rPr>
          <w:rFonts w:ascii="Book Antiqua" w:hAnsi="Book Antiqua"/>
          <w:sz w:val="19"/>
          <w:szCs w:val="19"/>
        </w:rPr>
        <w:t xml:space="preserve">Art. 161. As penas serão aplicadas da seguinte forma:[...] </w:t>
      </w:r>
    </w:p>
    <w:p w14:paraId="7285C927" w14:textId="09CE4ACB" w:rsidR="002406F7" w:rsidRDefault="002406F7" w:rsidP="002406F7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2406F7">
        <w:rPr>
          <w:rFonts w:ascii="Book Antiqua" w:hAnsi="Book Antiqua"/>
          <w:sz w:val="19"/>
          <w:szCs w:val="19"/>
        </w:rPr>
        <w:t xml:space="preserve">II - </w:t>
      </w:r>
      <w:r w:rsidRPr="002406F7">
        <w:rPr>
          <w:rFonts w:ascii="Book Antiqua" w:hAnsi="Book Antiqua"/>
          <w:b/>
          <w:bCs/>
          <w:sz w:val="19"/>
          <w:szCs w:val="19"/>
          <w:highlight w:val="cyan"/>
        </w:rPr>
        <w:t>censura</w:t>
      </w:r>
      <w:r w:rsidRPr="002406F7">
        <w:rPr>
          <w:rFonts w:ascii="Book Antiqua" w:hAnsi="Book Antiqua"/>
          <w:sz w:val="19"/>
          <w:szCs w:val="19"/>
        </w:rPr>
        <w:t xml:space="preserve">, nos casos dos </w:t>
      </w:r>
      <w:r w:rsidRPr="002406F7">
        <w:rPr>
          <w:rFonts w:ascii="Book Antiqua" w:hAnsi="Book Antiqua"/>
          <w:b/>
          <w:bCs/>
          <w:sz w:val="19"/>
          <w:szCs w:val="19"/>
          <w:highlight w:val="yellow"/>
        </w:rPr>
        <w:t>incisos III a VII do artigo 159</w:t>
      </w:r>
      <w:r w:rsidRPr="002406F7">
        <w:rPr>
          <w:rFonts w:ascii="Book Antiqua" w:hAnsi="Book Antiqua"/>
          <w:sz w:val="19"/>
          <w:szCs w:val="19"/>
        </w:rPr>
        <w:t>;</w:t>
      </w:r>
    </w:p>
    <w:p w14:paraId="480EEFD8" w14:textId="77777777" w:rsidR="002406F7" w:rsidRDefault="002406F7" w:rsidP="002406F7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2406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E302D" w14:textId="77777777" w:rsidR="00DD4F6E" w:rsidRDefault="00DD4F6E" w:rsidP="000B144F">
      <w:pPr>
        <w:spacing w:after="0" w:line="240" w:lineRule="auto"/>
      </w:pPr>
      <w:r>
        <w:separator/>
      </w:r>
    </w:p>
  </w:endnote>
  <w:endnote w:type="continuationSeparator" w:id="0">
    <w:p w14:paraId="444CAE03" w14:textId="77777777" w:rsidR="00DD4F6E" w:rsidRDefault="00DD4F6E" w:rsidP="000B1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96A5E" w14:textId="77777777" w:rsidR="00DD4F6E" w:rsidRDefault="00DD4F6E" w:rsidP="000B144F">
      <w:pPr>
        <w:spacing w:after="0" w:line="240" w:lineRule="auto"/>
      </w:pPr>
      <w:r>
        <w:separator/>
      </w:r>
    </w:p>
  </w:footnote>
  <w:footnote w:type="continuationSeparator" w:id="0">
    <w:p w14:paraId="64D126E6" w14:textId="77777777" w:rsidR="00DD4F6E" w:rsidRDefault="00DD4F6E" w:rsidP="000B14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FC"/>
    <w:rsid w:val="000B144F"/>
    <w:rsid w:val="000E0220"/>
    <w:rsid w:val="000E06CA"/>
    <w:rsid w:val="000E5162"/>
    <w:rsid w:val="001A57E7"/>
    <w:rsid w:val="00202D04"/>
    <w:rsid w:val="002406F7"/>
    <w:rsid w:val="003332A0"/>
    <w:rsid w:val="00335A7C"/>
    <w:rsid w:val="003E1906"/>
    <w:rsid w:val="00401B3E"/>
    <w:rsid w:val="005125A6"/>
    <w:rsid w:val="0068635E"/>
    <w:rsid w:val="006E208C"/>
    <w:rsid w:val="006E3789"/>
    <w:rsid w:val="007E1A6C"/>
    <w:rsid w:val="008218A4"/>
    <w:rsid w:val="008724AF"/>
    <w:rsid w:val="008E0F0D"/>
    <w:rsid w:val="00A72EFC"/>
    <w:rsid w:val="00CE17DE"/>
    <w:rsid w:val="00D52AD6"/>
    <w:rsid w:val="00DD4F6E"/>
    <w:rsid w:val="00E03745"/>
    <w:rsid w:val="00E1230B"/>
    <w:rsid w:val="00E86BB9"/>
    <w:rsid w:val="00F812C6"/>
    <w:rsid w:val="00FF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089BE"/>
  <w15:chartTrackingRefBased/>
  <w15:docId w15:val="{E6FB876E-93A7-42B9-8F17-95499EE1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144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144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14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83346-2DB3-4244-A787-389876240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15</cp:revision>
  <dcterms:created xsi:type="dcterms:W3CDTF">2021-03-07T16:36:00Z</dcterms:created>
  <dcterms:modified xsi:type="dcterms:W3CDTF">2021-09-06T18:53:00Z</dcterms:modified>
</cp:coreProperties>
</file>