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A1B0C7" w14:textId="4B9FEA0F" w:rsidR="00C42399" w:rsidRDefault="00C42399" w:rsidP="008704BF">
      <w:pPr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(MPGO-2019)</w:t>
      </w:r>
      <w:r>
        <w:rPr>
          <w:rFonts w:ascii="Book Antiqua" w:hAnsi="Book Antiqua"/>
          <w:sz w:val="19"/>
          <w:szCs w:val="19"/>
        </w:rPr>
        <w:t xml:space="preserve">: </w:t>
      </w:r>
      <w:r w:rsidRPr="00C42399">
        <w:rPr>
          <w:rFonts w:ascii="Book Antiqua" w:hAnsi="Book Antiqua"/>
          <w:sz w:val="19"/>
          <w:szCs w:val="19"/>
        </w:rPr>
        <w:t>Sobre a notícia de fato criminal e a investigação criminal realizada diretamente pelo Ministério Público, assinale a alternativa correta:</w:t>
      </w:r>
      <w:r>
        <w:rPr>
          <w:rFonts w:ascii="Book Antiqua" w:hAnsi="Book Antiqua"/>
          <w:sz w:val="19"/>
          <w:szCs w:val="19"/>
        </w:rPr>
        <w:t xml:space="preserve"> </w:t>
      </w:r>
      <w:r w:rsidRPr="00C42399">
        <w:rPr>
          <w:rFonts w:ascii="Book Antiqua" w:hAnsi="Book Antiqua"/>
          <w:sz w:val="19"/>
          <w:szCs w:val="19"/>
        </w:rPr>
        <w:t>Nos termos da Resolução n. 07/2018 do Colégio de Procuradores de Justiça do MPGO, a notícia de fato criminal é qualquer demanda extrajudicial contendo a narrativa de conduta configuradora de infração penal, ao menos em tese, submetida à apreciação do Promotor de Justiça com atribuição criminal, o qual poderá, dentre outras hipóteses, promover a ação penal cabível, instaurar procedimento de investigação criminal ou mesmo, se for o caso, promover seu arquivamento, no âmbito do próprio órgão ministerial, mediante decisão fundamentada. Neste caso, deve o noticiante (autor da notícia de fato criminal) ser cientificado da decisão de arquivamento, podendo, caso queira, interpor recurso administrativo no prazo de dez dias.</w:t>
      </w:r>
      <w:r w:rsidRPr="00C42399">
        <w:rPr>
          <w:rFonts w:ascii="Book Antiqua" w:hAnsi="Book Antiqua"/>
          <w:b/>
          <w:bCs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sz w:val="19"/>
          <w:szCs w:val="19"/>
        </w:rPr>
        <w:t xml:space="preserve">BL: </w:t>
      </w:r>
      <w:proofErr w:type="spellStart"/>
      <w:r>
        <w:rPr>
          <w:rFonts w:ascii="Book Antiqua" w:hAnsi="Book Antiqua"/>
          <w:b/>
          <w:bCs/>
          <w:sz w:val="19"/>
          <w:szCs w:val="19"/>
        </w:rPr>
        <w:t>art</w:t>
      </w:r>
      <w:r>
        <w:rPr>
          <w:rFonts w:ascii="Book Antiqua" w:hAnsi="Book Antiqua"/>
          <w:b/>
          <w:bCs/>
          <w:sz w:val="19"/>
          <w:szCs w:val="19"/>
        </w:rPr>
        <w:t>s</w:t>
      </w:r>
      <w:proofErr w:type="spellEnd"/>
      <w:r>
        <w:rPr>
          <w:rFonts w:ascii="Book Antiqua" w:hAnsi="Book Antiqua"/>
          <w:b/>
          <w:bCs/>
          <w:sz w:val="19"/>
          <w:szCs w:val="19"/>
        </w:rPr>
        <w:t>. 2</w:t>
      </w:r>
      <w:r>
        <w:rPr>
          <w:rFonts w:ascii="Book Antiqua" w:hAnsi="Book Antiqua"/>
          <w:b/>
          <w:bCs/>
          <w:sz w:val="19"/>
          <w:szCs w:val="19"/>
        </w:rPr>
        <w:t xml:space="preserve">º </w:t>
      </w:r>
      <w:r>
        <w:rPr>
          <w:rFonts w:ascii="Book Antiqua" w:hAnsi="Book Antiqua"/>
          <w:b/>
          <w:bCs/>
          <w:i/>
          <w:iCs/>
          <w:sz w:val="19"/>
          <w:szCs w:val="19"/>
        </w:rPr>
        <w:t>caput</w:t>
      </w:r>
      <w:r>
        <w:rPr>
          <w:rFonts w:ascii="Book Antiqua" w:hAnsi="Book Antiqua"/>
          <w:b/>
          <w:bCs/>
          <w:sz w:val="19"/>
          <w:szCs w:val="19"/>
        </w:rPr>
        <w:t xml:space="preserve"> c/c art. 5º, I, II e IV c/c art. 7º, </w:t>
      </w:r>
      <w:r>
        <w:rPr>
          <w:rFonts w:ascii="Book Antiqua" w:hAnsi="Book Antiqua"/>
          <w:b/>
          <w:bCs/>
          <w:i/>
          <w:iCs/>
          <w:sz w:val="19"/>
          <w:szCs w:val="19"/>
        </w:rPr>
        <w:t>caput</w:t>
      </w:r>
      <w:r>
        <w:rPr>
          <w:rFonts w:ascii="Book Antiqua" w:hAnsi="Book Antiqua"/>
          <w:b/>
          <w:bCs/>
          <w:sz w:val="19"/>
          <w:szCs w:val="19"/>
        </w:rPr>
        <w:t xml:space="preserve">, </w:t>
      </w:r>
      <w:r>
        <w:rPr>
          <w:rFonts w:ascii="Book Antiqua" w:hAnsi="Book Antiqua"/>
          <w:b/>
          <w:bCs/>
          <w:sz w:val="19"/>
          <w:szCs w:val="19"/>
        </w:rPr>
        <w:t xml:space="preserve"> Res. 07/18.</w:t>
      </w:r>
    </w:p>
    <w:p w14:paraId="017ED0AA" w14:textId="17486B66" w:rsidR="00C42399" w:rsidRPr="00C42399" w:rsidRDefault="00C42399" w:rsidP="00C42399">
      <w:pPr>
        <w:jc w:val="both"/>
        <w:rPr>
          <w:rFonts w:ascii="Book Antiqua" w:hAnsi="Book Antiqua"/>
          <w:i/>
          <w:iCs/>
          <w:sz w:val="19"/>
          <w:szCs w:val="19"/>
        </w:rPr>
      </w:pPr>
      <w:r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Vide </w:t>
      </w:r>
      <w:proofErr w:type="spellStart"/>
      <w:r>
        <w:rPr>
          <w:rFonts w:ascii="Book Antiqua" w:hAnsi="Book Antiqua"/>
          <w:sz w:val="19"/>
          <w:szCs w:val="19"/>
        </w:rPr>
        <w:t>arts</w:t>
      </w:r>
      <w:proofErr w:type="spellEnd"/>
      <w:r>
        <w:rPr>
          <w:rFonts w:ascii="Book Antiqua" w:hAnsi="Book Antiqua"/>
          <w:sz w:val="19"/>
          <w:szCs w:val="19"/>
        </w:rPr>
        <w:t xml:space="preserve">. 2º e 5º da Res. 07/18: </w:t>
      </w:r>
      <w:r w:rsidRPr="00C42399">
        <w:rPr>
          <w:rFonts w:ascii="Book Antiqua" w:hAnsi="Book Antiqua"/>
          <w:i/>
          <w:iCs/>
          <w:sz w:val="19"/>
          <w:szCs w:val="19"/>
        </w:rPr>
        <w:t>“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Art. 2º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Notícia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de fato de natureza criminal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é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qualquer demanda extrajudicial contendo a narrativa de conduta configuradora de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infração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penal, ao menos em tese, submetida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à apreciação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dos membros do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Ministério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Público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, nos limites de suas respectivas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atribuições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criminais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. </w:t>
      </w:r>
      <w:r w:rsidRPr="00C42399">
        <w:rPr>
          <w:rFonts w:ascii="Book Antiqua" w:hAnsi="Book Antiqua"/>
          <w:i/>
          <w:iCs/>
          <w:sz w:val="19"/>
          <w:szCs w:val="19"/>
        </w:rPr>
        <w:t>Parágrafo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ú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nico. A </w:t>
      </w:r>
      <w:r w:rsidRPr="00C42399">
        <w:rPr>
          <w:rFonts w:ascii="Book Antiqua" w:hAnsi="Book Antiqua"/>
          <w:i/>
          <w:iCs/>
          <w:sz w:val="19"/>
          <w:szCs w:val="19"/>
        </w:rPr>
        <w:t>notícia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fato poder</w:t>
      </w:r>
      <w:r w:rsidRPr="00C42399">
        <w:rPr>
          <w:rFonts w:ascii="Book Antiqua" w:hAnsi="Book Antiqua"/>
          <w:i/>
          <w:iCs/>
          <w:sz w:val="19"/>
          <w:szCs w:val="19"/>
        </w:rPr>
        <w:t>á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ser formulada presencialmente ou </w:t>
      </w:r>
      <w:r w:rsidRPr="00C42399">
        <w:rPr>
          <w:rFonts w:ascii="Book Antiqua" w:hAnsi="Book Antiqua"/>
          <w:i/>
          <w:iCs/>
          <w:sz w:val="19"/>
          <w:szCs w:val="19"/>
        </w:rPr>
        <w:t>não</w:t>
      </w:r>
      <w:r w:rsidRPr="00C42399">
        <w:rPr>
          <w:rFonts w:ascii="Book Antiqua" w:hAnsi="Book Antiqua"/>
          <w:i/>
          <w:iCs/>
          <w:sz w:val="19"/>
          <w:szCs w:val="19"/>
        </w:rPr>
        <w:t>,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entendendo-se como tal aquela obtida com a </w:t>
      </w:r>
      <w:r w:rsidRPr="00C42399">
        <w:rPr>
          <w:rFonts w:ascii="Book Antiqua" w:hAnsi="Book Antiqua"/>
          <w:i/>
          <w:iCs/>
          <w:sz w:val="19"/>
          <w:szCs w:val="19"/>
        </w:rPr>
        <w:t>realização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atendimentos, o recebimento de </w:t>
      </w:r>
      <w:r w:rsidRPr="00C42399">
        <w:rPr>
          <w:rFonts w:ascii="Book Antiqua" w:hAnsi="Book Antiqua"/>
          <w:i/>
          <w:iCs/>
          <w:sz w:val="19"/>
          <w:szCs w:val="19"/>
        </w:rPr>
        <w:t>notícias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, </w:t>
      </w:r>
      <w:r w:rsidRPr="00C42399">
        <w:rPr>
          <w:rFonts w:ascii="Book Antiqua" w:hAnsi="Book Antiqua"/>
          <w:i/>
          <w:iCs/>
          <w:sz w:val="19"/>
          <w:szCs w:val="19"/>
        </w:rPr>
        <w:t>peças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</w:t>
      </w:r>
      <w:r w:rsidRPr="00C42399">
        <w:rPr>
          <w:rFonts w:ascii="Book Antiqua" w:hAnsi="Book Antiqua"/>
          <w:i/>
          <w:iCs/>
          <w:sz w:val="19"/>
          <w:szCs w:val="19"/>
        </w:rPr>
        <w:t>informação</w:t>
      </w:r>
      <w:r w:rsidRPr="00C42399">
        <w:rPr>
          <w:rFonts w:ascii="Book Antiqua" w:hAnsi="Book Antiqua"/>
          <w:i/>
          <w:iCs/>
          <w:sz w:val="19"/>
          <w:szCs w:val="19"/>
        </w:rPr>
        <w:t>, documentos, representa</w:t>
      </w:r>
      <w:r w:rsidRPr="00C42399">
        <w:rPr>
          <w:rFonts w:ascii="Book Antiqua" w:hAnsi="Book Antiqua"/>
          <w:i/>
          <w:iCs/>
          <w:sz w:val="19"/>
          <w:szCs w:val="19"/>
        </w:rPr>
        <w:t>ções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ou requerimentos dirigidos </w:t>
      </w:r>
      <w:r w:rsidRPr="00C42399">
        <w:rPr>
          <w:rFonts w:ascii="Book Antiqua" w:hAnsi="Book Antiqua"/>
          <w:i/>
          <w:iCs/>
          <w:sz w:val="19"/>
          <w:szCs w:val="19"/>
        </w:rPr>
        <w:t>à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atividade</w:t>
      </w:r>
      <w:r w:rsidRPr="00C42399">
        <w:rPr>
          <w:rFonts w:ascii="Book Antiqua" w:hAnsi="Book Antiqua"/>
          <w:i/>
          <w:iCs/>
          <w:sz w:val="19"/>
          <w:szCs w:val="19"/>
        </w:rPr>
        <w:t>-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fim do </w:t>
      </w:r>
      <w:r w:rsidRPr="00C42399">
        <w:rPr>
          <w:rFonts w:ascii="Book Antiqua" w:hAnsi="Book Antiqua"/>
          <w:i/>
          <w:iCs/>
          <w:sz w:val="19"/>
          <w:szCs w:val="19"/>
        </w:rPr>
        <w:t>Ministério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Público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na </w:t>
      </w:r>
      <w:r w:rsidRPr="00C42399">
        <w:rPr>
          <w:rFonts w:ascii="Book Antiqua" w:hAnsi="Book Antiqua"/>
          <w:i/>
          <w:iCs/>
          <w:sz w:val="19"/>
          <w:szCs w:val="19"/>
        </w:rPr>
        <w:t>área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criminal</w:t>
      </w:r>
      <w:r w:rsidRPr="00C42399">
        <w:rPr>
          <w:rFonts w:ascii="Book Antiqua" w:hAnsi="Book Antiqua"/>
          <w:i/>
          <w:iCs/>
          <w:sz w:val="19"/>
          <w:szCs w:val="19"/>
        </w:rPr>
        <w:t>. (...)” “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Art. 5º Em poder de qualquer </w:t>
      </w:r>
      <w:r w:rsidRPr="00C42399">
        <w:rPr>
          <w:rFonts w:ascii="Book Antiqua" w:hAnsi="Book Antiqua"/>
          <w:i/>
          <w:iCs/>
          <w:sz w:val="19"/>
          <w:szCs w:val="19"/>
        </w:rPr>
        <w:t>notícia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fato de natureza criminal, o membro do </w:t>
      </w:r>
      <w:r w:rsidRPr="00C42399">
        <w:rPr>
          <w:rFonts w:ascii="Book Antiqua" w:hAnsi="Book Antiqua"/>
          <w:i/>
          <w:iCs/>
          <w:sz w:val="19"/>
          <w:szCs w:val="19"/>
        </w:rPr>
        <w:t>Ministério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Público</w:t>
      </w:r>
      <w:r w:rsidRPr="00C42399">
        <w:rPr>
          <w:rFonts w:ascii="Book Antiqua" w:hAnsi="Book Antiqua"/>
          <w:i/>
          <w:iCs/>
          <w:sz w:val="19"/>
          <w:szCs w:val="19"/>
        </w:rPr>
        <w:t>: I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-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promover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a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ação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penal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cabível</w:t>
      </w:r>
      <w:r w:rsidRPr="00C42399">
        <w:rPr>
          <w:rFonts w:ascii="Book Antiqua" w:hAnsi="Book Antiqua"/>
          <w:i/>
          <w:iCs/>
          <w:sz w:val="19"/>
          <w:szCs w:val="19"/>
        </w:rPr>
        <w:t>; II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-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i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nstaurar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procedimento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investigatório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criminal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; III 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- </w:t>
      </w:r>
      <w:r w:rsidRPr="00C42399">
        <w:rPr>
          <w:rFonts w:ascii="Book Antiqua" w:hAnsi="Book Antiqua"/>
          <w:i/>
          <w:iCs/>
          <w:sz w:val="19"/>
          <w:szCs w:val="19"/>
        </w:rPr>
        <w:t>a encaminhar</w:t>
      </w:r>
      <w:r w:rsidRPr="00C42399">
        <w:rPr>
          <w:rFonts w:ascii="Book Antiqua" w:hAnsi="Book Antiqua"/>
          <w:i/>
          <w:iCs/>
          <w:sz w:val="19"/>
          <w:szCs w:val="19"/>
        </w:rPr>
        <w:t>á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para o Juizado Especial Criminal, se a </w:t>
      </w:r>
      <w:r w:rsidRPr="00C42399">
        <w:rPr>
          <w:rFonts w:ascii="Book Antiqua" w:hAnsi="Book Antiqua"/>
          <w:i/>
          <w:iCs/>
          <w:sz w:val="19"/>
          <w:szCs w:val="19"/>
        </w:rPr>
        <w:t>infração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for de menor potencial ofensivo; IV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-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promover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o seu arquivamento, mediante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decisão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fundamentada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; V </w:t>
      </w:r>
      <w:r w:rsidRPr="00C42399">
        <w:rPr>
          <w:rFonts w:ascii="Book Antiqua" w:hAnsi="Book Antiqua"/>
          <w:i/>
          <w:iCs/>
          <w:sz w:val="19"/>
          <w:szCs w:val="19"/>
        </w:rPr>
        <w:t>-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requisitar</w:t>
      </w:r>
      <w:r w:rsidRPr="00C42399">
        <w:rPr>
          <w:rFonts w:ascii="Book Antiqua" w:hAnsi="Book Antiqua"/>
          <w:i/>
          <w:iCs/>
          <w:sz w:val="19"/>
          <w:szCs w:val="19"/>
        </w:rPr>
        <w:t>á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a </w:t>
      </w:r>
      <w:r w:rsidRPr="00C42399">
        <w:rPr>
          <w:rFonts w:ascii="Book Antiqua" w:hAnsi="Book Antiqua"/>
          <w:i/>
          <w:iCs/>
          <w:sz w:val="19"/>
          <w:szCs w:val="19"/>
        </w:rPr>
        <w:t>instauração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</w:t>
      </w:r>
      <w:r w:rsidRPr="00C42399">
        <w:rPr>
          <w:rFonts w:ascii="Book Antiqua" w:hAnsi="Book Antiqua"/>
          <w:i/>
          <w:iCs/>
          <w:sz w:val="19"/>
          <w:szCs w:val="19"/>
        </w:rPr>
        <w:t>inquérito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policial.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(...)” “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Art. 7º No caso de arquivamento realizado nos termos do artigo anterior, o noticiante ser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cientificado da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decisão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, da qual caber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recurso administrativo que dever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ser interposto no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prazo de 10 (dez) dias, j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á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 xml:space="preserve"> acompanhado das respectivas </w:t>
      </w:r>
      <w:r w:rsidRPr="00C42399">
        <w:rPr>
          <w:rFonts w:ascii="Book Antiqua" w:hAnsi="Book Antiqua"/>
          <w:b/>
          <w:bCs/>
          <w:i/>
          <w:iCs/>
          <w:sz w:val="19"/>
          <w:szCs w:val="19"/>
          <w:highlight w:val="yellow"/>
        </w:rPr>
        <w:t>razões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. </w:t>
      </w:r>
      <w:r w:rsidRPr="00C42399">
        <w:rPr>
          <w:rFonts w:ascii="Book Antiqua" w:hAnsi="Book Antiqua"/>
          <w:i/>
          <w:iCs/>
          <w:sz w:val="19"/>
          <w:szCs w:val="19"/>
        </w:rPr>
        <w:t>§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1º A cientific</w:t>
      </w:r>
      <w:r w:rsidRPr="00C42399">
        <w:rPr>
          <w:rFonts w:ascii="Book Antiqua" w:hAnsi="Book Antiqua"/>
          <w:i/>
          <w:iCs/>
          <w:sz w:val="19"/>
          <w:szCs w:val="19"/>
        </w:rPr>
        <w:t>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ser</w:t>
      </w:r>
      <w:r w:rsidRPr="00C42399">
        <w:rPr>
          <w:rFonts w:ascii="Book Antiqua" w:hAnsi="Book Antiqua"/>
          <w:i/>
          <w:iCs/>
          <w:sz w:val="19"/>
          <w:szCs w:val="19"/>
        </w:rPr>
        <w:t>á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realizada, preferencialmente, por meio </w:t>
      </w:r>
      <w:r w:rsidRPr="00C42399">
        <w:rPr>
          <w:rFonts w:ascii="Book Antiqua" w:hAnsi="Book Antiqua"/>
          <w:i/>
          <w:iCs/>
          <w:sz w:val="19"/>
          <w:szCs w:val="19"/>
        </w:rPr>
        <w:t>eletrônico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, podendo ser </w:t>
      </w:r>
      <w:r w:rsidRPr="00C42399">
        <w:rPr>
          <w:rFonts w:ascii="Book Antiqua" w:hAnsi="Book Antiqua"/>
          <w:i/>
          <w:iCs/>
          <w:sz w:val="19"/>
          <w:szCs w:val="19"/>
        </w:rPr>
        <w:t>também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efetivada por carta com aviso de recebimento, </w:t>
      </w:r>
      <w:r w:rsidRPr="00C42399">
        <w:rPr>
          <w:rFonts w:ascii="Book Antiqua" w:hAnsi="Book Antiqua"/>
          <w:i/>
          <w:iCs/>
          <w:sz w:val="19"/>
          <w:szCs w:val="19"/>
        </w:rPr>
        <w:t>notificação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pessoal ou, na </w:t>
      </w:r>
      <w:r w:rsidRPr="00C42399">
        <w:rPr>
          <w:rFonts w:ascii="Book Antiqua" w:hAnsi="Book Antiqua"/>
          <w:i/>
          <w:iCs/>
          <w:sz w:val="19"/>
          <w:szCs w:val="19"/>
        </w:rPr>
        <w:t>hipótese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n</w:t>
      </w:r>
      <w:r w:rsidRPr="00C42399">
        <w:rPr>
          <w:rFonts w:ascii="Book Antiqua" w:hAnsi="Book Antiqua"/>
          <w:i/>
          <w:iCs/>
          <w:sz w:val="19"/>
          <w:szCs w:val="19"/>
        </w:rPr>
        <w:t>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localização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, por </w:t>
      </w:r>
      <w:r w:rsidRPr="00C42399">
        <w:rPr>
          <w:rFonts w:ascii="Book Antiqua" w:hAnsi="Book Antiqua"/>
          <w:i/>
          <w:iCs/>
          <w:sz w:val="19"/>
          <w:szCs w:val="19"/>
        </w:rPr>
        <w:t>publicação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no </w:t>
      </w:r>
      <w:r w:rsidRPr="00C42399">
        <w:rPr>
          <w:rFonts w:ascii="Book Antiqua" w:hAnsi="Book Antiqua"/>
          <w:i/>
          <w:iCs/>
          <w:sz w:val="19"/>
          <w:szCs w:val="19"/>
        </w:rPr>
        <w:t>Diário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Oficial do </w:t>
      </w:r>
      <w:r w:rsidRPr="00C42399">
        <w:rPr>
          <w:rFonts w:ascii="Book Antiqua" w:hAnsi="Book Antiqua"/>
          <w:i/>
          <w:iCs/>
          <w:sz w:val="19"/>
          <w:szCs w:val="19"/>
        </w:rPr>
        <w:t>Ministério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Público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-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DOMP. </w:t>
      </w:r>
      <w:r w:rsidRPr="00C42399">
        <w:rPr>
          <w:rFonts w:ascii="Book Antiqua" w:hAnsi="Book Antiqua"/>
          <w:i/>
          <w:iCs/>
          <w:sz w:val="19"/>
          <w:szCs w:val="19"/>
        </w:rPr>
        <w:t>§</w:t>
      </w:r>
      <w:r w:rsidRPr="00C42399">
        <w:rPr>
          <w:rFonts w:ascii="Book Antiqua" w:hAnsi="Book Antiqua"/>
          <w:i/>
          <w:iCs/>
          <w:sz w:val="19"/>
          <w:szCs w:val="19"/>
        </w:rPr>
        <w:t>2º A cientifica</w:t>
      </w:r>
      <w:r w:rsidRPr="00C42399">
        <w:rPr>
          <w:rFonts w:ascii="Book Antiqua" w:hAnsi="Book Antiqua"/>
          <w:i/>
          <w:iCs/>
          <w:sz w:val="19"/>
          <w:szCs w:val="19"/>
        </w:rPr>
        <w:t>ção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é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facultativa no caso de a </w:t>
      </w:r>
      <w:r w:rsidRPr="00C42399">
        <w:rPr>
          <w:rFonts w:ascii="Book Antiqua" w:hAnsi="Book Antiqua"/>
          <w:i/>
          <w:iCs/>
          <w:sz w:val="19"/>
          <w:szCs w:val="19"/>
        </w:rPr>
        <w:t>notícia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de fato ter sido encaminhada ao </w:t>
      </w:r>
      <w:r w:rsidRPr="00C42399">
        <w:rPr>
          <w:rFonts w:ascii="Book Antiqua" w:hAnsi="Book Antiqua"/>
          <w:i/>
          <w:iCs/>
          <w:sz w:val="19"/>
          <w:szCs w:val="19"/>
        </w:rPr>
        <w:t>Ministério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</w:t>
      </w:r>
      <w:r w:rsidRPr="00C42399">
        <w:rPr>
          <w:rFonts w:ascii="Book Antiqua" w:hAnsi="Book Antiqua"/>
          <w:i/>
          <w:iCs/>
          <w:sz w:val="19"/>
          <w:szCs w:val="19"/>
        </w:rPr>
        <w:t>Público</w:t>
      </w:r>
      <w:r w:rsidRPr="00C42399">
        <w:rPr>
          <w:rFonts w:ascii="Book Antiqua" w:hAnsi="Book Antiqua"/>
          <w:i/>
          <w:iCs/>
          <w:sz w:val="19"/>
          <w:szCs w:val="19"/>
        </w:rPr>
        <w:t xml:space="preserve"> em face de dever de </w:t>
      </w:r>
      <w:r w:rsidRPr="00C42399">
        <w:rPr>
          <w:rFonts w:ascii="Book Antiqua" w:hAnsi="Book Antiqua"/>
          <w:i/>
          <w:iCs/>
          <w:sz w:val="19"/>
          <w:szCs w:val="19"/>
        </w:rPr>
        <w:t>ofício</w:t>
      </w:r>
      <w:r w:rsidRPr="00C42399">
        <w:rPr>
          <w:rFonts w:ascii="Book Antiqua" w:hAnsi="Book Antiqua"/>
          <w:i/>
          <w:iCs/>
          <w:sz w:val="19"/>
          <w:szCs w:val="19"/>
        </w:rPr>
        <w:t>.</w:t>
      </w:r>
      <w:r w:rsidRPr="00C42399">
        <w:rPr>
          <w:rFonts w:ascii="Book Antiqua" w:hAnsi="Book Antiqua"/>
          <w:i/>
          <w:iCs/>
          <w:sz w:val="19"/>
          <w:szCs w:val="19"/>
        </w:rPr>
        <w:t>”</w:t>
      </w:r>
    </w:p>
    <w:p w14:paraId="3255E62B" w14:textId="77777777" w:rsidR="00C42399" w:rsidRDefault="00C42399" w:rsidP="008704BF">
      <w:pPr>
        <w:jc w:val="both"/>
        <w:rPr>
          <w:rFonts w:ascii="Book Antiqua" w:hAnsi="Book Antiqua"/>
          <w:b/>
          <w:bCs/>
          <w:sz w:val="19"/>
          <w:szCs w:val="19"/>
        </w:rPr>
      </w:pPr>
    </w:p>
    <w:p w14:paraId="13977DE9" w14:textId="50E312D2" w:rsidR="00C50AE0" w:rsidRDefault="008704BF" w:rsidP="008704BF">
      <w:pPr>
        <w:jc w:val="both"/>
        <w:rPr>
          <w:rFonts w:ascii="Book Antiqua" w:hAnsi="Book Antiqua"/>
          <w:b/>
          <w:bCs/>
          <w:sz w:val="19"/>
          <w:szCs w:val="19"/>
        </w:rPr>
      </w:pPr>
      <w:r>
        <w:rPr>
          <w:rFonts w:ascii="Book Antiqua" w:hAnsi="Book Antiqua"/>
          <w:b/>
          <w:bCs/>
          <w:sz w:val="19"/>
          <w:szCs w:val="19"/>
        </w:rPr>
        <w:t>(MPGO-2019)</w:t>
      </w:r>
      <w:r>
        <w:rPr>
          <w:rFonts w:ascii="Book Antiqua" w:hAnsi="Book Antiqua"/>
          <w:sz w:val="19"/>
          <w:szCs w:val="19"/>
        </w:rPr>
        <w:t xml:space="preserve">: </w:t>
      </w:r>
      <w:r w:rsidRPr="008704BF">
        <w:rPr>
          <w:rFonts w:ascii="Book Antiqua" w:hAnsi="Book Antiqua"/>
          <w:sz w:val="19"/>
          <w:szCs w:val="19"/>
        </w:rPr>
        <w:t>A respeito da Resolução n. 7/2018 do Colégio de Procuradores de Justiça do Ministério Público do Estado de Goiás, que disciplinou a notícia de fato de natureza criminal, a instauração e a tramitação do procedimento investigatório criminal no</w:t>
      </w:r>
      <w:r>
        <w:rPr>
          <w:rFonts w:ascii="Book Antiqua" w:hAnsi="Book Antiqua"/>
          <w:sz w:val="19"/>
          <w:szCs w:val="19"/>
        </w:rPr>
        <w:t xml:space="preserve"> </w:t>
      </w:r>
      <w:r w:rsidRPr="008704BF">
        <w:rPr>
          <w:rFonts w:ascii="Book Antiqua" w:hAnsi="Book Antiqua"/>
          <w:sz w:val="19"/>
          <w:szCs w:val="19"/>
        </w:rPr>
        <w:t>âmbito do MPGO, é correto afirmar:</w:t>
      </w:r>
      <w:r>
        <w:rPr>
          <w:rFonts w:ascii="Book Antiqua" w:hAnsi="Book Antiqua"/>
          <w:sz w:val="19"/>
          <w:szCs w:val="19"/>
        </w:rPr>
        <w:t xml:space="preserve"> </w:t>
      </w:r>
      <w:r w:rsidRPr="008704BF">
        <w:rPr>
          <w:rFonts w:ascii="Book Antiqua" w:hAnsi="Book Antiqua"/>
          <w:sz w:val="19"/>
          <w:szCs w:val="19"/>
        </w:rPr>
        <w:t>O procedimento investigatório criminal deverá ser concluído no prazo de 90 (noventa) dias, prorrogável pelo mesmo prazo e quantas vezes forem necessárias, por decisão fundamentada de seu presidente, à vista da imprescindibilidade da realização ou conclusão de diligências.</w:t>
      </w:r>
      <w:r>
        <w:rPr>
          <w:rFonts w:ascii="Book Antiqua" w:hAnsi="Book Antiqua"/>
          <w:sz w:val="19"/>
          <w:szCs w:val="19"/>
        </w:rPr>
        <w:t xml:space="preserve"> </w:t>
      </w:r>
      <w:r>
        <w:rPr>
          <w:rFonts w:ascii="Book Antiqua" w:hAnsi="Book Antiqua"/>
          <w:b/>
          <w:bCs/>
          <w:sz w:val="19"/>
          <w:szCs w:val="19"/>
        </w:rPr>
        <w:t>BL: art. 28, Res. 07/18.</w:t>
      </w:r>
    </w:p>
    <w:p w14:paraId="3FFC3189" w14:textId="0671DFB5" w:rsidR="008704BF" w:rsidRDefault="008704BF" w:rsidP="008704BF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>
        <w:rPr>
          <w:rFonts w:ascii="Book Antiqua" w:hAnsi="Book Antiqua"/>
          <w:sz w:val="19"/>
          <w:szCs w:val="19"/>
        </w:rPr>
        <w:t>: Vide art. 28:  “</w:t>
      </w:r>
      <w:r w:rsidRPr="008704BF">
        <w:rPr>
          <w:rFonts w:ascii="Book Antiqua" w:hAnsi="Book Antiqua"/>
          <w:i/>
          <w:iCs/>
          <w:sz w:val="19"/>
          <w:szCs w:val="19"/>
        </w:rPr>
        <w:t>Art. 28. O procedimento investigatório criminal deverá ser concluído no prazo de 90 (noventa) dias, prorrogável pelo mesmo prazo e quantas vezes forem necessárias, por decisão fundamentada de seu presidente, à vista da imprescindibilidade da realização ou conclusão de diligências. Parágrafo único. O vencimento das prorrogações de prazo terá como base a data da instauração do procedimento investigatório criminal, independentemente do dia em que foi proferido o correspondente despacho</w:t>
      </w:r>
      <w:r w:rsidRPr="008704BF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>”</w:t>
      </w:r>
    </w:p>
    <w:p w14:paraId="7261FD53" w14:textId="77777777" w:rsidR="008704BF" w:rsidRDefault="008704BF" w:rsidP="008704BF">
      <w:pPr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b/>
          <w:bCs/>
          <w:i/>
          <w:iCs/>
          <w:sz w:val="19"/>
          <w:szCs w:val="19"/>
        </w:rPr>
        <w:t>##Atenção</w:t>
      </w:r>
      <w:r>
        <w:rPr>
          <w:rFonts w:ascii="Book Antiqua" w:hAnsi="Book Antiqua"/>
          <w:sz w:val="19"/>
          <w:szCs w:val="19"/>
        </w:rPr>
        <w:t xml:space="preserve">: Vide também o art. 3º, §1º e art. 14: </w:t>
      </w:r>
    </w:p>
    <w:p w14:paraId="79DF1107" w14:textId="77777777" w:rsidR="008704BF" w:rsidRPr="008704BF" w:rsidRDefault="008704BF" w:rsidP="008704BF">
      <w:pPr>
        <w:ind w:left="1134"/>
        <w:jc w:val="both"/>
        <w:rPr>
          <w:rFonts w:ascii="Book Antiqua" w:hAnsi="Book Antiqua"/>
          <w:sz w:val="19"/>
          <w:szCs w:val="19"/>
        </w:rPr>
      </w:pPr>
      <w:r w:rsidRPr="008704BF">
        <w:rPr>
          <w:rFonts w:ascii="Book Antiqua" w:hAnsi="Book Antiqua"/>
          <w:sz w:val="19"/>
          <w:szCs w:val="19"/>
        </w:rPr>
        <w:t>Art. 3° A Notícia de fato deverá ser registrada no sistema eletrônico ATENA e distribuída livre e aleatoriamente entre os órgãos ministeriais com atribuição para apreciá-la.</w:t>
      </w:r>
    </w:p>
    <w:p w14:paraId="21F61DB9" w14:textId="28E78ABC" w:rsidR="008704BF" w:rsidRDefault="008704BF" w:rsidP="008704BF">
      <w:pPr>
        <w:ind w:left="1134"/>
        <w:jc w:val="both"/>
        <w:rPr>
          <w:rFonts w:ascii="Book Antiqua" w:hAnsi="Book Antiqua"/>
          <w:sz w:val="19"/>
          <w:szCs w:val="19"/>
        </w:rPr>
      </w:pPr>
      <w:r w:rsidRPr="008704BF">
        <w:rPr>
          <w:rFonts w:ascii="Book Antiqua" w:hAnsi="Book Antiqua"/>
          <w:sz w:val="19"/>
          <w:szCs w:val="19"/>
        </w:rPr>
        <w:t>§ 1º Ainda que iniciada de ofício ou recebida diretamente por órgão ministerial que possua atribuição concorrente, seja por meio de documento ou atendimento pessoal, a notícia de fato deverá ser encaminhada para a distribuição prevista no caput.</w:t>
      </w:r>
    </w:p>
    <w:p w14:paraId="55C21601" w14:textId="6C3F997E" w:rsidR="00CD78CB" w:rsidRDefault="00CD78CB" w:rsidP="008704BF">
      <w:pPr>
        <w:ind w:left="1134"/>
        <w:jc w:val="both"/>
        <w:rPr>
          <w:rFonts w:ascii="Book Antiqua" w:hAnsi="Book Antiqua"/>
          <w:sz w:val="19"/>
          <w:szCs w:val="19"/>
        </w:rPr>
      </w:pPr>
    </w:p>
    <w:p w14:paraId="26A5001C" w14:textId="34404DD1" w:rsidR="008704BF" w:rsidRPr="008704BF" w:rsidRDefault="008704BF" w:rsidP="008704BF">
      <w:pPr>
        <w:ind w:left="1134"/>
        <w:jc w:val="both"/>
        <w:rPr>
          <w:rFonts w:ascii="Book Antiqua" w:hAnsi="Book Antiqua"/>
          <w:sz w:val="19"/>
          <w:szCs w:val="19"/>
        </w:rPr>
      </w:pPr>
      <w:r w:rsidRPr="008704BF">
        <w:rPr>
          <w:rFonts w:ascii="Book Antiqua" w:hAnsi="Book Antiqua"/>
          <w:sz w:val="19"/>
          <w:szCs w:val="19"/>
        </w:rPr>
        <w:t xml:space="preserve">Art. 14. Eventual conflito negativo ou positivo de atribuição será suscitado nos próprios autos, fundamentadamente, e decidido pelo Procurador-Geral de Justiça, </w:t>
      </w:r>
      <w:r w:rsidRPr="00CD78CB">
        <w:rPr>
          <w:rFonts w:ascii="Book Antiqua" w:hAnsi="Book Antiqua"/>
          <w:b/>
          <w:bCs/>
          <w:sz w:val="19"/>
          <w:szCs w:val="19"/>
          <w:highlight w:val="cyan"/>
        </w:rPr>
        <w:t>no prazo máximo de 30 (trinta) dias</w:t>
      </w:r>
      <w:r w:rsidRPr="008704BF">
        <w:rPr>
          <w:rFonts w:ascii="Book Antiqua" w:hAnsi="Book Antiqua"/>
          <w:sz w:val="19"/>
          <w:szCs w:val="19"/>
        </w:rPr>
        <w:t xml:space="preserve">. </w:t>
      </w:r>
    </w:p>
    <w:p w14:paraId="23020A84" w14:textId="77777777" w:rsidR="008704BF" w:rsidRPr="008704BF" w:rsidRDefault="008704BF" w:rsidP="008704BF">
      <w:pPr>
        <w:jc w:val="both"/>
        <w:rPr>
          <w:rFonts w:ascii="Book Antiqua" w:hAnsi="Book Antiqua"/>
          <w:sz w:val="19"/>
          <w:szCs w:val="19"/>
        </w:rPr>
      </w:pPr>
    </w:p>
    <w:p w14:paraId="599FCB24" w14:textId="12B0A44B" w:rsidR="008704BF" w:rsidRDefault="008704BF" w:rsidP="008704BF">
      <w:pPr>
        <w:jc w:val="both"/>
        <w:rPr>
          <w:rFonts w:ascii="Book Antiqua" w:hAnsi="Book Antiqua"/>
          <w:sz w:val="19"/>
          <w:szCs w:val="19"/>
        </w:rPr>
      </w:pPr>
    </w:p>
    <w:p w14:paraId="62F8746F" w14:textId="77777777" w:rsidR="008704BF" w:rsidRPr="008704BF" w:rsidRDefault="008704BF" w:rsidP="008704BF">
      <w:pPr>
        <w:jc w:val="both"/>
        <w:rPr>
          <w:rFonts w:ascii="Book Antiqua" w:hAnsi="Book Antiqua"/>
          <w:sz w:val="19"/>
          <w:szCs w:val="19"/>
        </w:rPr>
      </w:pPr>
    </w:p>
    <w:p w14:paraId="7886BDB0" w14:textId="77777777" w:rsidR="008704BF" w:rsidRPr="008704BF" w:rsidRDefault="008704BF" w:rsidP="008704BF">
      <w:pPr>
        <w:jc w:val="both"/>
        <w:rPr>
          <w:rFonts w:ascii="Book Antiqua" w:hAnsi="Book Antiqua"/>
          <w:sz w:val="19"/>
          <w:szCs w:val="19"/>
        </w:rPr>
      </w:pPr>
    </w:p>
    <w:sectPr w:rsidR="008704BF" w:rsidRPr="008704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E0"/>
    <w:rsid w:val="008704BF"/>
    <w:rsid w:val="00C42399"/>
    <w:rsid w:val="00C50AE0"/>
    <w:rsid w:val="00CD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0D75"/>
  <w15:chartTrackingRefBased/>
  <w15:docId w15:val="{20C0ED11-99AC-4023-91AC-950A0431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691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4</cp:revision>
  <dcterms:created xsi:type="dcterms:W3CDTF">2021-01-28T19:16:00Z</dcterms:created>
  <dcterms:modified xsi:type="dcterms:W3CDTF">2021-03-28T18:10:00Z</dcterms:modified>
</cp:coreProperties>
</file>