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265D" w14:textId="77777777" w:rsidR="002D31C9" w:rsidRPr="004553E9" w:rsidRDefault="002D31C9" w:rsidP="002D31C9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553E9">
        <w:rPr>
          <w:rFonts w:ascii="Book Antiqua" w:hAnsi="Book Antiqua" w:cs="Times New Roman"/>
          <w:b/>
          <w:sz w:val="19"/>
          <w:szCs w:val="19"/>
        </w:rPr>
        <w:t>CRIME DE GENOCÍDIO – LEI 2.889/56.</w:t>
      </w:r>
    </w:p>
    <w:p w14:paraId="63F59021" w14:textId="77777777" w:rsidR="002D31C9" w:rsidRPr="004553E9" w:rsidRDefault="002D31C9" w:rsidP="002D31C9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553E9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EA733BA" w14:textId="77777777" w:rsidR="002D31C9" w:rsidRPr="004553E9" w:rsidRDefault="002D31C9" w:rsidP="002D31C9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4553E9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0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00"/>
      </w:tblGrid>
      <w:tr w:rsidR="002D31C9" w:rsidRPr="00E019AF" w14:paraId="78FEF4D0" w14:textId="77777777" w:rsidTr="002D31C9">
        <w:trPr>
          <w:trHeight w:hRule="exact" w:val="4028"/>
        </w:trPr>
        <w:tc>
          <w:tcPr>
            <w:tcW w:w="8500" w:type="dxa"/>
            <w:shd w:val="clear" w:color="auto" w:fill="E7E6E6" w:themeFill="background2"/>
          </w:tcPr>
          <w:p w14:paraId="4F785C6F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77EDD73" w14:textId="77777777" w:rsidR="002D31C9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902576D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54D3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29E0B17D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C05C76D" w14:textId="7498A0F5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AF020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30/06</w:t>
            </w:r>
            <w:r w:rsidR="00255BF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7C14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4C07138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5C45C45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9147E56" w14:textId="77777777" w:rsidR="002D31C9" w:rsidRPr="007C1405" w:rsidRDefault="002D31C9" w:rsidP="002D31C9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23F76B9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7BA43A4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FC1B967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2.889/56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5F2818E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3360F5F6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9C89BE3" w14:textId="77777777" w:rsidR="002D31C9" w:rsidRPr="007C1405" w:rsidRDefault="002D31C9" w:rsidP="002D31C9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0110BD0" w14:textId="77777777" w:rsidR="002D31C9" w:rsidRPr="00E019AF" w:rsidRDefault="002D31C9" w:rsidP="002D31C9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6802CFFD" w14:textId="77777777" w:rsidR="00BC53FF" w:rsidRPr="004553E9" w:rsidRDefault="00BC53FF" w:rsidP="00BC53FF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4553E9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2.889, DE 1º DE OUTUBRO DE 1956</w:t>
        </w:r>
        <w:r w:rsidRPr="004553E9">
          <w:rPr>
            <w:rFonts w:ascii="Book Antiqua" w:eastAsia="Times New Roman" w:hAnsi="Book Antiqua" w:cs="Times New Roman"/>
            <w:color w:val="000080"/>
            <w:sz w:val="19"/>
            <w:szCs w:val="19"/>
            <w:u w:val="single"/>
            <w:lang w:eastAsia="pt-BR"/>
          </w:rPr>
          <w:t>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C53FF" w:rsidRPr="002D31C9" w14:paraId="658A2ED1" w14:textId="77777777" w:rsidTr="002D31C9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EF203A3" w14:textId="77777777" w:rsidR="00BC53FF" w:rsidRPr="004553E9" w:rsidRDefault="00BC53FF" w:rsidP="00BC53F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35825F2E" w14:textId="77777777" w:rsidR="00BC53FF" w:rsidRPr="004553E9" w:rsidRDefault="00BC53FF" w:rsidP="00BC53F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553E9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e pune o crime de genocídio.</w:t>
            </w:r>
          </w:p>
        </w:tc>
      </w:tr>
    </w:tbl>
    <w:p w14:paraId="0132F03B" w14:textId="77777777" w:rsidR="00BC53FF" w:rsidRPr="004553E9" w:rsidRDefault="00BC53FF" w:rsidP="00BC53F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REPÚBLICA:</w:t>
      </w:r>
    </w:p>
    <w:p w14:paraId="1A36B4EB" w14:textId="77777777" w:rsidR="00BC53FF" w:rsidRPr="004553E9" w:rsidRDefault="00BC53FF" w:rsidP="00BC53F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3FC758AA" w14:textId="768BE646" w:rsidR="00BC53FF" w:rsidRPr="00AF0206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0" w:name="art1"/>
      <w:bookmarkEnd w:id="0"/>
      <w:r w:rsidRPr="004553E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4553E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Quem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com a intenção de</w:t>
      </w:r>
      <w:r w:rsidRPr="00101D74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101D7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destruir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todo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parte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grupo nacional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étnico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racial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religioso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como tal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1" w:name="_Hlk66446390"/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bookmarkEnd w:id="1"/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(TRF5-2011)</w:t>
      </w:r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bookmarkStart w:id="2" w:name="_Hlk85556229"/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  <w:bookmarkEnd w:id="2"/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  <w:r w:rsidR="004D6B2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D6B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(PCBA-2022)</w:t>
      </w:r>
      <w:r w:rsidR="00AF020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F020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(PCSC-2024)</w:t>
      </w:r>
    </w:p>
    <w:p w14:paraId="5DA14710" w14:textId="563339FD" w:rsidR="00BC53FF" w:rsidRPr="00AF0206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matar membros do grupo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(TRF5-2011)</w:t>
      </w:r>
      <w:r w:rsidR="00AF020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</w:p>
    <w:p w14:paraId="0F30161E" w14:textId="212039BD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b) causar lesão grave à integridade física ou mental de membros do grupo</w:t>
      </w:r>
      <w:r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A2A0F"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(TRF5-2011)</w:t>
      </w:r>
    </w:p>
    <w:p w14:paraId="42CD468E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c) submeter intencionalmente o grupo a condições de existência capazes de ocasionar-lhe a destruição física total ou parcial;</w:t>
      </w:r>
    </w:p>
    <w:p w14:paraId="58187E44" w14:textId="19104A36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d) adotar medidas destinadas a impedir os nascimentos no seio do grupo</w:t>
      </w:r>
      <w:r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</w:p>
    <w:p w14:paraId="3EB0D7E3" w14:textId="6B1AE8F4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e) efetuar a transferência forçada de crianças do grupo para outro grupo</w:t>
      </w:r>
      <w:r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A2A0F"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(TRF5-2011)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53E9" w:rsidRPr="004553E9" w14:paraId="6BB8E79E" w14:textId="77777777" w:rsidTr="007A1CD0">
        <w:tc>
          <w:tcPr>
            <w:tcW w:w="8494" w:type="dxa"/>
            <w:shd w:val="clear" w:color="auto" w:fill="CCFFFF"/>
          </w:tcPr>
          <w:p w14:paraId="66ABE68F" w14:textId="7E09BA9F" w:rsidR="004553E9" w:rsidRPr="004553E9" w:rsidRDefault="004553E9" w:rsidP="007A1CD0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TRF5-2011-CESPE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4553E9">
              <w:rPr>
                <w:rFonts w:ascii="Book Antiqua" w:hAnsi="Book Antiqua"/>
                <w:sz w:val="19"/>
                <w:szCs w:val="19"/>
              </w:rPr>
              <w:t>: Em relação ao crime de genocídio,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4553E9">
              <w:rPr>
                <w:rFonts w:ascii="Book Antiqua" w:hAnsi="Book Antiqua"/>
                <w:sz w:val="19"/>
                <w:szCs w:val="19"/>
              </w:rPr>
              <w:t xml:space="preserve">Pratica genocídio quem, com a intenção de destruir, no todo ou em parte, determinado grupo religioso, comete atos como assassinato de membros desse grupo ou lesão grave à sua integridade física ou mental ou, ainda, quem promove a transferência forçada de crianças desse grupo para outro. 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BL: art. 1º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“a”, “b” e “e”,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Lei 2889.</w:t>
            </w:r>
          </w:p>
        </w:tc>
      </w:tr>
    </w:tbl>
    <w:p w14:paraId="2156E97F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Será punido:</w:t>
      </w:r>
    </w:p>
    <w:p w14:paraId="1E48724C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8" w:anchor="art121§2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121, § 2º, do Código Penal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a;</w:t>
      </w:r>
    </w:p>
    <w:p w14:paraId="5C559A2F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Com as penas do </w:t>
      </w:r>
      <w:hyperlink r:id="rId9" w:anchor="art129§2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129, § 2º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b;</w:t>
      </w:r>
    </w:p>
    <w:p w14:paraId="5B08EF57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10" w:anchor="art270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270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c;</w:t>
      </w:r>
    </w:p>
    <w:p w14:paraId="00D2B686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11" w:anchor="art125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125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d;</w:t>
      </w:r>
    </w:p>
    <w:p w14:paraId="2EB0E4F5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12" w:anchor="art148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148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e;</w:t>
      </w:r>
    </w:p>
    <w:p w14:paraId="534C6046" w14:textId="3A590371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" w:name="art2"/>
      <w:bookmarkEnd w:id="3"/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Associarem-se 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mais de 3 (três)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pessoas para prática dos crimes mencionados no artigo anterior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4C70C1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</w:p>
    <w:p w14:paraId="34163788" w14:textId="31F74B1F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Pena: 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Metade da cominada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74BD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aos crimes ali previstos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C70C1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</w:p>
    <w:p w14:paraId="535D3352" w14:textId="45DE82D4" w:rsidR="00BC53FF" w:rsidRPr="00847B08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4" w:name="art3"/>
      <w:bookmarkEnd w:id="4"/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Incitar, direta e publicamente alguém a cometer qualquer dos crimes de que trata o art. 1º</w:t>
      </w:r>
      <w:r w:rsidRPr="0017227E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8A2A0F" w:rsidRPr="0017227E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  <w:r w:rsidR="00847B0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p w14:paraId="3986C59A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Pena: Metade das penas ali cominadas.</w:t>
      </w:r>
    </w:p>
    <w:p w14:paraId="0257859B" w14:textId="3D7E0605" w:rsidR="00BC53FF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bCs/>
          <w:color w:val="FF0000"/>
          <w:sz w:val="16"/>
          <w:szCs w:val="16"/>
        </w:rPr>
      </w:pP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pena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pelo crime de incitação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mesma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 crime incitado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este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 consumar</w:t>
      </w:r>
      <w:r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F86332"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47B08" w:rsidRPr="004553E9" w14:paraId="3F336818" w14:textId="77777777" w:rsidTr="004132F8">
        <w:tc>
          <w:tcPr>
            <w:tcW w:w="8494" w:type="dxa"/>
            <w:shd w:val="clear" w:color="auto" w:fill="CCFFFF"/>
          </w:tcPr>
          <w:p w14:paraId="01589AB3" w14:textId="410F0F79" w:rsidR="00847B08" w:rsidRPr="004553E9" w:rsidRDefault="00847B08" w:rsidP="004132F8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PCSP-2023-VUNESP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4553E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47B08">
              <w:rPr>
                <w:rFonts w:ascii="Book Antiqua" w:hAnsi="Book Antiqua"/>
                <w:sz w:val="19"/>
                <w:szCs w:val="19"/>
              </w:rPr>
              <w:t>A Lei 2.889/56, que trata do genocídio, prevê o crime de incitação ao genocídio. Referida lei estabelece como pena para a conduta de incitação ao genocídio, caso este se consume,</w:t>
            </w:r>
            <w:r>
              <w:t xml:space="preserve"> </w:t>
            </w:r>
            <w:r w:rsidRPr="00847B08">
              <w:rPr>
                <w:rFonts w:ascii="Book Antiqua" w:hAnsi="Book Antiqua"/>
                <w:sz w:val="19"/>
                <w:szCs w:val="19"/>
              </w:rPr>
              <w:t>a mesma pena do crime incitado.</w:t>
            </w:r>
            <w:r w:rsidRPr="004553E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3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º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§1º,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Lei 2889.</w:t>
            </w:r>
          </w:p>
        </w:tc>
      </w:tr>
    </w:tbl>
    <w:p w14:paraId="72AD4AEC" w14:textId="4BECB9A4" w:rsidR="00BC53FF" w:rsidRPr="00847B08" w:rsidRDefault="00BC53FF" w:rsidP="00255BF7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pena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aumentada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1/3 (um terço)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quando a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incitação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for cometida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pela imprensa</w:t>
      </w:r>
      <w:r w:rsidRPr="00923267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923267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23267" w:rsidRPr="00923267">
        <w:rPr>
          <w:rFonts w:ascii="Book Antiqua" w:eastAsia="Times New Roman" w:hAnsi="Book Antiqua" w:cs="Times New Roman"/>
          <w:b/>
          <w:bCs/>
          <w:i/>
          <w:iCs/>
          <w:color w:val="FF0000"/>
          <w:sz w:val="18"/>
          <w:szCs w:val="18"/>
          <w:lang w:eastAsia="pt-BR"/>
        </w:rPr>
        <w:t>[obs.: causa de aumento.]</w:t>
      </w:r>
      <w:r w:rsidR="00923267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23267" w:rsidRPr="001722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(DPEPI-2022)</w:t>
      </w:r>
      <w:r w:rsidR="00847B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D31C9" w:rsidRPr="004553E9" w14:paraId="3207969E" w14:textId="77777777" w:rsidTr="00162DE7">
        <w:tc>
          <w:tcPr>
            <w:tcW w:w="8494" w:type="dxa"/>
            <w:shd w:val="clear" w:color="auto" w:fill="CCFFFF"/>
          </w:tcPr>
          <w:p w14:paraId="689DDD42" w14:textId="77777777" w:rsidR="00255BF7" w:rsidRPr="007C6989" w:rsidRDefault="00255BF7" w:rsidP="00255BF7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7C698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7C6989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BA-2023-CESPE</w:t>
            </w:r>
            <w:r w:rsidRPr="007C698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25137">
              <w:rPr>
                <w:rFonts w:ascii="Book Antiqua" w:hAnsi="Book Antiqua"/>
                <w:sz w:val="19"/>
                <w:szCs w:val="19"/>
              </w:rPr>
              <w:t>No que concerne ao princípio da legalidade em matéria penal,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E25137">
              <w:rPr>
                <w:rFonts w:ascii="Book Antiqua" w:hAnsi="Book Antiqua"/>
                <w:sz w:val="19"/>
                <w:szCs w:val="19"/>
              </w:rPr>
              <w:t>A norma penal em branco invertida é admissível, desde que homogênea.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 </w:t>
            </w:r>
          </w:p>
          <w:p w14:paraId="0B3E2517" w14:textId="77777777" w:rsidR="00255BF7" w:rsidRDefault="00255BF7" w:rsidP="00255BF7">
            <w:pPr>
              <w:jc w:val="both"/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</w:pPr>
          </w:p>
          <w:p w14:paraId="52F24E26" w14:textId="6A219D59" w:rsidR="00255BF7" w:rsidRDefault="00255BF7" w:rsidP="00255BF7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7C698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7C698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D059CD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DPEPA-2015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D059CD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MPMG-2018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E2513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MPBA-2023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F6639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Cartórios/TJAM-2023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E2513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D059CD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FMP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25137">
              <w:rPr>
                <w:rFonts w:ascii="Book Antiqua" w:hAnsi="Book Antiqua"/>
                <w:sz w:val="19"/>
                <w:szCs w:val="19"/>
              </w:rPr>
              <w:t>As normas penais podem ser completas (definem o crime em todos os seus elementos) ou incompletas (também normas penais em branco - são as de definição legal incompleta). Lei penal em branco é aquela cuja definição da conduta criminosa é complementada por outra norma jurídica. Seu preceito secundário (sanção) é completo, mas o preceito primário carece de complementação. Lei penal em branco em sentido amplo (homogênea): é aquela em que o complemento provém da mesma fonte formal, ou seja, a LEI é complementando por outra LEI.</w:t>
            </w:r>
            <w:r>
              <w:rPr>
                <w:rFonts w:ascii="Book Antiqua" w:hAnsi="Book Antiqua"/>
                <w:sz w:val="19"/>
                <w:szCs w:val="19"/>
              </w:rPr>
              <w:t xml:space="preserve"> A n</w:t>
            </w:r>
            <w:r w:rsidRPr="00E25137">
              <w:rPr>
                <w:rFonts w:ascii="Book Antiqua" w:hAnsi="Book Antiqua"/>
                <w:sz w:val="19"/>
                <w:szCs w:val="19"/>
              </w:rPr>
              <w:t>orma penal em branco AO REVÉS ou INVERTIDA é aquela em que o preceito primário é completo, e o preceito secundário (pena) é que é incompleto. Note-se que o complemento normativo, nesse caso, deve emanar necessariamente do legislador, porque somente ele é que pode cuidar da sanção penal (nenhum órgão do Executivo pode se encarregar dessa tarefa).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A doutrina traz como exemplo de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norma penal em branco inversa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,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ao avesso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,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ao revés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 ou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invertida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 os </w:t>
            </w:r>
            <w:proofErr w:type="spellStart"/>
            <w:r w:rsidRPr="007C6989">
              <w:rPr>
                <w:rFonts w:ascii="Book Antiqua" w:hAnsi="Book Antiqua"/>
                <w:sz w:val="19"/>
                <w:szCs w:val="19"/>
              </w:rPr>
              <w:t>arts</w:t>
            </w:r>
            <w:proofErr w:type="spellEnd"/>
            <w:r w:rsidRPr="007C6989">
              <w:rPr>
                <w:rFonts w:ascii="Book Antiqua" w:hAnsi="Book Antiqua"/>
                <w:sz w:val="19"/>
                <w:szCs w:val="19"/>
              </w:rPr>
              <w:t xml:space="preserve">. 1º a 3º da Lei 2.889/56, relativos ao crime de genocídio. Outro exemplo é o delito de uso de documento falso, previsto no art. 304 do CP, em que o preceito secundário do tipo penal está incompleto, pois não existe pena específica para o delito do art. 304, mas sim a aplicação daquela </w:t>
            </w:r>
            <w:r w:rsidRPr="007C6989">
              <w:rPr>
                <w:rFonts w:ascii="Book Antiqua" w:hAnsi="Book Antiqua"/>
                <w:i/>
                <w:iCs/>
                <w:sz w:val="19"/>
                <w:szCs w:val="19"/>
              </w:rPr>
              <w:t>“cominada à falsificação ou à alteração”</w:t>
            </w:r>
            <w:r w:rsidRPr="007C6989">
              <w:rPr>
                <w:rFonts w:ascii="Book Antiqua" w:hAnsi="Book Antiqua"/>
                <w:sz w:val="19"/>
                <w:szCs w:val="19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255BF7" w14:paraId="038F6F2C" w14:textId="77777777" w:rsidTr="00255BF7">
              <w:tc>
                <w:tcPr>
                  <w:tcW w:w="8268" w:type="dxa"/>
                  <w:shd w:val="clear" w:color="auto" w:fill="FFFFFF" w:themeFill="background1"/>
                </w:tcPr>
                <w:p w14:paraId="68C27D34" w14:textId="77777777" w:rsidR="00255BF7" w:rsidRPr="00E25137" w:rsidRDefault="00255BF7" w:rsidP="00255BF7">
                  <w:pPr>
                    <w:jc w:val="both"/>
                    <w:rPr>
                      <w:rFonts w:ascii="Book Antiqua" w:hAnsi="Book Antiqua"/>
                      <w:b/>
                      <w:sz w:val="16"/>
                      <w:szCs w:val="16"/>
                    </w:rPr>
                  </w:pP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MPMG-2018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 w:rsidRPr="00E25137">
                    <w:rPr>
                      <w:rFonts w:ascii="Book Antiqua" w:hAnsi="Book Antiqua"/>
                      <w:sz w:val="18"/>
                      <w:szCs w:val="18"/>
                    </w:rPr>
                    <w:t xml:space="preserve">: Norma penal em branco ao revés (ou invertida) é aquela em que a complementação se dá no preceito sancionador e não no mandamento proibitivo. 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BL: art. 1º da Lei 2889 e art. 304 do CP.</w:t>
                  </w:r>
                </w:p>
                <w:p w14:paraId="368E1384" w14:textId="084A2F00" w:rsidR="00255BF7" w:rsidRDefault="00255BF7" w:rsidP="00255BF7">
                  <w:pPr>
                    <w:jc w:val="both"/>
                    <w:rPr>
                      <w:rFonts w:ascii="Book Antiqua" w:hAnsi="Book Antiqua"/>
                      <w:b/>
                      <w:bCs/>
                      <w:sz w:val="19"/>
                      <w:szCs w:val="19"/>
                    </w:rPr>
                  </w:pP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DPEPA-2015-FMP</w:t>
                  </w: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 w:rsidRPr="00D059CD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Assinale a alternativa correta: No crime de uso de documento falso, o Código Penal brasileiro emprega a técnica de leis penais em branco ao revés, isto é, daquelas leis penais que remetem a outras normas incriminadoras para especificação da pena. </w:t>
                  </w: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</w:rPr>
                    <w:t>BL: art. 304, CP.</w:t>
                  </w:r>
                </w:p>
              </w:tc>
            </w:tr>
          </w:tbl>
          <w:p w14:paraId="245BFE33" w14:textId="77777777" w:rsidR="00255BF7" w:rsidRDefault="00255BF7" w:rsidP="00255BF7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54BB570E" w14:textId="1C12B9EE" w:rsidR="002D31C9" w:rsidRPr="004553E9" w:rsidRDefault="002D31C9" w:rsidP="00255BF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6829FFC4" w14:textId="0DAF342B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5" w:name="art4"/>
      <w:bookmarkEnd w:id="5"/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pena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agravada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1/3 (um terço)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no caso dos </w:t>
      </w:r>
      <w:proofErr w:type="spellStart"/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1º, 2º e 3º,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quando cometido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crime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governante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funcionário público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r w:rsidR="00F86332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</w:p>
    <w:p w14:paraId="2E45F046" w14:textId="4D68CA57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6" w:name="art5"/>
      <w:bookmarkEnd w:id="6"/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punida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2/3 (dois terços)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das respectivas penas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tentativa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dos crimes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definidos nesta lei</w:t>
      </w:r>
      <w:r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101D74"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(TRF1-2011)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</w:p>
    <w:p w14:paraId="4C1F80C0" w14:textId="716F10D9" w:rsidR="00BC53FF" w:rsidRPr="00847B08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7" w:name="art6"/>
      <w:bookmarkEnd w:id="7"/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6º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crimes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que trata esta lei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serão considerados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crimes políticos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efeitos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extradição</w:t>
      </w:r>
      <w:r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101D74"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(TRF1-2011)</w:t>
      </w:r>
      <w:r w:rsidR="00923267" w:rsidRPr="001722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923267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23267" w14:paraId="2772A37B" w14:textId="77777777" w:rsidTr="00923267">
        <w:tc>
          <w:tcPr>
            <w:tcW w:w="8494" w:type="dxa"/>
            <w:shd w:val="clear" w:color="auto" w:fill="CCFFFF"/>
          </w:tcPr>
          <w:p w14:paraId="1242CB01" w14:textId="0AA5A1E1" w:rsidR="00923267" w:rsidRPr="00923267" w:rsidRDefault="00923267" w:rsidP="0092326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bookmarkStart w:id="8" w:name="art7"/>
            <w:bookmarkEnd w:id="8"/>
            <w:r w:rsidRPr="0092326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2326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DPEPI-2022-CESPE</w:t>
            </w:r>
            <w:r w:rsidRPr="0092326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232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</w:t>
            </w:r>
            <w:r w:rsidRPr="009232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ei 2.889/1956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32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prevê que os crimes nela definidos não serão considerados crimes políticos para efeitos de extradição.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6º, Lei 2.889/56.</w:t>
            </w:r>
          </w:p>
        </w:tc>
      </w:tr>
    </w:tbl>
    <w:p w14:paraId="6F9B1EFD" w14:textId="359646C3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Art. 7º Revogam-se as disposições em contrário.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00EED" w:rsidRPr="004553E9" w14:paraId="0F688676" w14:textId="77777777" w:rsidTr="00900EED">
        <w:tc>
          <w:tcPr>
            <w:tcW w:w="8494" w:type="dxa"/>
            <w:shd w:val="clear" w:color="auto" w:fill="CCFFFF"/>
          </w:tcPr>
          <w:p w14:paraId="2D00B690" w14:textId="3E52A57A" w:rsidR="00900EED" w:rsidRPr="004553E9" w:rsidRDefault="00923267" w:rsidP="00F007E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TRF1-2013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900EED" w:rsidRPr="004553E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Lei nº 2.889/56, que define e pune os crimes de genocídio, não prevê a modalidade culposa, nem tipifica a conduta omissiva, embora cabível a omissão imprópria. </w:t>
            </w:r>
          </w:p>
        </w:tc>
      </w:tr>
    </w:tbl>
    <w:p w14:paraId="37FB0FAB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Rio de Janeiro, 1 de outubro de 1956; 135º da Independência e 68º da República.</w:t>
      </w:r>
    </w:p>
    <w:p w14:paraId="3594F2CE" w14:textId="77777777" w:rsidR="00BC53FF" w:rsidRPr="004553E9" w:rsidRDefault="00BC53FF" w:rsidP="00BC53F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JUSCELINO KUBITSCHEK 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4553E9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Nereu Ramos </w:t>
      </w:r>
    </w:p>
    <w:p w14:paraId="315DFC16" w14:textId="189C483E" w:rsidR="00D271BD" w:rsidRPr="004553E9" w:rsidRDefault="00BC53FF" w:rsidP="0092326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2.10.1956</w:t>
      </w:r>
    </w:p>
    <w:sectPr w:rsidR="00D271BD" w:rsidRPr="004553E9" w:rsidSect="00246221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BB3A" w14:textId="77777777" w:rsidR="00BE06F4" w:rsidRDefault="00BE06F4" w:rsidP="00A206DE">
      <w:pPr>
        <w:spacing w:after="0" w:line="240" w:lineRule="auto"/>
      </w:pPr>
      <w:r>
        <w:separator/>
      </w:r>
    </w:p>
  </w:endnote>
  <w:endnote w:type="continuationSeparator" w:id="0">
    <w:p w14:paraId="20A267A3" w14:textId="77777777" w:rsidR="00BE06F4" w:rsidRDefault="00BE06F4" w:rsidP="00A2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143D" w14:textId="77777777" w:rsidR="00BE06F4" w:rsidRDefault="00BE06F4" w:rsidP="00A206DE">
      <w:pPr>
        <w:spacing w:after="0" w:line="240" w:lineRule="auto"/>
      </w:pPr>
      <w:r>
        <w:separator/>
      </w:r>
    </w:p>
  </w:footnote>
  <w:footnote w:type="continuationSeparator" w:id="0">
    <w:p w14:paraId="390778AE" w14:textId="77777777" w:rsidR="00BE06F4" w:rsidRDefault="00BE06F4" w:rsidP="00A2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567531">
    <w:abstractNumId w:val="2"/>
  </w:num>
  <w:num w:numId="2" w16cid:durableId="613556117">
    <w:abstractNumId w:val="1"/>
  </w:num>
  <w:num w:numId="3" w16cid:durableId="16590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962"/>
    <w:rsid w:val="00066E10"/>
    <w:rsid w:val="00101D74"/>
    <w:rsid w:val="0017227E"/>
    <w:rsid w:val="00174BD0"/>
    <w:rsid w:val="00203CD2"/>
    <w:rsid w:val="00246221"/>
    <w:rsid w:val="00255BF7"/>
    <w:rsid w:val="00266283"/>
    <w:rsid w:val="002D31C9"/>
    <w:rsid w:val="002E054C"/>
    <w:rsid w:val="004553E9"/>
    <w:rsid w:val="00461532"/>
    <w:rsid w:val="00463EEC"/>
    <w:rsid w:val="00472D85"/>
    <w:rsid w:val="004A7962"/>
    <w:rsid w:val="004C70C1"/>
    <w:rsid w:val="004D6B28"/>
    <w:rsid w:val="005C124B"/>
    <w:rsid w:val="00675EDD"/>
    <w:rsid w:val="00847B08"/>
    <w:rsid w:val="008867A6"/>
    <w:rsid w:val="008A2A0F"/>
    <w:rsid w:val="008D41C6"/>
    <w:rsid w:val="008D6486"/>
    <w:rsid w:val="00900EED"/>
    <w:rsid w:val="00923267"/>
    <w:rsid w:val="00A206DE"/>
    <w:rsid w:val="00AF0206"/>
    <w:rsid w:val="00BC1C4C"/>
    <w:rsid w:val="00BC53FF"/>
    <w:rsid w:val="00BE06F4"/>
    <w:rsid w:val="00C278AD"/>
    <w:rsid w:val="00CC43BD"/>
    <w:rsid w:val="00D25F4C"/>
    <w:rsid w:val="00D271BD"/>
    <w:rsid w:val="00DD3E31"/>
    <w:rsid w:val="00DE0F42"/>
    <w:rsid w:val="00DE1101"/>
    <w:rsid w:val="00DF5D29"/>
    <w:rsid w:val="00E575A9"/>
    <w:rsid w:val="00EA0FD5"/>
    <w:rsid w:val="00EA48F7"/>
    <w:rsid w:val="00EE501C"/>
    <w:rsid w:val="00F007EA"/>
    <w:rsid w:val="00F12052"/>
    <w:rsid w:val="00F8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2B514"/>
  <w15:chartTrackingRefBased/>
  <w15:docId w15:val="{082726CD-6692-4FB1-9385-CD617D67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20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06DE"/>
  </w:style>
  <w:style w:type="paragraph" w:styleId="Rodap">
    <w:name w:val="footer"/>
    <w:basedOn w:val="Normal"/>
    <w:link w:val="RodapChar"/>
    <w:uiPriority w:val="99"/>
    <w:unhideWhenUsed/>
    <w:rsid w:val="00A20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06DE"/>
  </w:style>
  <w:style w:type="table" w:styleId="Tabelacomgrade">
    <w:name w:val="Table Grid"/>
    <w:basedOn w:val="Tabelanormal"/>
    <w:uiPriority w:val="39"/>
    <w:rsid w:val="0090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D3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Del2848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2.889-1956?OpenDocument" TargetMode="External"/><Relationship Id="rId12" Type="http://schemas.openxmlformats.org/officeDocument/2006/relationships/hyperlink" Target="http://www.planalto.gov.br/ccivil_03/Decreto-Lei/Del284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Decreto-Lei/Del2848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Decreto-Lei/Del284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Decreto-Lei/Del2848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1092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22</cp:revision>
  <dcterms:created xsi:type="dcterms:W3CDTF">2015-04-30T22:11:00Z</dcterms:created>
  <dcterms:modified xsi:type="dcterms:W3CDTF">2025-06-30T16:57:00Z</dcterms:modified>
</cp:coreProperties>
</file>