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7CABC" w14:textId="2F642D65" w:rsidR="00132F70" w:rsidRPr="0070252B" w:rsidRDefault="00132F70" w:rsidP="00132F70">
      <w:pPr>
        <w:jc w:val="center"/>
        <w:rPr>
          <w:rFonts w:ascii="Book Antiqua" w:hAnsi="Book Antiqua" w:cs="Times New Roman"/>
          <w:b/>
          <w:sz w:val="19"/>
          <w:szCs w:val="19"/>
        </w:rPr>
      </w:pPr>
      <w:r w:rsidRPr="0070252B">
        <w:rPr>
          <w:rFonts w:ascii="Book Antiqua" w:hAnsi="Book Antiqua" w:cs="Times New Roman"/>
          <w:b/>
          <w:sz w:val="19"/>
          <w:szCs w:val="19"/>
        </w:rPr>
        <w:t>LEI DA ANISTIA – Lei 6.683/1979</w:t>
      </w:r>
    </w:p>
    <w:p w14:paraId="3A392EE4" w14:textId="77777777" w:rsidR="00132F70" w:rsidRPr="0070252B" w:rsidRDefault="00132F70" w:rsidP="00132F70">
      <w:pPr>
        <w:jc w:val="center"/>
        <w:rPr>
          <w:rFonts w:ascii="Book Antiqua" w:hAnsi="Book Antiqua" w:cs="Times New Roman"/>
          <w:b/>
          <w:sz w:val="19"/>
          <w:szCs w:val="19"/>
        </w:rPr>
      </w:pPr>
      <w:r w:rsidRPr="0070252B">
        <w:rPr>
          <w:rFonts w:ascii="Book Antiqua" w:hAnsi="Book Antiqua" w:cs="Times New Roman"/>
          <w:b/>
          <w:sz w:val="19"/>
          <w:szCs w:val="19"/>
        </w:rPr>
        <w:t>MATERIAL COM QUESTÕES DE CONCURSO e ALGUMAS REFERÊNCIAS À SÚMULAS E JULGADOS DOS TRIBUNAIS SUPERIORES</w:t>
      </w:r>
    </w:p>
    <w:p w14:paraId="3EC8BB31" w14:textId="77777777" w:rsidR="00132F70" w:rsidRPr="0070252B" w:rsidRDefault="00132F70" w:rsidP="00132F70">
      <w:pPr>
        <w:jc w:val="center"/>
        <w:rPr>
          <w:rFonts w:ascii="Book Antiqua" w:hAnsi="Book Antiqua" w:cs="Times New Roman"/>
          <w:b/>
          <w:color w:val="FF0000"/>
          <w:sz w:val="19"/>
          <w:szCs w:val="19"/>
        </w:rPr>
      </w:pPr>
      <w:r w:rsidRPr="0070252B">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132F70" w:rsidRPr="0070252B" w14:paraId="4931D769" w14:textId="77777777" w:rsidTr="0070252B">
        <w:trPr>
          <w:trHeight w:hRule="exact" w:val="3799"/>
        </w:trPr>
        <w:tc>
          <w:tcPr>
            <w:tcW w:w="8500" w:type="dxa"/>
            <w:shd w:val="clear" w:color="auto" w:fill="E7E6E6" w:themeFill="background2"/>
          </w:tcPr>
          <w:p w14:paraId="35C22E5A" w14:textId="1821A021" w:rsidR="00132F70" w:rsidRPr="0070252B" w:rsidRDefault="00132F70" w:rsidP="00F65E8C">
            <w:pPr>
              <w:jc w:val="both"/>
              <w:rPr>
                <w:rFonts w:ascii="Book Antiqua" w:eastAsia="Times New Roman" w:hAnsi="Book Antiqua" w:cs="Times New Roman"/>
                <w:b/>
                <w:color w:val="FF0000"/>
                <w:sz w:val="18"/>
                <w:szCs w:val="18"/>
                <w:lang w:eastAsia="pt-BR"/>
              </w:rPr>
            </w:pPr>
            <w:r w:rsidRPr="0070252B">
              <w:rPr>
                <w:rFonts w:ascii="Book Antiqua" w:eastAsia="Times New Roman" w:hAnsi="Book Antiqua" w:cs="Times New Roman"/>
                <w:b/>
                <w:color w:val="FFFFFF" w:themeColor="background1"/>
                <w:sz w:val="18"/>
                <w:szCs w:val="18"/>
                <w:highlight w:val="black"/>
                <w:lang w:eastAsia="pt-BR"/>
              </w:rPr>
              <w:t>Última atualização legislativa</w:t>
            </w:r>
            <w:r w:rsidRPr="0070252B">
              <w:rPr>
                <w:rFonts w:ascii="Book Antiqua" w:eastAsia="Times New Roman" w:hAnsi="Book Antiqua" w:cs="Times New Roman"/>
                <w:b/>
                <w:sz w:val="18"/>
                <w:szCs w:val="18"/>
                <w:lang w:eastAsia="pt-BR"/>
              </w:rPr>
              <w:t xml:space="preserve">: </w:t>
            </w:r>
          </w:p>
          <w:p w14:paraId="75790D95" w14:textId="77777777" w:rsidR="00132F70" w:rsidRPr="0070252B" w:rsidRDefault="00132F70" w:rsidP="00F65E8C">
            <w:pPr>
              <w:jc w:val="both"/>
              <w:rPr>
                <w:rFonts w:ascii="Book Antiqua" w:eastAsia="Times New Roman" w:hAnsi="Book Antiqua" w:cs="Times New Roman"/>
                <w:b/>
                <w:sz w:val="18"/>
                <w:szCs w:val="18"/>
                <w:lang w:eastAsia="pt-BR"/>
              </w:rPr>
            </w:pPr>
          </w:p>
          <w:p w14:paraId="400AF3A2" w14:textId="14ACA65F" w:rsidR="00132F70" w:rsidRPr="0070252B" w:rsidRDefault="00132F70" w:rsidP="00F65E8C">
            <w:pPr>
              <w:jc w:val="both"/>
              <w:rPr>
                <w:rFonts w:ascii="Book Antiqua" w:eastAsia="Times New Roman" w:hAnsi="Book Antiqua" w:cs="Times New Roman"/>
                <w:b/>
                <w:sz w:val="18"/>
                <w:szCs w:val="18"/>
                <w:lang w:eastAsia="pt-BR"/>
              </w:rPr>
            </w:pPr>
            <w:r w:rsidRPr="0070252B">
              <w:rPr>
                <w:rFonts w:ascii="Book Antiqua" w:eastAsia="Times New Roman" w:hAnsi="Book Antiqua" w:cs="Times New Roman"/>
                <w:b/>
                <w:color w:val="FFFFFF" w:themeColor="background1"/>
                <w:sz w:val="18"/>
                <w:szCs w:val="18"/>
                <w:highlight w:val="black"/>
                <w:lang w:eastAsia="pt-BR"/>
              </w:rPr>
              <w:t>Última atualização questões de concurso</w:t>
            </w:r>
            <w:r w:rsidRPr="0070252B">
              <w:rPr>
                <w:rFonts w:ascii="Book Antiqua" w:eastAsia="Times New Roman" w:hAnsi="Book Antiqua" w:cs="Times New Roman"/>
                <w:b/>
                <w:sz w:val="18"/>
                <w:szCs w:val="18"/>
                <w:lang w:eastAsia="pt-BR"/>
              </w:rPr>
              <w:t xml:space="preserve">: </w:t>
            </w:r>
            <w:r w:rsidR="00035D0B">
              <w:rPr>
                <w:rFonts w:ascii="Book Antiqua" w:eastAsia="Times New Roman" w:hAnsi="Book Antiqua" w:cs="Times New Roman"/>
                <w:b/>
                <w:color w:val="FF0000"/>
                <w:sz w:val="18"/>
                <w:szCs w:val="18"/>
                <w:lang w:eastAsia="pt-BR"/>
              </w:rPr>
              <w:t>01/07/2021</w:t>
            </w:r>
            <w:r w:rsidRPr="0070252B">
              <w:rPr>
                <w:rFonts w:ascii="Book Antiqua" w:eastAsia="Times New Roman" w:hAnsi="Book Antiqua" w:cs="Times New Roman"/>
                <w:b/>
                <w:color w:val="FF0000"/>
                <w:sz w:val="18"/>
                <w:szCs w:val="18"/>
                <w:lang w:eastAsia="pt-BR"/>
              </w:rPr>
              <w:t>.</w:t>
            </w:r>
          </w:p>
          <w:p w14:paraId="7F3153E8" w14:textId="77777777" w:rsidR="00132F70" w:rsidRPr="0070252B" w:rsidRDefault="00132F70" w:rsidP="00F65E8C">
            <w:pPr>
              <w:jc w:val="both"/>
              <w:rPr>
                <w:rFonts w:ascii="Book Antiqua" w:eastAsia="Times New Roman" w:hAnsi="Book Antiqua" w:cs="Times New Roman"/>
                <w:b/>
                <w:sz w:val="18"/>
                <w:szCs w:val="18"/>
                <w:lang w:eastAsia="pt-BR"/>
              </w:rPr>
            </w:pPr>
          </w:p>
          <w:p w14:paraId="226CE51E" w14:textId="77777777" w:rsidR="00132F70" w:rsidRPr="0070252B" w:rsidRDefault="00132F70" w:rsidP="00F65E8C">
            <w:pPr>
              <w:jc w:val="both"/>
              <w:rPr>
                <w:rFonts w:ascii="Book Antiqua" w:eastAsia="Times New Roman" w:hAnsi="Book Antiqua" w:cs="Times New Roman"/>
                <w:b/>
                <w:sz w:val="18"/>
                <w:szCs w:val="18"/>
                <w:lang w:eastAsia="pt-BR"/>
              </w:rPr>
            </w:pPr>
            <w:r w:rsidRPr="0070252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0252B">
              <w:rPr>
                <w:rFonts w:ascii="Book Antiqua" w:eastAsia="Times New Roman" w:hAnsi="Book Antiqua" w:cs="Times New Roman"/>
                <w:b/>
                <w:sz w:val="18"/>
                <w:szCs w:val="18"/>
                <w:lang w:eastAsia="pt-BR"/>
              </w:rPr>
              <w:t>:</w:t>
            </w:r>
          </w:p>
          <w:p w14:paraId="469E70DC" w14:textId="77777777" w:rsidR="00132F70" w:rsidRPr="0070252B" w:rsidRDefault="00132F70" w:rsidP="00132F70">
            <w:pPr>
              <w:pStyle w:val="PargrafodaLista"/>
              <w:numPr>
                <w:ilvl w:val="0"/>
                <w:numId w:val="2"/>
              </w:numPr>
              <w:jc w:val="both"/>
              <w:rPr>
                <w:rFonts w:ascii="Book Antiqua" w:eastAsia="Times New Roman" w:hAnsi="Book Antiqua" w:cs="Times New Roman"/>
                <w:b/>
                <w:sz w:val="18"/>
                <w:szCs w:val="18"/>
                <w:lang w:eastAsia="pt-BR"/>
              </w:rPr>
            </w:pPr>
            <w:r w:rsidRPr="0070252B">
              <w:rPr>
                <w:rFonts w:ascii="Book Antiqua" w:eastAsia="Times New Roman" w:hAnsi="Book Antiqua" w:cs="Times New Roman"/>
                <w:b/>
                <w:color w:val="FF0000"/>
                <w:sz w:val="18"/>
                <w:szCs w:val="18"/>
                <w:lang w:eastAsia="pt-BR"/>
              </w:rPr>
              <w:t>Cores utilizadas</w:t>
            </w:r>
            <w:r w:rsidRPr="0070252B">
              <w:rPr>
                <w:rFonts w:ascii="Book Antiqua" w:eastAsia="Times New Roman" w:hAnsi="Book Antiqua" w:cs="Times New Roman"/>
                <w:b/>
                <w:sz w:val="18"/>
                <w:szCs w:val="18"/>
                <w:lang w:eastAsia="pt-BR"/>
              </w:rPr>
              <w:t>:</w:t>
            </w:r>
          </w:p>
          <w:p w14:paraId="475C9445" w14:textId="77777777" w:rsidR="00132F70" w:rsidRPr="0070252B" w:rsidRDefault="00132F70" w:rsidP="00132F70">
            <w:pPr>
              <w:pStyle w:val="PargrafodaLista"/>
              <w:numPr>
                <w:ilvl w:val="0"/>
                <w:numId w:val="1"/>
              </w:numPr>
              <w:jc w:val="both"/>
              <w:rPr>
                <w:rFonts w:ascii="Book Antiqua" w:eastAsia="Times New Roman" w:hAnsi="Book Antiqua" w:cs="Times New Roman"/>
                <w:sz w:val="18"/>
                <w:szCs w:val="18"/>
                <w:lang w:eastAsia="pt-BR"/>
              </w:rPr>
            </w:pPr>
            <w:r w:rsidRPr="0070252B">
              <w:rPr>
                <w:rFonts w:ascii="Book Antiqua" w:eastAsia="Times New Roman" w:hAnsi="Book Antiqua" w:cs="Times New Roman"/>
                <w:b/>
                <w:sz w:val="18"/>
                <w:szCs w:val="18"/>
                <w:highlight w:val="green"/>
                <w:lang w:eastAsia="pt-BR"/>
              </w:rPr>
              <w:t>EM VERDE</w:t>
            </w:r>
            <w:r w:rsidRPr="0070252B">
              <w:rPr>
                <w:rFonts w:ascii="Book Antiqua" w:eastAsia="Times New Roman" w:hAnsi="Book Antiqua" w:cs="Times New Roman"/>
                <w:sz w:val="18"/>
                <w:szCs w:val="18"/>
                <w:lang w:eastAsia="pt-BR"/>
              </w:rPr>
              <w:t>: destaque aos títulos, capítulos, bem como outras informações relevantes, etc.</w:t>
            </w:r>
          </w:p>
          <w:p w14:paraId="45B0E791" w14:textId="77777777" w:rsidR="00132F70" w:rsidRPr="0070252B" w:rsidRDefault="00132F70" w:rsidP="00132F70">
            <w:pPr>
              <w:pStyle w:val="PargrafodaLista"/>
              <w:numPr>
                <w:ilvl w:val="0"/>
                <w:numId w:val="1"/>
              </w:numPr>
              <w:jc w:val="both"/>
              <w:rPr>
                <w:rFonts w:ascii="Book Antiqua" w:eastAsia="Times New Roman" w:hAnsi="Book Antiqua" w:cs="Times New Roman"/>
                <w:sz w:val="18"/>
                <w:szCs w:val="18"/>
                <w:lang w:eastAsia="pt-BR"/>
              </w:rPr>
            </w:pPr>
            <w:r w:rsidRPr="0070252B">
              <w:rPr>
                <w:rFonts w:ascii="Book Antiqua" w:eastAsia="Times New Roman" w:hAnsi="Book Antiqua" w:cs="Times New Roman"/>
                <w:b/>
                <w:sz w:val="18"/>
                <w:szCs w:val="18"/>
                <w:highlight w:val="magenta"/>
                <w:lang w:eastAsia="pt-BR"/>
              </w:rPr>
              <w:t>EM ROXO</w:t>
            </w:r>
            <w:r w:rsidRPr="0070252B">
              <w:rPr>
                <w:rFonts w:ascii="Book Antiqua" w:eastAsia="Times New Roman" w:hAnsi="Book Antiqua" w:cs="Times New Roman"/>
                <w:sz w:val="18"/>
                <w:szCs w:val="18"/>
                <w:lang w:eastAsia="pt-BR"/>
              </w:rPr>
              <w:t>: artigos que já foram cobrados em provas de concurso.</w:t>
            </w:r>
          </w:p>
          <w:p w14:paraId="2EB090F9" w14:textId="674F88A0" w:rsidR="00132F70" w:rsidRPr="0070252B" w:rsidRDefault="00132F70" w:rsidP="00132F70">
            <w:pPr>
              <w:pStyle w:val="PargrafodaLista"/>
              <w:numPr>
                <w:ilvl w:val="0"/>
                <w:numId w:val="1"/>
              </w:numPr>
              <w:jc w:val="both"/>
              <w:rPr>
                <w:rFonts w:ascii="Book Antiqua" w:eastAsia="Times New Roman" w:hAnsi="Book Antiqua" w:cs="Times New Roman"/>
                <w:sz w:val="18"/>
                <w:szCs w:val="18"/>
                <w:lang w:eastAsia="pt-BR"/>
              </w:rPr>
            </w:pPr>
            <w:r w:rsidRPr="0070252B">
              <w:rPr>
                <w:rFonts w:ascii="Book Antiqua" w:eastAsia="Times New Roman" w:hAnsi="Book Antiqua" w:cs="Times New Roman"/>
                <w:b/>
                <w:sz w:val="18"/>
                <w:szCs w:val="18"/>
                <w:highlight w:val="cyan"/>
                <w:lang w:eastAsia="pt-BR"/>
              </w:rPr>
              <w:t>EM AZUL</w:t>
            </w:r>
            <w:r w:rsidRPr="0070252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6.683/79).</w:t>
            </w:r>
          </w:p>
          <w:p w14:paraId="46B67E7E" w14:textId="77777777" w:rsidR="00132F70" w:rsidRPr="0070252B" w:rsidRDefault="00132F70" w:rsidP="00132F70">
            <w:pPr>
              <w:pStyle w:val="PargrafodaLista"/>
              <w:numPr>
                <w:ilvl w:val="0"/>
                <w:numId w:val="1"/>
              </w:numPr>
              <w:jc w:val="both"/>
              <w:rPr>
                <w:rFonts w:ascii="Book Antiqua" w:eastAsia="Times New Roman" w:hAnsi="Book Antiqua" w:cs="Times New Roman"/>
                <w:sz w:val="18"/>
                <w:szCs w:val="18"/>
                <w:lang w:eastAsia="pt-BR"/>
              </w:rPr>
            </w:pPr>
            <w:r w:rsidRPr="0070252B">
              <w:rPr>
                <w:rFonts w:ascii="Book Antiqua" w:eastAsia="Times New Roman" w:hAnsi="Book Antiqua" w:cs="Times New Roman"/>
                <w:b/>
                <w:sz w:val="18"/>
                <w:szCs w:val="18"/>
                <w:highlight w:val="yellow"/>
                <w:lang w:eastAsia="pt-BR"/>
              </w:rPr>
              <w:t>EM AMARELO</w:t>
            </w:r>
            <w:r w:rsidRPr="0070252B">
              <w:rPr>
                <w:rFonts w:ascii="Book Antiqua" w:eastAsia="Times New Roman" w:hAnsi="Book Antiqua" w:cs="Times New Roman"/>
                <w:sz w:val="18"/>
                <w:szCs w:val="18"/>
                <w:lang w:eastAsia="pt-BR"/>
              </w:rPr>
              <w:t>: destaques importantes (ex.: critério pessoal)</w:t>
            </w:r>
          </w:p>
          <w:p w14:paraId="621F800A" w14:textId="77777777" w:rsidR="00132F70" w:rsidRPr="0070252B" w:rsidRDefault="00132F70" w:rsidP="00F65E8C">
            <w:pPr>
              <w:jc w:val="both"/>
              <w:rPr>
                <w:rFonts w:ascii="Book Antiqua" w:eastAsia="Times New Roman" w:hAnsi="Book Antiqua" w:cs="Times New Roman"/>
                <w:sz w:val="18"/>
                <w:szCs w:val="18"/>
                <w:lang w:eastAsia="pt-BR"/>
              </w:rPr>
            </w:pPr>
          </w:p>
          <w:p w14:paraId="6D7FD86C" w14:textId="77777777" w:rsidR="00132F70" w:rsidRPr="0070252B" w:rsidRDefault="00132F70" w:rsidP="00132F70">
            <w:pPr>
              <w:pStyle w:val="PargrafodaLista"/>
              <w:numPr>
                <w:ilvl w:val="0"/>
                <w:numId w:val="2"/>
              </w:numPr>
              <w:jc w:val="both"/>
              <w:rPr>
                <w:rFonts w:ascii="Book Antiqua" w:eastAsia="Times New Roman" w:hAnsi="Book Antiqua" w:cs="Times New Roman"/>
                <w:sz w:val="18"/>
                <w:szCs w:val="18"/>
                <w:lang w:eastAsia="pt-BR"/>
              </w:rPr>
            </w:pPr>
            <w:r w:rsidRPr="0070252B">
              <w:rPr>
                <w:rFonts w:ascii="Book Antiqua" w:eastAsia="Times New Roman" w:hAnsi="Book Antiqua" w:cs="Times New Roman"/>
                <w:b/>
                <w:color w:val="FF0000"/>
                <w:sz w:val="18"/>
                <w:szCs w:val="18"/>
                <w:lang w:eastAsia="pt-BR"/>
              </w:rPr>
              <w:t>Siglas utilizadas</w:t>
            </w:r>
            <w:r w:rsidRPr="0070252B">
              <w:rPr>
                <w:rFonts w:ascii="Book Antiqua" w:eastAsia="Times New Roman" w:hAnsi="Book Antiqua" w:cs="Times New Roman"/>
                <w:sz w:val="18"/>
                <w:szCs w:val="18"/>
                <w:lang w:eastAsia="pt-BR"/>
              </w:rPr>
              <w:t>:</w:t>
            </w:r>
          </w:p>
          <w:p w14:paraId="5C9E8A70" w14:textId="77777777" w:rsidR="00132F70" w:rsidRPr="0070252B" w:rsidRDefault="00132F70" w:rsidP="00132F70">
            <w:pPr>
              <w:pStyle w:val="PargrafodaLista"/>
              <w:numPr>
                <w:ilvl w:val="0"/>
                <w:numId w:val="3"/>
              </w:numPr>
              <w:jc w:val="both"/>
              <w:rPr>
                <w:rFonts w:ascii="Book Antiqua" w:eastAsia="Times New Roman" w:hAnsi="Book Antiqua" w:cs="Times New Roman"/>
                <w:sz w:val="19"/>
                <w:szCs w:val="19"/>
                <w:lang w:eastAsia="pt-BR"/>
              </w:rPr>
            </w:pPr>
            <w:r w:rsidRPr="0070252B">
              <w:rPr>
                <w:rFonts w:ascii="Book Antiqua" w:eastAsia="Times New Roman" w:hAnsi="Book Antiqua" w:cs="Times New Roman"/>
                <w:b/>
                <w:sz w:val="18"/>
                <w:szCs w:val="18"/>
                <w:lang w:eastAsia="pt-BR"/>
              </w:rPr>
              <w:t>MP (concursos do Ministério Público); M ou TJPR (concursos da Magistratura); BL (base legal), etc.</w:t>
            </w:r>
          </w:p>
        </w:tc>
      </w:tr>
    </w:tbl>
    <w:p w14:paraId="641AF39C" w14:textId="60137E01" w:rsidR="00132F70" w:rsidRPr="0070252B" w:rsidRDefault="00FF7275" w:rsidP="00132F7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00132F70" w:rsidRPr="0070252B">
          <w:rPr>
            <w:rFonts w:ascii="Book Antiqua" w:eastAsia="Times New Roman" w:hAnsi="Book Antiqua" w:cs="Arial"/>
            <w:b/>
            <w:bCs/>
            <w:color w:val="000080"/>
            <w:sz w:val="19"/>
            <w:szCs w:val="19"/>
            <w:lang w:eastAsia="pt-BR"/>
          </w:rPr>
          <w:t>LEI N</w:t>
        </w:r>
        <w:r w:rsidR="00132F70" w:rsidRPr="0070252B">
          <w:rPr>
            <w:rFonts w:ascii="Book Antiqua" w:eastAsia="Times New Roman" w:hAnsi="Book Antiqua" w:cs="Arial"/>
            <w:b/>
            <w:bCs/>
            <w:color w:val="000080"/>
            <w:sz w:val="19"/>
            <w:szCs w:val="19"/>
            <w:vertAlign w:val="superscript"/>
            <w:lang w:eastAsia="pt-BR"/>
          </w:rPr>
          <w:t>o</w:t>
        </w:r>
        <w:r w:rsidR="00132F70" w:rsidRPr="0070252B">
          <w:rPr>
            <w:rFonts w:ascii="Book Antiqua" w:eastAsia="Times New Roman" w:hAnsi="Book Antiqua" w:cs="Arial"/>
            <w:b/>
            <w:bCs/>
            <w:color w:val="000080"/>
            <w:sz w:val="19"/>
            <w:szCs w:val="19"/>
            <w:lang w:eastAsia="pt-BR"/>
          </w:rPr>
          <w:t xml:space="preserve"> 6.683, DE 28 DE AGOSTO DE 1979.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32F70" w:rsidRPr="0070252B" w14:paraId="39102585" w14:textId="77777777" w:rsidTr="0070252B">
        <w:trPr>
          <w:tblCellSpacing w:w="0" w:type="dxa"/>
        </w:trPr>
        <w:tc>
          <w:tcPr>
            <w:tcW w:w="1417" w:type="pct"/>
            <w:shd w:val="clear" w:color="auto" w:fill="auto"/>
            <w:vAlign w:val="center"/>
            <w:hideMark/>
          </w:tcPr>
          <w:p w14:paraId="279720AC" w14:textId="69BFEDAD" w:rsidR="00132F70" w:rsidRPr="0070252B" w:rsidRDefault="00132F70" w:rsidP="00132F70">
            <w:pPr>
              <w:spacing w:before="100" w:beforeAutospacing="1" w:after="100" w:afterAutospacing="1" w:line="240" w:lineRule="auto"/>
              <w:rPr>
                <w:rFonts w:ascii="Book Antiqua" w:eastAsia="Times New Roman" w:hAnsi="Book Antiqua" w:cs="Times New Roman"/>
                <w:color w:val="000000"/>
                <w:sz w:val="19"/>
                <w:szCs w:val="19"/>
                <w:lang w:eastAsia="pt-BR"/>
              </w:rPr>
            </w:pPr>
          </w:p>
        </w:tc>
        <w:tc>
          <w:tcPr>
            <w:tcW w:w="3583" w:type="pct"/>
            <w:shd w:val="clear" w:color="auto" w:fill="auto"/>
            <w:vAlign w:val="center"/>
            <w:hideMark/>
          </w:tcPr>
          <w:p w14:paraId="6BCD2BA4" w14:textId="77777777" w:rsidR="00132F70" w:rsidRPr="0070252B" w:rsidRDefault="00132F70" w:rsidP="00132F70">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70252B">
              <w:rPr>
                <w:rFonts w:ascii="Book Antiqua" w:eastAsia="Times New Roman" w:hAnsi="Book Antiqua" w:cs="Arial"/>
                <w:color w:val="800000"/>
                <w:sz w:val="18"/>
                <w:szCs w:val="18"/>
                <w:lang w:eastAsia="pt-BR"/>
              </w:rPr>
              <w:t>Concede anistia e dá outras providências.</w:t>
            </w:r>
          </w:p>
        </w:tc>
      </w:tr>
    </w:tbl>
    <w:p w14:paraId="3B7C2B5F"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b/>
          <w:bCs/>
          <w:color w:val="000000"/>
          <w:sz w:val="19"/>
          <w:szCs w:val="19"/>
          <w:lang w:eastAsia="pt-BR"/>
        </w:rPr>
        <w:t>O</w:t>
      </w:r>
      <w:r w:rsidRPr="0070252B">
        <w:rPr>
          <w:rFonts w:ascii="Book Antiqua" w:eastAsia="Times New Roman" w:hAnsi="Book Antiqua" w:cs="Arial"/>
          <w:color w:val="000000"/>
          <w:sz w:val="19"/>
          <w:szCs w:val="19"/>
          <w:lang w:eastAsia="pt-BR"/>
        </w:rPr>
        <w:t xml:space="preserve"> </w:t>
      </w:r>
      <w:r w:rsidRPr="0070252B">
        <w:rPr>
          <w:rFonts w:ascii="Book Antiqua" w:eastAsia="Times New Roman" w:hAnsi="Book Antiqua" w:cs="Arial"/>
          <w:b/>
          <w:bCs/>
          <w:color w:val="000000"/>
          <w:sz w:val="19"/>
          <w:szCs w:val="19"/>
          <w:lang w:eastAsia="pt-BR"/>
        </w:rPr>
        <w:t>PRESIDENTE DA REPÚBLICA</w:t>
      </w:r>
      <w:r w:rsidRPr="0070252B">
        <w:rPr>
          <w:rFonts w:ascii="Book Antiqua" w:eastAsia="Times New Roman" w:hAnsi="Book Antiqua" w:cs="Arial"/>
          <w:color w:val="000000"/>
          <w:sz w:val="19"/>
          <w:szCs w:val="19"/>
          <w:lang w:eastAsia="pt-BR"/>
        </w:rPr>
        <w:t>: Faço saber que o Congresso Nacional decreta e eu sanciono a seguinte Lei:</w:t>
      </w:r>
    </w:p>
    <w:p w14:paraId="25989D00" w14:textId="1DF53E0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b/>
          <w:bCs/>
          <w:color w:val="000000"/>
          <w:sz w:val="19"/>
          <w:szCs w:val="19"/>
          <w:highlight w:val="magenta"/>
          <w:lang w:eastAsia="pt-BR"/>
        </w:rPr>
        <w:t>Art. 1º</w:t>
      </w:r>
      <w:r w:rsidR="0070252B">
        <w:rPr>
          <w:rFonts w:ascii="Book Antiqua" w:eastAsia="Times New Roman" w:hAnsi="Book Antiqua" w:cs="Arial"/>
          <w:b/>
          <w:bCs/>
          <w:color w:val="000000"/>
          <w:sz w:val="19"/>
          <w:szCs w:val="19"/>
          <w:lang w:eastAsia="pt-BR"/>
        </w:rPr>
        <w:t>.</w:t>
      </w:r>
      <w:r w:rsidRPr="0070252B">
        <w:rPr>
          <w:rFonts w:ascii="Book Antiqua" w:eastAsia="Times New Roman" w:hAnsi="Book Antiqua" w:cs="Arial"/>
          <w:color w:val="000000"/>
          <w:sz w:val="19"/>
          <w:szCs w:val="19"/>
          <w:lang w:eastAsia="pt-BR"/>
        </w:rPr>
        <w:t xml:space="preserve"> É concedida anistia a todos quantos, no período compreendido entre 02 de setembro de 1961 e 15 de agosto de 1979, cometeram </w:t>
      </w:r>
      <w:r w:rsidRPr="0070252B">
        <w:rPr>
          <w:rFonts w:ascii="Book Antiqua" w:eastAsia="Times New Roman" w:hAnsi="Book Antiqua" w:cs="Arial"/>
          <w:b/>
          <w:bCs/>
          <w:color w:val="000000"/>
          <w:sz w:val="19"/>
          <w:szCs w:val="19"/>
          <w:highlight w:val="cyan"/>
          <w:lang w:eastAsia="pt-BR"/>
        </w:rPr>
        <w:t>crimes políticos</w:t>
      </w:r>
      <w:r w:rsidRPr="0070252B">
        <w:rPr>
          <w:rFonts w:ascii="Book Antiqua" w:eastAsia="Times New Roman" w:hAnsi="Book Antiqua" w:cs="Arial"/>
          <w:color w:val="000000"/>
          <w:sz w:val="19"/>
          <w:szCs w:val="19"/>
          <w:lang w:eastAsia="pt-BR"/>
        </w:rPr>
        <w:t xml:space="preserve"> ou </w:t>
      </w:r>
      <w:r w:rsidRPr="0070252B">
        <w:rPr>
          <w:rFonts w:ascii="Book Antiqua" w:eastAsia="Times New Roman" w:hAnsi="Book Antiqua" w:cs="Arial"/>
          <w:b/>
          <w:bCs/>
          <w:color w:val="000000"/>
          <w:sz w:val="19"/>
          <w:szCs w:val="19"/>
          <w:highlight w:val="cyan"/>
          <w:lang w:eastAsia="pt-BR"/>
        </w:rPr>
        <w:t>conexo com estes</w:t>
      </w:r>
      <w:r w:rsidRPr="0070252B">
        <w:rPr>
          <w:rFonts w:ascii="Book Antiqua" w:eastAsia="Times New Roman" w:hAnsi="Book Antiqua" w:cs="Arial"/>
          <w:color w:val="000000"/>
          <w:sz w:val="19"/>
          <w:szCs w:val="19"/>
          <w:lang w:eastAsia="pt-BR"/>
        </w:rPr>
        <w:t xml:space="preserve">, crimes eleitorais, aos que tiveram seus direitos políticos suspensos e aos servidores da Administração Direta e Indireta, de fundações vinculadas ao poder público, aos Servidores dos Poderes Legislativo e Judiciário, aos Militares e aos dirigentes e representantes sindicais, punidos com fundamento em Atos Institucionais e Complementares </w:t>
      </w:r>
      <w:hyperlink r:id="rId8" w:history="1">
        <w:r w:rsidRPr="0070252B">
          <w:rPr>
            <w:rFonts w:ascii="Book Antiqua" w:eastAsia="Times New Roman" w:hAnsi="Book Antiqua" w:cs="Arial"/>
            <w:color w:val="0000FF"/>
            <w:sz w:val="19"/>
            <w:szCs w:val="19"/>
            <w:u w:val="single"/>
            <w:lang w:eastAsia="pt-BR"/>
          </w:rPr>
          <w:t>(vetado)</w:t>
        </w:r>
      </w:hyperlink>
      <w:r w:rsidRPr="0070252B">
        <w:rPr>
          <w:rFonts w:ascii="Book Antiqua" w:eastAsia="Times New Roman" w:hAnsi="Book Antiqua" w:cs="Arial"/>
          <w:color w:val="000000"/>
          <w:sz w:val="19"/>
          <w:szCs w:val="19"/>
          <w:lang w:eastAsia="pt-BR"/>
        </w:rPr>
        <w:t>.</w:t>
      </w:r>
      <w:r w:rsidR="0070252B">
        <w:rPr>
          <w:rFonts w:ascii="Book Antiqua" w:eastAsia="Times New Roman" w:hAnsi="Book Antiqua" w:cs="Arial"/>
          <w:color w:val="000000"/>
          <w:sz w:val="19"/>
          <w:szCs w:val="19"/>
          <w:lang w:eastAsia="pt-BR"/>
        </w:rPr>
        <w:t xml:space="preserve"> </w:t>
      </w:r>
      <w:r w:rsidR="0070252B" w:rsidRPr="0070252B">
        <w:rPr>
          <w:rFonts w:ascii="Book Antiqua" w:eastAsia="Times New Roman" w:hAnsi="Book Antiqua" w:cs="Arial"/>
          <w:b/>
          <w:bCs/>
          <w:color w:val="FF0000"/>
          <w:sz w:val="19"/>
          <w:szCs w:val="19"/>
          <w:u w:val="single"/>
          <w:lang w:eastAsia="pt-BR"/>
        </w:rPr>
        <w:t>(TJBA-2019)</w:t>
      </w:r>
    </w:p>
    <w:p w14:paraId="6ACBD965" w14:textId="1CDFFA19" w:rsidR="00132F70" w:rsidRDefault="00132F70" w:rsidP="00132F70">
      <w:pPr>
        <w:spacing w:before="100" w:beforeAutospacing="1" w:after="100" w:afterAutospacing="1" w:line="240" w:lineRule="auto"/>
        <w:ind w:firstLine="525"/>
        <w:jc w:val="both"/>
        <w:rPr>
          <w:rFonts w:ascii="Book Antiqua" w:eastAsia="Times New Roman" w:hAnsi="Book Antiqua" w:cs="Arial"/>
          <w:b/>
          <w:bCs/>
          <w:color w:val="FF0000"/>
          <w:sz w:val="19"/>
          <w:szCs w:val="19"/>
          <w:u w:val="single"/>
          <w:lang w:eastAsia="pt-BR"/>
        </w:rPr>
      </w:pPr>
      <w:r w:rsidRPr="0070252B">
        <w:rPr>
          <w:rFonts w:ascii="Book Antiqua" w:eastAsia="Times New Roman" w:hAnsi="Book Antiqua" w:cs="Arial"/>
          <w:b/>
          <w:bCs/>
          <w:color w:val="000000"/>
          <w:sz w:val="19"/>
          <w:szCs w:val="19"/>
          <w:highlight w:val="magenta"/>
          <w:lang w:eastAsia="pt-BR"/>
        </w:rPr>
        <w:t>§ 1º</w:t>
      </w:r>
      <w:r w:rsidR="0070252B">
        <w:rPr>
          <w:rFonts w:ascii="Book Antiqua" w:eastAsia="Times New Roman" w:hAnsi="Book Antiqua" w:cs="Arial"/>
          <w:color w:val="000000"/>
          <w:sz w:val="19"/>
          <w:szCs w:val="19"/>
          <w:lang w:eastAsia="pt-BR"/>
        </w:rPr>
        <w:t>.</w:t>
      </w:r>
      <w:r w:rsidRPr="0070252B">
        <w:rPr>
          <w:rFonts w:ascii="Book Antiqua" w:eastAsia="Times New Roman" w:hAnsi="Book Antiqua" w:cs="Arial"/>
          <w:color w:val="000000"/>
          <w:sz w:val="19"/>
          <w:szCs w:val="19"/>
          <w:lang w:eastAsia="pt-BR"/>
        </w:rPr>
        <w:t xml:space="preserve"> Consideram-se conexos, para efeito deste artigo, os </w:t>
      </w:r>
      <w:r w:rsidRPr="0070252B">
        <w:rPr>
          <w:rFonts w:ascii="Book Antiqua" w:eastAsia="Times New Roman" w:hAnsi="Book Antiqua" w:cs="Arial"/>
          <w:b/>
          <w:bCs/>
          <w:color w:val="000000"/>
          <w:sz w:val="19"/>
          <w:szCs w:val="19"/>
          <w:highlight w:val="cyan"/>
          <w:lang w:eastAsia="pt-BR"/>
        </w:rPr>
        <w:t>crimes de qualquer natureza</w:t>
      </w:r>
      <w:r w:rsidRPr="0070252B">
        <w:rPr>
          <w:rFonts w:ascii="Book Antiqua" w:eastAsia="Times New Roman" w:hAnsi="Book Antiqua" w:cs="Arial"/>
          <w:color w:val="000000"/>
          <w:sz w:val="19"/>
          <w:szCs w:val="19"/>
          <w:lang w:eastAsia="pt-BR"/>
        </w:rPr>
        <w:t xml:space="preserve"> relacionados com crimes políticos ou praticados por motivação política.</w:t>
      </w:r>
      <w:r w:rsidR="0070252B">
        <w:rPr>
          <w:rFonts w:ascii="Book Antiqua" w:eastAsia="Times New Roman" w:hAnsi="Book Antiqua" w:cs="Arial"/>
          <w:color w:val="000000"/>
          <w:sz w:val="19"/>
          <w:szCs w:val="19"/>
          <w:lang w:eastAsia="pt-BR"/>
        </w:rPr>
        <w:t xml:space="preserve"> </w:t>
      </w:r>
      <w:r w:rsidR="0070252B" w:rsidRPr="0070252B">
        <w:rPr>
          <w:rFonts w:ascii="Book Antiqua" w:eastAsia="Times New Roman" w:hAnsi="Book Antiqua" w:cs="Arial"/>
          <w:b/>
          <w:bCs/>
          <w:color w:val="FF0000"/>
          <w:sz w:val="19"/>
          <w:szCs w:val="19"/>
          <w:u w:val="single"/>
          <w:lang w:eastAsia="pt-BR"/>
        </w:rPr>
        <w:t>(TJBA-2019)</w:t>
      </w:r>
    </w:p>
    <w:tbl>
      <w:tblPr>
        <w:tblStyle w:val="Tabelacomgrade"/>
        <w:tblW w:w="0" w:type="auto"/>
        <w:tblLook w:val="04A0" w:firstRow="1" w:lastRow="0" w:firstColumn="1" w:lastColumn="0" w:noHBand="0" w:noVBand="1"/>
      </w:tblPr>
      <w:tblGrid>
        <w:gridCol w:w="8494"/>
      </w:tblGrid>
      <w:tr w:rsidR="0070252B" w14:paraId="37E34D7B" w14:textId="77777777" w:rsidTr="0070252B">
        <w:tc>
          <w:tcPr>
            <w:tcW w:w="8494" w:type="dxa"/>
            <w:shd w:val="clear" w:color="auto" w:fill="CCFFFF"/>
          </w:tcPr>
          <w:p w14:paraId="2FFDD50E" w14:textId="1F11A807" w:rsidR="0070252B" w:rsidRPr="0070252B" w:rsidRDefault="0070252B" w:rsidP="00132F70">
            <w:pPr>
              <w:spacing w:before="100" w:beforeAutospacing="1" w:after="100" w:afterAutospacing="1"/>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Times New Roman"/>
                <w:b/>
                <w:bCs/>
                <w:i/>
                <w:iCs/>
                <w:color w:val="FF0000"/>
                <w:sz w:val="19"/>
                <w:szCs w:val="19"/>
                <w:lang w:eastAsia="pt-BR"/>
              </w:rPr>
              <w:t>##</w:t>
            </w:r>
            <w:r w:rsidRPr="0070252B">
              <w:rPr>
                <w:rFonts w:ascii="Book Antiqua" w:eastAsia="Times New Roman" w:hAnsi="Book Antiqua" w:cs="Times New Roman"/>
                <w:b/>
                <w:bCs/>
                <w:i/>
                <w:iCs/>
                <w:color w:val="FF0000"/>
                <w:sz w:val="19"/>
                <w:szCs w:val="19"/>
                <w:highlight w:val="green"/>
                <w:lang w:eastAsia="pt-BR"/>
              </w:rPr>
              <w:t>Atenção</w:t>
            </w:r>
            <w:r w:rsidRPr="0070252B">
              <w:rPr>
                <w:rFonts w:ascii="Book Antiqua" w:eastAsia="Times New Roman" w:hAnsi="Book Antiqua" w:cs="Times New Roman"/>
                <w:b/>
                <w:bCs/>
                <w:i/>
                <w:iCs/>
                <w:color w:val="FF0000"/>
                <w:sz w:val="19"/>
                <w:szCs w:val="19"/>
                <w:lang w:eastAsia="pt-BR"/>
              </w:rPr>
              <w:t>: ##</w:t>
            </w:r>
            <w:r w:rsidRPr="0070252B">
              <w:rPr>
                <w:rFonts w:ascii="Book Antiqua" w:eastAsia="Times New Roman" w:hAnsi="Book Antiqua" w:cs="Times New Roman"/>
                <w:b/>
                <w:bCs/>
                <w:i/>
                <w:iCs/>
                <w:color w:val="FF0000"/>
                <w:sz w:val="19"/>
                <w:szCs w:val="19"/>
                <w:highlight w:val="green"/>
                <w:lang w:eastAsia="pt-BR"/>
              </w:rPr>
              <w:t>TJBA-2019</w:t>
            </w:r>
            <w:r w:rsidRPr="0070252B">
              <w:rPr>
                <w:rFonts w:ascii="Book Antiqua" w:eastAsia="Times New Roman" w:hAnsi="Book Antiqua" w:cs="Times New Roman"/>
                <w:b/>
                <w:bCs/>
                <w:i/>
                <w:iCs/>
                <w:color w:val="FF0000"/>
                <w:sz w:val="19"/>
                <w:szCs w:val="19"/>
                <w:lang w:eastAsia="pt-BR"/>
              </w:rPr>
              <w:t>: ##</w:t>
            </w:r>
            <w:r w:rsidRPr="0070252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0252B">
              <w:rPr>
                <w:rFonts w:ascii="Book Antiqua" w:eastAsia="Times New Roman" w:hAnsi="Book Antiqua" w:cs="Times New Roman"/>
                <w:color w:val="000000"/>
                <w:sz w:val="19"/>
                <w:szCs w:val="19"/>
                <w:lang w:eastAsia="pt-BR"/>
              </w:rPr>
              <w:t xml:space="preserve">A Lei de Anistia </w:t>
            </w:r>
            <w:r w:rsidRPr="00F8400A">
              <w:rPr>
                <w:rFonts w:ascii="Book Antiqua" w:eastAsia="Times New Roman" w:hAnsi="Book Antiqua" w:cs="Times New Roman"/>
                <w:b/>
                <w:bCs/>
                <w:color w:val="000000"/>
                <w:sz w:val="19"/>
                <w:szCs w:val="19"/>
                <w:shd w:val="clear" w:color="auto" w:fill="F7CAAC" w:themeFill="accent2" w:themeFillTint="66"/>
                <w:lang w:eastAsia="pt-BR"/>
              </w:rPr>
              <w:t>se estende</w:t>
            </w:r>
            <w:r w:rsidRPr="0070252B">
              <w:rPr>
                <w:rFonts w:ascii="Book Antiqua" w:eastAsia="Times New Roman" w:hAnsi="Book Antiqua" w:cs="Times New Roman"/>
                <w:color w:val="000000"/>
                <w:sz w:val="19"/>
                <w:szCs w:val="19"/>
                <w:lang w:eastAsia="pt-BR"/>
              </w:rPr>
              <w:t xml:space="preserve"> aos crimes de tortura praticados pelos agentes do Estado que atuaram na repressão durante os governos militares.</w:t>
            </w:r>
            <w:r>
              <w:rPr>
                <w:rFonts w:ascii="Book Antiqua" w:eastAsia="Times New Roman" w:hAnsi="Book Antiqua" w:cs="Times New Roman"/>
                <w:color w:val="000000"/>
                <w:sz w:val="19"/>
                <w:szCs w:val="19"/>
                <w:lang w:eastAsia="pt-BR"/>
              </w:rPr>
              <w:t xml:space="preserve"> Nesse sentido, vejamos a seguinte decisão do STF: </w:t>
            </w:r>
            <w:r w:rsidRPr="00F8400A">
              <w:rPr>
                <w:rFonts w:ascii="Book Antiqua" w:eastAsia="Times New Roman" w:hAnsi="Book Antiqua" w:cs="Times New Roman"/>
                <w:i/>
                <w:iCs/>
                <w:color w:val="000000"/>
                <w:sz w:val="19"/>
                <w:szCs w:val="19"/>
                <w:lang w:eastAsia="pt-BR"/>
              </w:rPr>
              <w:t xml:space="preserve">“(...) </w:t>
            </w:r>
            <w:r w:rsidRPr="00F8400A">
              <w:rPr>
                <w:rFonts w:ascii="Book Antiqua" w:eastAsia="Times New Roman" w:hAnsi="Book Antiqua" w:cs="Times New Roman"/>
                <w:b/>
                <w:bCs/>
                <w:i/>
                <w:iCs/>
                <w:color w:val="000000"/>
                <w:sz w:val="19"/>
                <w:szCs w:val="19"/>
                <w:highlight w:val="yellow"/>
                <w:lang w:eastAsia="pt-BR"/>
              </w:rPr>
              <w:t>A lei estendeu a conexão aos crimes praticados pelos agentes do Estado contra os que lutavam contra o Estado de exceção</w:t>
            </w:r>
            <w:r w:rsidRPr="00F8400A">
              <w:rPr>
                <w:rFonts w:ascii="Book Antiqua" w:eastAsia="Times New Roman" w:hAnsi="Book Antiqua" w:cs="Times New Roman"/>
                <w:i/>
                <w:iCs/>
                <w:color w:val="000000"/>
                <w:sz w:val="19"/>
                <w:szCs w:val="19"/>
                <w:lang w:eastAsia="pt-BR"/>
              </w:rPr>
              <w:t>; daí o caráter bilateral da anistia, ampla e geral, que somente não foi irrestrita porque não abrangia os já condenados --- e com sentença transitada em julgado, qual o Supremo assentou --- pela prática de crimes de terrorismo, assalto, sequestro e atentado pessoal. (...)</w:t>
            </w:r>
            <w:r w:rsidR="00F8400A">
              <w:rPr>
                <w:rFonts w:ascii="Book Antiqua" w:eastAsia="Times New Roman" w:hAnsi="Book Antiqua" w:cs="Times New Roman"/>
                <w:i/>
                <w:iCs/>
                <w:color w:val="000000"/>
                <w:sz w:val="19"/>
                <w:szCs w:val="19"/>
                <w:lang w:eastAsia="pt-BR"/>
              </w:rPr>
              <w:t xml:space="preserve"> </w:t>
            </w:r>
            <w:r w:rsidRPr="00F8400A">
              <w:rPr>
                <w:rFonts w:ascii="Book Antiqua" w:eastAsia="Times New Roman" w:hAnsi="Book Antiqua" w:cs="Times New Roman"/>
                <w:i/>
                <w:iCs/>
                <w:color w:val="000000"/>
                <w:sz w:val="19"/>
                <w:szCs w:val="19"/>
                <w:lang w:eastAsia="pt-BR"/>
              </w:rPr>
              <w:t>Revisão de lei de anistia, se mudanças do tempo e da sociedade a impuserem, haverá - ou não - de ser feita pelo Poder Legislativo, não pelo Poder Judiciário</w:t>
            </w:r>
            <w:r w:rsidR="00F8400A" w:rsidRPr="00F8400A">
              <w:rPr>
                <w:rFonts w:ascii="Book Antiqua" w:eastAsia="Times New Roman" w:hAnsi="Book Antiqua" w:cs="Times New Roman"/>
                <w:i/>
                <w:iCs/>
                <w:color w:val="000000"/>
                <w:sz w:val="19"/>
                <w:szCs w:val="19"/>
                <w:lang w:eastAsia="pt-BR"/>
              </w:rPr>
              <w:t xml:space="preserve"> (...)”</w:t>
            </w:r>
            <w:r w:rsidRPr="0070252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STF. Plenário. </w:t>
            </w:r>
            <w:r w:rsidRPr="0070252B">
              <w:rPr>
                <w:rFonts w:ascii="Book Antiqua" w:eastAsia="Times New Roman" w:hAnsi="Book Antiqua" w:cs="Times New Roman"/>
                <w:color w:val="000000"/>
                <w:sz w:val="19"/>
                <w:szCs w:val="19"/>
                <w:lang w:eastAsia="pt-BR"/>
              </w:rPr>
              <w:t>ADPF 153, Rel</w:t>
            </w:r>
            <w:r>
              <w:rPr>
                <w:rFonts w:ascii="Book Antiqua" w:eastAsia="Times New Roman" w:hAnsi="Book Antiqua" w:cs="Times New Roman"/>
                <w:color w:val="000000"/>
                <w:sz w:val="19"/>
                <w:szCs w:val="19"/>
                <w:lang w:eastAsia="pt-BR"/>
              </w:rPr>
              <w:t xml:space="preserve">. Min. </w:t>
            </w:r>
            <w:r w:rsidRPr="0070252B">
              <w:rPr>
                <w:rFonts w:ascii="Book Antiqua" w:eastAsia="Times New Roman" w:hAnsi="Book Antiqua" w:cs="Times New Roman"/>
                <w:color w:val="000000"/>
                <w:sz w:val="19"/>
                <w:szCs w:val="19"/>
                <w:lang w:eastAsia="pt-BR"/>
              </w:rPr>
              <w:t>E</w:t>
            </w:r>
            <w:r>
              <w:rPr>
                <w:rFonts w:ascii="Book Antiqua" w:eastAsia="Times New Roman" w:hAnsi="Book Antiqua" w:cs="Times New Roman"/>
                <w:color w:val="000000"/>
                <w:sz w:val="19"/>
                <w:szCs w:val="19"/>
                <w:lang w:eastAsia="pt-BR"/>
              </w:rPr>
              <w:t>ros</w:t>
            </w:r>
            <w:r w:rsidRPr="0070252B">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rau</w:t>
            </w:r>
            <w:r w:rsidRPr="0070252B">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0252B">
              <w:rPr>
                <w:rFonts w:ascii="Book Antiqua" w:eastAsia="Times New Roman" w:hAnsi="Book Antiqua" w:cs="Times New Roman"/>
                <w:color w:val="000000"/>
                <w:sz w:val="19"/>
                <w:szCs w:val="19"/>
                <w:lang w:eastAsia="pt-BR"/>
              </w:rPr>
              <w:t xml:space="preserve"> 29/04/10</w:t>
            </w:r>
            <w:r>
              <w:rPr>
                <w:rFonts w:ascii="Book Antiqua" w:eastAsia="Times New Roman" w:hAnsi="Book Antiqua" w:cs="Times New Roman"/>
                <w:color w:val="000000"/>
                <w:sz w:val="19"/>
                <w:szCs w:val="19"/>
                <w:lang w:eastAsia="pt-BR"/>
              </w:rPr>
              <w:t>.</w:t>
            </w:r>
          </w:p>
        </w:tc>
      </w:tr>
    </w:tbl>
    <w:p w14:paraId="295FF413" w14:textId="67120A11"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2º</w:t>
      </w:r>
      <w:r w:rsidR="0070252B">
        <w:rPr>
          <w:rFonts w:ascii="Book Antiqua" w:eastAsia="Times New Roman" w:hAnsi="Book Antiqua" w:cs="Arial"/>
          <w:color w:val="000000"/>
          <w:sz w:val="19"/>
          <w:szCs w:val="19"/>
          <w:lang w:eastAsia="pt-BR"/>
        </w:rPr>
        <w:t>.</w:t>
      </w:r>
      <w:r w:rsidRPr="0070252B">
        <w:rPr>
          <w:rFonts w:ascii="Book Antiqua" w:eastAsia="Times New Roman" w:hAnsi="Book Antiqua" w:cs="Arial"/>
          <w:color w:val="000000"/>
          <w:sz w:val="19"/>
          <w:szCs w:val="19"/>
          <w:lang w:eastAsia="pt-BR"/>
        </w:rPr>
        <w:t xml:space="preserve"> Excetuam-se dos benefícios da anistia os que foram condenados pela prática de crimes de terrorismo, assalto, </w:t>
      </w:r>
      <w:proofErr w:type="spellStart"/>
      <w:r w:rsidRPr="0070252B">
        <w:rPr>
          <w:rFonts w:ascii="Book Antiqua" w:eastAsia="Times New Roman" w:hAnsi="Book Antiqua" w:cs="Arial"/>
          <w:color w:val="000000"/>
          <w:sz w:val="19"/>
          <w:szCs w:val="19"/>
          <w:lang w:eastAsia="pt-BR"/>
        </w:rPr>
        <w:t>seqüestro</w:t>
      </w:r>
      <w:proofErr w:type="spellEnd"/>
      <w:r w:rsidRPr="0070252B">
        <w:rPr>
          <w:rFonts w:ascii="Book Antiqua" w:eastAsia="Times New Roman" w:hAnsi="Book Antiqua" w:cs="Arial"/>
          <w:color w:val="000000"/>
          <w:sz w:val="19"/>
          <w:szCs w:val="19"/>
          <w:lang w:eastAsia="pt-BR"/>
        </w:rPr>
        <w:t xml:space="preserve"> e atentado pessoal.</w:t>
      </w:r>
    </w:p>
    <w:p w14:paraId="61234475" w14:textId="3F95A18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3º</w:t>
      </w:r>
      <w:r w:rsidR="0070252B">
        <w:rPr>
          <w:rFonts w:ascii="Book Antiqua" w:eastAsia="Times New Roman" w:hAnsi="Book Antiqua" w:cs="Arial"/>
          <w:color w:val="000000"/>
          <w:sz w:val="19"/>
          <w:szCs w:val="19"/>
          <w:lang w:eastAsia="pt-BR"/>
        </w:rPr>
        <w:t>.</w:t>
      </w:r>
      <w:r w:rsidRPr="0070252B">
        <w:rPr>
          <w:rFonts w:ascii="Book Antiqua" w:eastAsia="Times New Roman" w:hAnsi="Book Antiqua" w:cs="Arial"/>
          <w:color w:val="000000"/>
          <w:sz w:val="19"/>
          <w:szCs w:val="19"/>
          <w:lang w:eastAsia="pt-BR"/>
        </w:rPr>
        <w:t xml:space="preserve"> Terá direito à reversão ao Serviço Público a esposa do militar demitido por Ato Institucional, que foi obrigada a pedir exoneração do respectivo cargo, para poder habilitar-se ao montepio militar, obedecidas as exigências do art. 3º.</w:t>
      </w:r>
    </w:p>
    <w:p w14:paraId="21062841"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xml:space="preserve">Art. 2º </w:t>
      </w:r>
      <w:hyperlink r:id="rId9" w:anchor="art22" w:history="1">
        <w:r w:rsidRPr="0070252B">
          <w:rPr>
            <w:rFonts w:ascii="Book Antiqua" w:eastAsia="Times New Roman" w:hAnsi="Book Antiqua" w:cs="Arial"/>
            <w:color w:val="0000FF"/>
            <w:sz w:val="19"/>
            <w:szCs w:val="19"/>
            <w:u w:val="single"/>
            <w:lang w:eastAsia="pt-BR"/>
          </w:rPr>
          <w:t>(Revogado pela Lei nº 10.559, de 2002)</w:t>
        </w:r>
      </w:hyperlink>
    </w:p>
    <w:p w14:paraId="044300BC" w14:textId="0049DC4F"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35D0B">
        <w:rPr>
          <w:rFonts w:ascii="Book Antiqua" w:eastAsia="Times New Roman" w:hAnsi="Book Antiqua" w:cs="Arial"/>
          <w:b/>
          <w:bCs/>
          <w:color w:val="000000"/>
          <w:sz w:val="19"/>
          <w:szCs w:val="19"/>
          <w:highlight w:val="magenta"/>
          <w:lang w:eastAsia="pt-BR"/>
        </w:rPr>
        <w:lastRenderedPageBreak/>
        <w:t>Art. 3º</w:t>
      </w:r>
      <w:r w:rsidRPr="0070252B">
        <w:rPr>
          <w:rFonts w:ascii="Book Antiqua" w:eastAsia="Times New Roman" w:hAnsi="Book Antiqua" w:cs="Arial"/>
          <w:color w:val="000000"/>
          <w:sz w:val="19"/>
          <w:szCs w:val="19"/>
          <w:lang w:eastAsia="pt-BR"/>
        </w:rPr>
        <w:t xml:space="preserve"> O retorno ou a reversão ao serviço ativo somente deferido para o mesmo cargo ou emprego, posto ou graduação que o servidor, civil ou militar, ocupava na data de seu afastamento, condicionado, necessariamente, à existência de vaga e ao interesse da Administração.</w:t>
      </w:r>
      <w:r w:rsidR="00035D0B">
        <w:rPr>
          <w:rFonts w:ascii="Book Antiqua" w:eastAsia="Times New Roman" w:hAnsi="Book Antiqua" w:cs="Arial"/>
          <w:color w:val="000000"/>
          <w:sz w:val="19"/>
          <w:szCs w:val="19"/>
          <w:lang w:eastAsia="pt-BR"/>
        </w:rPr>
        <w:t xml:space="preserve"> </w:t>
      </w:r>
      <w:r w:rsidR="00035D0B">
        <w:rPr>
          <w:rFonts w:ascii="Book Antiqua" w:eastAsia="Times New Roman" w:hAnsi="Book Antiqua" w:cs="Times New Roman"/>
          <w:b/>
          <w:bCs/>
          <w:color w:val="FF0000"/>
          <w:sz w:val="19"/>
          <w:szCs w:val="19"/>
          <w:u w:val="single"/>
          <w:lang w:eastAsia="pt-BR"/>
        </w:rPr>
        <w:t>(TRF4-2014)</w:t>
      </w:r>
    </w:p>
    <w:p w14:paraId="197FEBD7"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1º - Os requerimentos serão processados e instituídos por comissões especialmente designadas pela autoridade a qual caiba a apreciá-los.</w:t>
      </w:r>
    </w:p>
    <w:p w14:paraId="5B874BC7"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2º - O despacho decisório será proferido nos centos e oitenta dias seguintes ao recebimento do pedido.</w:t>
      </w:r>
    </w:p>
    <w:p w14:paraId="707305BB"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3º - No caso de deferimento, o servidor civil será incluído em Quadro Suplementar e o Militar de acordo com o que estabelecer o Decreto a que se refere o art. 13 desta Lei.</w:t>
      </w:r>
    </w:p>
    <w:p w14:paraId="07AFBB1E"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4º - O retorno e a reversão ao serviço ativo não serão permitidos se o afastamento tiver sido motivado por improbabilidade do servidor.</w:t>
      </w:r>
    </w:p>
    <w:p w14:paraId="7BAA1BD3"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xml:space="preserve">§ 5º -   </w:t>
      </w:r>
      <w:hyperlink r:id="rId10" w:anchor="art22" w:history="1">
        <w:r w:rsidRPr="0070252B">
          <w:rPr>
            <w:rFonts w:ascii="Book Antiqua" w:eastAsia="Times New Roman" w:hAnsi="Book Antiqua" w:cs="Arial"/>
            <w:color w:val="0000FF"/>
            <w:sz w:val="19"/>
            <w:szCs w:val="19"/>
            <w:u w:val="single"/>
            <w:lang w:eastAsia="pt-BR"/>
          </w:rPr>
          <w:t>(Revogado pela Lei nº 10.559, de 2002)</w:t>
        </w:r>
      </w:hyperlink>
    </w:p>
    <w:p w14:paraId="47FA7B1E"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70252B">
        <w:rPr>
          <w:rFonts w:ascii="Book Antiqua" w:eastAsia="Times New Roman" w:hAnsi="Book Antiqua" w:cs="Arial"/>
          <w:color w:val="000000"/>
          <w:sz w:val="19"/>
          <w:szCs w:val="19"/>
          <w:lang w:eastAsia="pt-BR"/>
        </w:rPr>
        <w:t>Arts</w:t>
      </w:r>
      <w:proofErr w:type="spellEnd"/>
      <w:r w:rsidRPr="0070252B">
        <w:rPr>
          <w:rFonts w:ascii="Book Antiqua" w:eastAsia="Times New Roman" w:hAnsi="Book Antiqua" w:cs="Arial"/>
          <w:color w:val="000000"/>
          <w:sz w:val="19"/>
          <w:szCs w:val="19"/>
          <w:lang w:eastAsia="pt-BR"/>
        </w:rPr>
        <w:t xml:space="preserve">. 4º e 5º </w:t>
      </w:r>
      <w:hyperlink r:id="rId11" w:anchor="art22" w:history="1">
        <w:r w:rsidRPr="0070252B">
          <w:rPr>
            <w:rFonts w:ascii="Book Antiqua" w:eastAsia="Times New Roman" w:hAnsi="Book Antiqua" w:cs="Arial"/>
            <w:color w:val="0000FF"/>
            <w:sz w:val="19"/>
            <w:szCs w:val="19"/>
            <w:u w:val="single"/>
            <w:lang w:eastAsia="pt-BR"/>
          </w:rPr>
          <w:t>(Revogados pela Lei nº 10.559, de 2002)</w:t>
        </w:r>
      </w:hyperlink>
    </w:p>
    <w:p w14:paraId="6F520556"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6º O cônjuge, qualquer parente, ou afim, na linha reta, ou na colateral, ou o Ministro Público, poderá requerer a declaração de ausência de pessoa que, envolvida em atividades políticas, esteja, até a data de vigência desta Lei, desaparecida do seu domicílio, sem que dela haja notícias por mais de 1 (um) ano</w:t>
      </w:r>
    </w:p>
    <w:p w14:paraId="38A3B379"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1º - Na petição, o requerente, exibindo a prova de sua legitimidade, oferecerá rol de, no mínimo, 3 (três) testemunhas e os documentos relativos ao desaparecimento, se existentes.</w:t>
      </w:r>
    </w:p>
    <w:p w14:paraId="7B28ECEA"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2º - O juiz designará audiência, que, na presença do órgão do Ministério Público, será realizada nos 10 (dez) dias seguintes ao da apresentação do requerente e proferirá, tanto que concluída a instrução, no prazo máximo de 5 (cinco) dias, sentença, da qual, se concessiva do pedido, não caberá recurso.</w:t>
      </w:r>
    </w:p>
    <w:p w14:paraId="6C15C38B"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xml:space="preserve">§ 3º - Se os documentos apresentados pelo requerente </w:t>
      </w:r>
      <w:proofErr w:type="spellStart"/>
      <w:r w:rsidRPr="0070252B">
        <w:rPr>
          <w:rFonts w:ascii="Book Antiqua" w:eastAsia="Times New Roman" w:hAnsi="Book Antiqua" w:cs="Arial"/>
          <w:color w:val="000000"/>
          <w:sz w:val="19"/>
          <w:szCs w:val="19"/>
          <w:lang w:eastAsia="pt-BR"/>
        </w:rPr>
        <w:t>constituirem</w:t>
      </w:r>
      <w:proofErr w:type="spellEnd"/>
      <w:r w:rsidRPr="0070252B">
        <w:rPr>
          <w:rFonts w:ascii="Book Antiqua" w:eastAsia="Times New Roman" w:hAnsi="Book Antiqua" w:cs="Arial"/>
          <w:color w:val="000000"/>
          <w:sz w:val="19"/>
          <w:szCs w:val="19"/>
          <w:lang w:eastAsia="pt-BR"/>
        </w:rPr>
        <w:t xml:space="preserve"> prova suficiente do desaparecimento, o juiz, ouvido o Ministério Público em 24 (vinte e quatro) horas, proferirá, no prazo de 5 (cinco) dias e independentemente de audiência, sentença, da qual, se concessiva, não caberá recurso.</w:t>
      </w:r>
    </w:p>
    <w:p w14:paraId="19FB9320"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4º - Depois de averbada no registro civil, a sentença que declarar a ausência gera a presunção de morte do desaparecido, para os fins de dissolução do casamento e de abertura de sucessão definitiva.</w:t>
      </w:r>
    </w:p>
    <w:p w14:paraId="6347EE31"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7º A conhecida anistia aos empregados das empresas privadas que, por motivo de participação em grave ou em quaisquer movimentos reivindicatórios ou de reclamação de direitos regidos pela legislação social, haja sido despedidos do trabalho, ou destituídos de cargos administrativos ou de representação sindical.</w:t>
      </w:r>
    </w:p>
    <w:p w14:paraId="5989B726"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8º Os anistiados, em relação as infrações e penalidades decorrentes do não cumprimento das obrigações do serviço militar, os que à época do recrutamento, se encontravam, por motivos políticos, exilados ou impossibilitados de se apresentarem.</w:t>
      </w:r>
    </w:p>
    <w:p w14:paraId="1344157C"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Parágrafo único. O disposto nesse artigo aplica-se aos dependentes do anistiado.</w:t>
      </w:r>
    </w:p>
    <w:p w14:paraId="35F8E002"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9º Terão os benefícios da anistia os dirigentes e representantes sindicais punidos pelos Atos a que se refere o art. 1º, ou que tenham sofrido punições disciplinares incorrido em faltas ao serviço naquele período, desde que não excedentes de 30 (trinta) dias, bem como os estudantes.</w:t>
      </w:r>
    </w:p>
    <w:p w14:paraId="27B67BC7"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lastRenderedPageBreak/>
        <w:t>Art. 10.Os servidores civis e militares reaproveitados, nos termos do art. 2º, será contado o tempo de afastamento do serviço ativo, respeitado o disposto no art. 11.</w:t>
      </w:r>
    </w:p>
    <w:p w14:paraId="1EB74CF9"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11.Esta Lei, além dos direitos nela expressos, não gera quaisquer outros, inclusive aqueles relativos a vencimentos, saldos, salários, proventos, restituições, atrasados, indenizações, promoções ou ressarcimentos.</w:t>
      </w:r>
    </w:p>
    <w:p w14:paraId="7910B176"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12.Os anistiados que se inscreveram em partido político legalmente constituído poderão voltar e ser votados nas convenções partidárias a se realizarem no prazo de 1 (um) ano a partir da vigência desta Lei.</w:t>
      </w:r>
    </w:p>
    <w:p w14:paraId="1075073D"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13.O Poder Executivo, dentro de 30 (trinta) dias, baixará decreto regulamentando esta Lei.</w:t>
      </w:r>
    </w:p>
    <w:p w14:paraId="74A35CF0"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14.Esta Lei entrará em vigor na data de sua publicação.</w:t>
      </w:r>
    </w:p>
    <w:p w14:paraId="3A3162B7"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Art. 15.Revogam-se as disposições em contrário.</w:t>
      </w:r>
    </w:p>
    <w:p w14:paraId="13A4E651" w14:textId="77777777" w:rsidR="00132F70" w:rsidRPr="0070252B" w:rsidRDefault="00132F70" w:rsidP="00132F70">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Brasília, 28 de agosto de 1979; 158º da Independência e 91º da República.</w:t>
      </w:r>
    </w:p>
    <w:p w14:paraId="3824711E" w14:textId="77777777" w:rsidR="00132F70" w:rsidRPr="0070252B" w:rsidRDefault="00132F70" w:rsidP="00132F70">
      <w:pPr>
        <w:spacing w:before="100" w:beforeAutospacing="1" w:after="100" w:afterAutospacing="1" w:line="240" w:lineRule="auto"/>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000000"/>
          <w:sz w:val="19"/>
          <w:szCs w:val="19"/>
          <w:lang w:eastAsia="pt-BR"/>
        </w:rPr>
        <w:t xml:space="preserve">JOÃO FIGUEIREDO </w:t>
      </w:r>
      <w:r w:rsidRPr="0070252B">
        <w:rPr>
          <w:rFonts w:ascii="Book Antiqua" w:eastAsia="Times New Roman" w:hAnsi="Book Antiqua" w:cs="Arial"/>
          <w:color w:val="000000"/>
          <w:sz w:val="19"/>
          <w:szCs w:val="19"/>
          <w:lang w:eastAsia="pt-BR"/>
        </w:rPr>
        <w:br/>
      </w:r>
      <w:r w:rsidRPr="0070252B">
        <w:rPr>
          <w:rFonts w:ascii="Book Antiqua" w:eastAsia="Times New Roman" w:hAnsi="Book Antiqua" w:cs="Arial"/>
          <w:i/>
          <w:iCs/>
          <w:color w:val="000000"/>
          <w:sz w:val="19"/>
          <w:szCs w:val="19"/>
          <w:lang w:eastAsia="pt-BR"/>
        </w:rPr>
        <w:t xml:space="preserve">Petrônio Portella </w:t>
      </w:r>
      <w:r w:rsidRPr="0070252B">
        <w:rPr>
          <w:rFonts w:ascii="Book Antiqua" w:eastAsia="Times New Roman" w:hAnsi="Book Antiqua" w:cs="Arial"/>
          <w:i/>
          <w:iCs/>
          <w:color w:val="000000"/>
          <w:sz w:val="19"/>
          <w:szCs w:val="19"/>
          <w:lang w:eastAsia="pt-BR"/>
        </w:rPr>
        <w:br/>
        <w:t xml:space="preserve">Maximiano Fonseca </w:t>
      </w:r>
      <w:r w:rsidRPr="0070252B">
        <w:rPr>
          <w:rFonts w:ascii="Book Antiqua" w:eastAsia="Times New Roman" w:hAnsi="Book Antiqua" w:cs="Arial"/>
          <w:i/>
          <w:iCs/>
          <w:color w:val="000000"/>
          <w:sz w:val="19"/>
          <w:szCs w:val="19"/>
          <w:lang w:eastAsia="pt-BR"/>
        </w:rPr>
        <w:br/>
        <w:t xml:space="preserve">Walter Pires </w:t>
      </w:r>
      <w:r w:rsidRPr="0070252B">
        <w:rPr>
          <w:rFonts w:ascii="Book Antiqua" w:eastAsia="Times New Roman" w:hAnsi="Book Antiqua" w:cs="Arial"/>
          <w:i/>
          <w:iCs/>
          <w:color w:val="000000"/>
          <w:sz w:val="19"/>
          <w:szCs w:val="19"/>
          <w:lang w:eastAsia="pt-BR"/>
        </w:rPr>
        <w:br/>
        <w:t xml:space="preserve">R. S. Guerreiro </w:t>
      </w:r>
      <w:r w:rsidRPr="0070252B">
        <w:rPr>
          <w:rFonts w:ascii="Book Antiqua" w:eastAsia="Times New Roman" w:hAnsi="Book Antiqua" w:cs="Arial"/>
          <w:i/>
          <w:iCs/>
          <w:color w:val="000000"/>
          <w:sz w:val="19"/>
          <w:szCs w:val="19"/>
          <w:lang w:eastAsia="pt-BR"/>
        </w:rPr>
        <w:br/>
      </w:r>
      <w:proofErr w:type="spellStart"/>
      <w:r w:rsidRPr="0070252B">
        <w:rPr>
          <w:rFonts w:ascii="Book Antiqua" w:eastAsia="Times New Roman" w:hAnsi="Book Antiqua" w:cs="Arial"/>
          <w:i/>
          <w:iCs/>
          <w:color w:val="000000"/>
          <w:sz w:val="19"/>
          <w:szCs w:val="19"/>
          <w:lang w:eastAsia="pt-BR"/>
        </w:rPr>
        <w:t>Karlos</w:t>
      </w:r>
      <w:proofErr w:type="spellEnd"/>
      <w:r w:rsidRPr="0070252B">
        <w:rPr>
          <w:rFonts w:ascii="Book Antiqua" w:eastAsia="Times New Roman" w:hAnsi="Book Antiqua" w:cs="Arial"/>
          <w:i/>
          <w:iCs/>
          <w:color w:val="000000"/>
          <w:sz w:val="19"/>
          <w:szCs w:val="19"/>
          <w:lang w:eastAsia="pt-BR"/>
        </w:rPr>
        <w:t xml:space="preserve"> </w:t>
      </w:r>
      <w:proofErr w:type="spellStart"/>
      <w:r w:rsidRPr="0070252B">
        <w:rPr>
          <w:rFonts w:ascii="Book Antiqua" w:eastAsia="Times New Roman" w:hAnsi="Book Antiqua" w:cs="Arial"/>
          <w:i/>
          <w:iCs/>
          <w:color w:val="000000"/>
          <w:sz w:val="19"/>
          <w:szCs w:val="19"/>
          <w:lang w:eastAsia="pt-BR"/>
        </w:rPr>
        <w:t>Rischbieter</w:t>
      </w:r>
      <w:proofErr w:type="spellEnd"/>
      <w:r w:rsidRPr="0070252B">
        <w:rPr>
          <w:rFonts w:ascii="Book Antiqua" w:eastAsia="Times New Roman" w:hAnsi="Book Antiqua" w:cs="Arial"/>
          <w:i/>
          <w:iCs/>
          <w:color w:val="000000"/>
          <w:sz w:val="19"/>
          <w:szCs w:val="19"/>
          <w:lang w:eastAsia="pt-BR"/>
        </w:rPr>
        <w:br/>
        <w:t xml:space="preserve">Eliseu Resende </w:t>
      </w:r>
      <w:r w:rsidRPr="0070252B">
        <w:rPr>
          <w:rFonts w:ascii="Book Antiqua" w:eastAsia="Times New Roman" w:hAnsi="Book Antiqua" w:cs="Arial"/>
          <w:i/>
          <w:iCs/>
          <w:color w:val="000000"/>
          <w:sz w:val="19"/>
          <w:szCs w:val="19"/>
          <w:lang w:eastAsia="pt-BR"/>
        </w:rPr>
        <w:br/>
        <w:t xml:space="preserve">Ângelo Amaury </w:t>
      </w:r>
      <w:proofErr w:type="spellStart"/>
      <w:r w:rsidRPr="0070252B">
        <w:rPr>
          <w:rFonts w:ascii="Book Antiqua" w:eastAsia="Times New Roman" w:hAnsi="Book Antiqua" w:cs="Arial"/>
          <w:i/>
          <w:iCs/>
          <w:color w:val="000000"/>
          <w:sz w:val="19"/>
          <w:szCs w:val="19"/>
          <w:lang w:eastAsia="pt-BR"/>
        </w:rPr>
        <w:t>Stabile</w:t>
      </w:r>
      <w:proofErr w:type="spellEnd"/>
      <w:r w:rsidRPr="0070252B">
        <w:rPr>
          <w:rFonts w:ascii="Book Antiqua" w:eastAsia="Times New Roman" w:hAnsi="Book Antiqua" w:cs="Arial"/>
          <w:i/>
          <w:iCs/>
          <w:color w:val="000000"/>
          <w:sz w:val="19"/>
          <w:szCs w:val="19"/>
          <w:lang w:eastAsia="pt-BR"/>
        </w:rPr>
        <w:t xml:space="preserve"> </w:t>
      </w:r>
      <w:r w:rsidRPr="0070252B">
        <w:rPr>
          <w:rFonts w:ascii="Book Antiqua" w:eastAsia="Times New Roman" w:hAnsi="Book Antiqua" w:cs="Arial"/>
          <w:i/>
          <w:iCs/>
          <w:color w:val="000000"/>
          <w:sz w:val="19"/>
          <w:szCs w:val="19"/>
          <w:lang w:eastAsia="pt-BR"/>
        </w:rPr>
        <w:br/>
        <w:t xml:space="preserve">E. Portella </w:t>
      </w:r>
      <w:r w:rsidRPr="0070252B">
        <w:rPr>
          <w:rFonts w:ascii="Book Antiqua" w:eastAsia="Times New Roman" w:hAnsi="Book Antiqua" w:cs="Arial"/>
          <w:i/>
          <w:iCs/>
          <w:color w:val="000000"/>
          <w:sz w:val="19"/>
          <w:szCs w:val="19"/>
          <w:lang w:eastAsia="pt-BR"/>
        </w:rPr>
        <w:br/>
        <w:t xml:space="preserve">Murillo Macêdo </w:t>
      </w:r>
      <w:r w:rsidRPr="0070252B">
        <w:rPr>
          <w:rFonts w:ascii="Book Antiqua" w:eastAsia="Times New Roman" w:hAnsi="Book Antiqua" w:cs="Arial"/>
          <w:i/>
          <w:iCs/>
          <w:color w:val="000000"/>
          <w:sz w:val="19"/>
          <w:szCs w:val="19"/>
          <w:lang w:eastAsia="pt-BR"/>
        </w:rPr>
        <w:br/>
      </w:r>
      <w:proofErr w:type="spellStart"/>
      <w:r w:rsidRPr="0070252B">
        <w:rPr>
          <w:rFonts w:ascii="Book Antiqua" w:eastAsia="Times New Roman" w:hAnsi="Book Antiqua" w:cs="Arial"/>
          <w:i/>
          <w:iCs/>
          <w:color w:val="000000"/>
          <w:sz w:val="19"/>
          <w:szCs w:val="19"/>
          <w:lang w:eastAsia="pt-BR"/>
        </w:rPr>
        <w:t>Délio</w:t>
      </w:r>
      <w:proofErr w:type="spellEnd"/>
      <w:r w:rsidRPr="0070252B">
        <w:rPr>
          <w:rFonts w:ascii="Book Antiqua" w:eastAsia="Times New Roman" w:hAnsi="Book Antiqua" w:cs="Arial"/>
          <w:i/>
          <w:iCs/>
          <w:color w:val="000000"/>
          <w:sz w:val="19"/>
          <w:szCs w:val="19"/>
          <w:lang w:eastAsia="pt-BR"/>
        </w:rPr>
        <w:t xml:space="preserve"> Jardim de Mattos </w:t>
      </w:r>
      <w:r w:rsidRPr="0070252B">
        <w:rPr>
          <w:rFonts w:ascii="Book Antiqua" w:eastAsia="Times New Roman" w:hAnsi="Book Antiqua" w:cs="Arial"/>
          <w:i/>
          <w:iCs/>
          <w:color w:val="000000"/>
          <w:sz w:val="19"/>
          <w:szCs w:val="19"/>
          <w:lang w:eastAsia="pt-BR"/>
        </w:rPr>
        <w:br/>
        <w:t xml:space="preserve">Mário Augusto de Castro Lima </w:t>
      </w:r>
      <w:r w:rsidRPr="0070252B">
        <w:rPr>
          <w:rFonts w:ascii="Book Antiqua" w:eastAsia="Times New Roman" w:hAnsi="Book Antiqua" w:cs="Arial"/>
          <w:i/>
          <w:iCs/>
          <w:color w:val="000000"/>
          <w:sz w:val="19"/>
          <w:szCs w:val="19"/>
          <w:lang w:eastAsia="pt-BR"/>
        </w:rPr>
        <w:br/>
        <w:t xml:space="preserve">João Camilo Penna </w:t>
      </w:r>
      <w:r w:rsidRPr="0070252B">
        <w:rPr>
          <w:rFonts w:ascii="Book Antiqua" w:eastAsia="Times New Roman" w:hAnsi="Book Antiqua" w:cs="Arial"/>
          <w:i/>
          <w:iCs/>
          <w:color w:val="000000"/>
          <w:sz w:val="19"/>
          <w:szCs w:val="19"/>
          <w:lang w:eastAsia="pt-BR"/>
        </w:rPr>
        <w:br/>
        <w:t xml:space="preserve">Cesar Cals Filho </w:t>
      </w:r>
      <w:r w:rsidRPr="0070252B">
        <w:rPr>
          <w:rFonts w:ascii="Book Antiqua" w:eastAsia="Times New Roman" w:hAnsi="Book Antiqua" w:cs="Arial"/>
          <w:i/>
          <w:iCs/>
          <w:color w:val="000000"/>
          <w:sz w:val="19"/>
          <w:szCs w:val="19"/>
          <w:lang w:eastAsia="pt-BR"/>
        </w:rPr>
        <w:br/>
        <w:t xml:space="preserve">Mário David Andreazza </w:t>
      </w:r>
      <w:r w:rsidRPr="0070252B">
        <w:rPr>
          <w:rFonts w:ascii="Book Antiqua" w:eastAsia="Times New Roman" w:hAnsi="Book Antiqua" w:cs="Arial"/>
          <w:i/>
          <w:iCs/>
          <w:color w:val="000000"/>
          <w:sz w:val="19"/>
          <w:szCs w:val="19"/>
          <w:lang w:eastAsia="pt-BR"/>
        </w:rPr>
        <w:br/>
        <w:t xml:space="preserve">H. C. Mattos </w:t>
      </w:r>
      <w:r w:rsidRPr="0070252B">
        <w:rPr>
          <w:rFonts w:ascii="Book Antiqua" w:eastAsia="Times New Roman" w:hAnsi="Book Antiqua" w:cs="Arial"/>
          <w:i/>
          <w:iCs/>
          <w:color w:val="000000"/>
          <w:sz w:val="19"/>
          <w:szCs w:val="19"/>
          <w:lang w:eastAsia="pt-BR"/>
        </w:rPr>
        <w:br/>
        <w:t xml:space="preserve">Jair Soares </w:t>
      </w:r>
      <w:r w:rsidRPr="0070252B">
        <w:rPr>
          <w:rFonts w:ascii="Book Antiqua" w:eastAsia="Times New Roman" w:hAnsi="Book Antiqua" w:cs="Arial"/>
          <w:i/>
          <w:iCs/>
          <w:color w:val="000000"/>
          <w:sz w:val="19"/>
          <w:szCs w:val="19"/>
          <w:lang w:eastAsia="pt-BR"/>
        </w:rPr>
        <w:br/>
        <w:t xml:space="preserve">Danilo Venturini </w:t>
      </w:r>
      <w:r w:rsidRPr="0070252B">
        <w:rPr>
          <w:rFonts w:ascii="Book Antiqua" w:eastAsia="Times New Roman" w:hAnsi="Book Antiqua" w:cs="Arial"/>
          <w:i/>
          <w:iCs/>
          <w:color w:val="000000"/>
          <w:sz w:val="19"/>
          <w:szCs w:val="19"/>
          <w:lang w:eastAsia="pt-BR"/>
        </w:rPr>
        <w:br/>
        <w:t xml:space="preserve">Golbery do Couto e Silva </w:t>
      </w:r>
      <w:r w:rsidRPr="0070252B">
        <w:rPr>
          <w:rFonts w:ascii="Book Antiqua" w:eastAsia="Times New Roman" w:hAnsi="Book Antiqua" w:cs="Arial"/>
          <w:i/>
          <w:iCs/>
          <w:color w:val="000000"/>
          <w:sz w:val="19"/>
          <w:szCs w:val="19"/>
          <w:lang w:eastAsia="pt-BR"/>
        </w:rPr>
        <w:br/>
        <w:t xml:space="preserve">Octávio Aguiar de Medeiros </w:t>
      </w:r>
      <w:r w:rsidRPr="0070252B">
        <w:rPr>
          <w:rFonts w:ascii="Book Antiqua" w:eastAsia="Times New Roman" w:hAnsi="Book Antiqua" w:cs="Arial"/>
          <w:i/>
          <w:iCs/>
          <w:color w:val="000000"/>
          <w:sz w:val="19"/>
          <w:szCs w:val="19"/>
          <w:lang w:eastAsia="pt-BR"/>
        </w:rPr>
        <w:br/>
        <w:t xml:space="preserve">Samuel Augusto Alves Corrêa </w:t>
      </w:r>
      <w:r w:rsidRPr="0070252B">
        <w:rPr>
          <w:rFonts w:ascii="Book Antiqua" w:eastAsia="Times New Roman" w:hAnsi="Book Antiqua" w:cs="Arial"/>
          <w:i/>
          <w:iCs/>
          <w:color w:val="000000"/>
          <w:sz w:val="19"/>
          <w:szCs w:val="19"/>
          <w:lang w:eastAsia="pt-BR"/>
        </w:rPr>
        <w:br/>
        <w:t xml:space="preserve">Delfim Netto </w:t>
      </w:r>
      <w:r w:rsidRPr="0070252B">
        <w:rPr>
          <w:rFonts w:ascii="Book Antiqua" w:eastAsia="Times New Roman" w:hAnsi="Book Antiqua" w:cs="Arial"/>
          <w:i/>
          <w:iCs/>
          <w:color w:val="000000"/>
          <w:sz w:val="19"/>
          <w:szCs w:val="19"/>
          <w:lang w:eastAsia="pt-BR"/>
        </w:rPr>
        <w:br/>
        <w:t xml:space="preserve">Said </w:t>
      </w:r>
      <w:proofErr w:type="spellStart"/>
      <w:r w:rsidRPr="0070252B">
        <w:rPr>
          <w:rFonts w:ascii="Book Antiqua" w:eastAsia="Times New Roman" w:hAnsi="Book Antiqua" w:cs="Arial"/>
          <w:i/>
          <w:iCs/>
          <w:color w:val="000000"/>
          <w:sz w:val="19"/>
          <w:szCs w:val="19"/>
          <w:lang w:eastAsia="pt-BR"/>
        </w:rPr>
        <w:t>Farhat</w:t>
      </w:r>
      <w:proofErr w:type="spellEnd"/>
      <w:r w:rsidRPr="0070252B">
        <w:rPr>
          <w:rFonts w:ascii="Book Antiqua" w:eastAsia="Times New Roman" w:hAnsi="Book Antiqua" w:cs="Arial"/>
          <w:i/>
          <w:iCs/>
          <w:color w:val="000000"/>
          <w:sz w:val="19"/>
          <w:szCs w:val="19"/>
          <w:lang w:eastAsia="pt-BR"/>
        </w:rPr>
        <w:t xml:space="preserve"> </w:t>
      </w:r>
      <w:r w:rsidRPr="0070252B">
        <w:rPr>
          <w:rFonts w:ascii="Book Antiqua" w:eastAsia="Times New Roman" w:hAnsi="Book Antiqua" w:cs="Arial"/>
          <w:i/>
          <w:iCs/>
          <w:color w:val="000000"/>
          <w:sz w:val="19"/>
          <w:szCs w:val="19"/>
          <w:lang w:eastAsia="pt-BR"/>
        </w:rPr>
        <w:br/>
        <w:t xml:space="preserve">Hélio Beltrão </w:t>
      </w:r>
    </w:p>
    <w:p w14:paraId="69144E82" w14:textId="77777777" w:rsidR="00132F70" w:rsidRPr="0070252B" w:rsidRDefault="00132F70" w:rsidP="00132F7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0252B">
        <w:rPr>
          <w:rFonts w:ascii="Book Antiqua" w:eastAsia="Times New Roman" w:hAnsi="Book Antiqua" w:cs="Arial"/>
          <w:color w:val="FF0000"/>
          <w:sz w:val="19"/>
          <w:szCs w:val="19"/>
          <w:lang w:eastAsia="pt-BR"/>
        </w:rPr>
        <w:t>Este texto não substitui o publicado no DOU de 28.8.1979</w:t>
      </w:r>
    </w:p>
    <w:p w14:paraId="1EF1A235" w14:textId="77777777" w:rsidR="00D50D3C" w:rsidRPr="0070252B" w:rsidRDefault="00D50D3C" w:rsidP="00132F70">
      <w:pPr>
        <w:jc w:val="both"/>
        <w:rPr>
          <w:rFonts w:ascii="Book Antiqua" w:hAnsi="Book Antiqua"/>
          <w:sz w:val="19"/>
          <w:szCs w:val="19"/>
        </w:rPr>
      </w:pPr>
    </w:p>
    <w:sectPr w:rsidR="00D50D3C" w:rsidRPr="0070252B" w:rsidSect="00CF40A1">
      <w:pgSz w:w="11906" w:h="16838"/>
      <w:pgMar w:top="113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034D3" w14:textId="77777777" w:rsidR="00FF7275" w:rsidRDefault="00FF7275" w:rsidP="00132F70">
      <w:pPr>
        <w:spacing w:after="0" w:line="240" w:lineRule="auto"/>
      </w:pPr>
      <w:r>
        <w:separator/>
      </w:r>
    </w:p>
  </w:endnote>
  <w:endnote w:type="continuationSeparator" w:id="0">
    <w:p w14:paraId="69EF28B3" w14:textId="77777777" w:rsidR="00FF7275" w:rsidRDefault="00FF7275" w:rsidP="00132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52CFE" w14:textId="77777777" w:rsidR="00FF7275" w:rsidRDefault="00FF7275" w:rsidP="00132F70">
      <w:pPr>
        <w:spacing w:after="0" w:line="240" w:lineRule="auto"/>
      </w:pPr>
      <w:r>
        <w:separator/>
      </w:r>
    </w:p>
  </w:footnote>
  <w:footnote w:type="continuationSeparator" w:id="0">
    <w:p w14:paraId="6F13D52C" w14:textId="77777777" w:rsidR="00FF7275" w:rsidRDefault="00FF7275" w:rsidP="00132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D1"/>
    <w:rsid w:val="00035D0B"/>
    <w:rsid w:val="00073EF0"/>
    <w:rsid w:val="0010491E"/>
    <w:rsid w:val="00132F70"/>
    <w:rsid w:val="00685CBB"/>
    <w:rsid w:val="0070252B"/>
    <w:rsid w:val="0085673C"/>
    <w:rsid w:val="00AE373F"/>
    <w:rsid w:val="00CF40A1"/>
    <w:rsid w:val="00D50D3C"/>
    <w:rsid w:val="00E80FD1"/>
    <w:rsid w:val="00F8400A"/>
    <w:rsid w:val="00FF72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A203D"/>
  <w15:chartTrackingRefBased/>
  <w15:docId w15:val="{9235ABD4-B2E1-4921-B3FB-5F8520AF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32F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2F70"/>
  </w:style>
  <w:style w:type="paragraph" w:styleId="Rodap">
    <w:name w:val="footer"/>
    <w:basedOn w:val="Normal"/>
    <w:link w:val="RodapChar"/>
    <w:uiPriority w:val="99"/>
    <w:unhideWhenUsed/>
    <w:rsid w:val="00132F70"/>
    <w:pPr>
      <w:tabs>
        <w:tab w:val="center" w:pos="4252"/>
        <w:tab w:val="right" w:pos="8504"/>
      </w:tabs>
      <w:spacing w:after="0" w:line="240" w:lineRule="auto"/>
    </w:pPr>
  </w:style>
  <w:style w:type="character" w:customStyle="1" w:styleId="RodapChar">
    <w:name w:val="Rodapé Char"/>
    <w:basedOn w:val="Fontepargpadro"/>
    <w:link w:val="Rodap"/>
    <w:uiPriority w:val="99"/>
    <w:rsid w:val="00132F70"/>
  </w:style>
  <w:style w:type="table" w:styleId="Tabelacomgrade">
    <w:name w:val="Table Grid"/>
    <w:basedOn w:val="Tabelanormal"/>
    <w:uiPriority w:val="39"/>
    <w:rsid w:val="00132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32F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331619">
      <w:bodyDiv w:val="1"/>
      <w:marLeft w:val="0"/>
      <w:marRight w:val="0"/>
      <w:marTop w:val="0"/>
      <w:marBottom w:val="0"/>
      <w:divBdr>
        <w:top w:val="none" w:sz="0" w:space="0" w:color="auto"/>
        <w:left w:val="none" w:sz="0" w:space="0" w:color="auto"/>
        <w:bottom w:val="none" w:sz="0" w:space="0" w:color="auto"/>
        <w:right w:val="none" w:sz="0" w:space="0" w:color="auto"/>
      </w:divBdr>
    </w:div>
    <w:div w:id="117966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Mensagem_Veto/anterior_98/vep267-L6683-79.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egislacao.planalto.gov.br/legisla/legislacao.nsf/Viw_Identificacao/lei%206.683-1979?OpenDocu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2002/L10559.htm" TargetMode="External"/><Relationship Id="rId5" Type="http://schemas.openxmlformats.org/officeDocument/2006/relationships/footnotes" Target="footnotes.xml"/><Relationship Id="rId10" Type="http://schemas.openxmlformats.org/officeDocument/2006/relationships/hyperlink" Target="http://www.planalto.gov.br/ccivil_03/LEIS/2002/L10559.htm" TargetMode="External"/><Relationship Id="rId4" Type="http://schemas.openxmlformats.org/officeDocument/2006/relationships/webSettings" Target="webSettings.xml"/><Relationship Id="rId9" Type="http://schemas.openxmlformats.org/officeDocument/2006/relationships/hyperlink" Target="http://www.planalto.gov.br/ccivil_03/LEIS/2002/L1055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1261</Words>
  <Characters>6814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5</cp:revision>
  <dcterms:created xsi:type="dcterms:W3CDTF">2018-08-30T13:27:00Z</dcterms:created>
  <dcterms:modified xsi:type="dcterms:W3CDTF">2021-07-01T18:16:00Z</dcterms:modified>
</cp:coreProperties>
</file>