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B8A35" w14:textId="77777777" w:rsidR="00EB3A2F" w:rsidRPr="00151FF1" w:rsidRDefault="00EB3A2F" w:rsidP="00EB3A2F">
      <w:pPr>
        <w:jc w:val="center"/>
        <w:rPr>
          <w:rFonts w:ascii="Book Antiqua" w:hAnsi="Book Antiqua" w:cs="Times New Roman"/>
          <w:b/>
          <w:sz w:val="19"/>
          <w:szCs w:val="19"/>
        </w:rPr>
      </w:pPr>
      <w:r w:rsidRPr="00151FF1">
        <w:rPr>
          <w:rFonts w:ascii="Book Antiqua" w:hAnsi="Book Antiqua" w:cs="Times New Roman"/>
          <w:b/>
          <w:sz w:val="19"/>
          <w:szCs w:val="19"/>
        </w:rPr>
        <w:t xml:space="preserve">Regulamenta o Estatuto do Desarmamento – Decreto </w:t>
      </w:r>
      <w:r w:rsidR="00D05ACF" w:rsidRPr="00151FF1">
        <w:rPr>
          <w:rFonts w:ascii="Book Antiqua" w:hAnsi="Book Antiqua" w:cs="Times New Roman"/>
          <w:b/>
          <w:sz w:val="19"/>
          <w:szCs w:val="19"/>
        </w:rPr>
        <w:t>9.</w:t>
      </w:r>
      <w:r w:rsidR="002E4CFB" w:rsidRPr="00151FF1">
        <w:rPr>
          <w:rFonts w:ascii="Book Antiqua" w:hAnsi="Book Antiqua" w:cs="Times New Roman"/>
          <w:b/>
          <w:sz w:val="19"/>
          <w:szCs w:val="19"/>
        </w:rPr>
        <w:t>84</w:t>
      </w:r>
      <w:r w:rsidR="00D05ACF" w:rsidRPr="00151FF1">
        <w:rPr>
          <w:rFonts w:ascii="Book Antiqua" w:hAnsi="Book Antiqua" w:cs="Times New Roman"/>
          <w:b/>
          <w:sz w:val="19"/>
          <w:szCs w:val="19"/>
        </w:rPr>
        <w:t>5/2019</w:t>
      </w:r>
      <w:r w:rsidRPr="00151FF1">
        <w:rPr>
          <w:rFonts w:ascii="Book Antiqua" w:hAnsi="Book Antiqua" w:cs="Times New Roman"/>
          <w:b/>
          <w:sz w:val="19"/>
          <w:szCs w:val="19"/>
        </w:rPr>
        <w:t>.</w:t>
      </w:r>
    </w:p>
    <w:p w14:paraId="26920200" w14:textId="77777777" w:rsidR="00EB3A2F" w:rsidRPr="00151FF1" w:rsidRDefault="00EB3A2F" w:rsidP="00EB3A2F">
      <w:pPr>
        <w:jc w:val="center"/>
        <w:rPr>
          <w:rFonts w:ascii="Book Antiqua" w:hAnsi="Book Antiqua" w:cs="Times New Roman"/>
          <w:b/>
          <w:color w:val="FF0000"/>
          <w:sz w:val="19"/>
          <w:szCs w:val="19"/>
        </w:rPr>
      </w:pPr>
      <w:r w:rsidRPr="00151FF1">
        <w:rPr>
          <w:rFonts w:ascii="Book Antiqua" w:hAnsi="Book Antiqua" w:cs="Times New Roman"/>
          <w:b/>
          <w:color w:val="FF0000"/>
          <w:sz w:val="19"/>
          <w:szCs w:val="19"/>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EB3A2F" w:rsidRPr="00151FF1" w14:paraId="69AC2EBC" w14:textId="77777777" w:rsidTr="00D05ACF">
        <w:trPr>
          <w:trHeight w:hRule="exact" w:val="4170"/>
        </w:trPr>
        <w:tc>
          <w:tcPr>
            <w:tcW w:w="8458" w:type="dxa"/>
            <w:shd w:val="clear" w:color="auto" w:fill="E7E6E6" w:themeFill="background2"/>
          </w:tcPr>
          <w:p w14:paraId="4A637F4F" w14:textId="77777777" w:rsidR="00EB3A2F" w:rsidRPr="00151FF1" w:rsidRDefault="00EB3A2F" w:rsidP="00EB3A2F">
            <w:pPr>
              <w:jc w:val="both"/>
              <w:rPr>
                <w:rFonts w:ascii="Book Antiqua" w:eastAsia="Times New Roman" w:hAnsi="Book Antiqua" w:cs="Times New Roman"/>
                <w:b/>
                <w:color w:val="FF0000"/>
                <w:sz w:val="19"/>
                <w:szCs w:val="19"/>
                <w:lang w:eastAsia="pt-BR"/>
              </w:rPr>
            </w:pPr>
            <w:r w:rsidRPr="00151FF1">
              <w:rPr>
                <w:rFonts w:ascii="Book Antiqua" w:eastAsia="Times New Roman" w:hAnsi="Book Antiqua" w:cs="Times New Roman"/>
                <w:b/>
                <w:color w:val="FFFFFF" w:themeColor="background1"/>
                <w:sz w:val="19"/>
                <w:szCs w:val="19"/>
                <w:highlight w:val="black"/>
                <w:lang w:eastAsia="pt-BR"/>
              </w:rPr>
              <w:t>Última atualização legislativa</w:t>
            </w:r>
            <w:r w:rsidRPr="00151FF1">
              <w:rPr>
                <w:rFonts w:ascii="Book Antiqua" w:eastAsia="Times New Roman" w:hAnsi="Book Antiqua" w:cs="Times New Roman"/>
                <w:b/>
                <w:sz w:val="19"/>
                <w:szCs w:val="19"/>
                <w:lang w:eastAsia="pt-BR"/>
              </w:rPr>
              <w:t xml:space="preserve">: </w:t>
            </w:r>
          </w:p>
          <w:p w14:paraId="6617D436" w14:textId="77777777" w:rsidR="00D05ACF" w:rsidRPr="00151FF1" w:rsidRDefault="00D05ACF" w:rsidP="00EB3A2F">
            <w:pPr>
              <w:jc w:val="both"/>
              <w:rPr>
                <w:rFonts w:ascii="Book Antiqua" w:eastAsia="Times New Roman" w:hAnsi="Book Antiqua" w:cs="Times New Roman"/>
                <w:b/>
                <w:sz w:val="19"/>
                <w:szCs w:val="19"/>
                <w:lang w:eastAsia="pt-BR"/>
              </w:rPr>
            </w:pPr>
          </w:p>
          <w:p w14:paraId="3B3505A4" w14:textId="77777777" w:rsidR="00EB3A2F" w:rsidRPr="00151FF1" w:rsidRDefault="00EB3A2F" w:rsidP="00EB3A2F">
            <w:pPr>
              <w:jc w:val="both"/>
              <w:rPr>
                <w:rFonts w:ascii="Book Antiqua" w:eastAsia="Times New Roman" w:hAnsi="Book Antiqua" w:cs="Times New Roman"/>
                <w:b/>
                <w:sz w:val="19"/>
                <w:szCs w:val="19"/>
                <w:lang w:eastAsia="pt-BR"/>
              </w:rPr>
            </w:pPr>
            <w:r w:rsidRPr="00151FF1">
              <w:rPr>
                <w:rFonts w:ascii="Book Antiqua" w:eastAsia="Times New Roman" w:hAnsi="Book Antiqua" w:cs="Times New Roman"/>
                <w:b/>
                <w:color w:val="FFFFFF" w:themeColor="background1"/>
                <w:sz w:val="19"/>
                <w:szCs w:val="19"/>
                <w:highlight w:val="black"/>
                <w:lang w:eastAsia="pt-BR"/>
              </w:rPr>
              <w:t>Última atualização questões de concurso</w:t>
            </w:r>
            <w:r w:rsidRPr="00151FF1">
              <w:rPr>
                <w:rFonts w:ascii="Book Antiqua" w:eastAsia="Times New Roman" w:hAnsi="Book Antiqua" w:cs="Times New Roman"/>
                <w:b/>
                <w:sz w:val="19"/>
                <w:szCs w:val="19"/>
                <w:lang w:eastAsia="pt-BR"/>
              </w:rPr>
              <w:t xml:space="preserve">: </w:t>
            </w:r>
            <w:r w:rsidR="00857CC5" w:rsidRPr="00151FF1">
              <w:rPr>
                <w:rFonts w:ascii="Book Antiqua" w:eastAsia="Times New Roman" w:hAnsi="Book Antiqua" w:cs="Times New Roman"/>
                <w:b/>
                <w:color w:val="FF0000"/>
                <w:sz w:val="19"/>
                <w:szCs w:val="19"/>
                <w:lang w:eastAsia="pt-BR"/>
              </w:rPr>
              <w:t>nenhuma.</w:t>
            </w:r>
          </w:p>
          <w:p w14:paraId="7C263F3D" w14:textId="77777777" w:rsidR="00EB3A2F" w:rsidRPr="00151FF1" w:rsidRDefault="00EB3A2F" w:rsidP="00EB3A2F">
            <w:pPr>
              <w:jc w:val="both"/>
              <w:rPr>
                <w:rFonts w:ascii="Book Antiqua" w:eastAsia="Times New Roman" w:hAnsi="Book Antiqua" w:cs="Times New Roman"/>
                <w:b/>
                <w:sz w:val="19"/>
                <w:szCs w:val="19"/>
                <w:lang w:eastAsia="pt-BR"/>
              </w:rPr>
            </w:pPr>
          </w:p>
          <w:p w14:paraId="6254FF1E" w14:textId="77777777" w:rsidR="00EB3A2F" w:rsidRPr="00151FF1" w:rsidRDefault="00EB3A2F" w:rsidP="00EB3A2F">
            <w:pPr>
              <w:jc w:val="both"/>
              <w:rPr>
                <w:rFonts w:ascii="Book Antiqua" w:eastAsia="Times New Roman" w:hAnsi="Book Antiqua" w:cs="Times New Roman"/>
                <w:b/>
                <w:sz w:val="19"/>
                <w:szCs w:val="19"/>
                <w:lang w:eastAsia="pt-BR"/>
              </w:rPr>
            </w:pPr>
            <w:r w:rsidRPr="00151FF1">
              <w:rPr>
                <w:rFonts w:ascii="Book Antiqua" w:eastAsia="Times New Roman" w:hAnsi="Book Antiqua" w:cs="Times New Roman"/>
                <w:b/>
                <w:color w:val="FFFFFF" w:themeColor="background1"/>
                <w:sz w:val="19"/>
                <w:szCs w:val="19"/>
                <w:highlight w:val="black"/>
                <w:lang w:eastAsia="pt-BR"/>
              </w:rPr>
              <w:t>Observações quanto à compreensão do material</w:t>
            </w:r>
            <w:r w:rsidRPr="00151FF1">
              <w:rPr>
                <w:rFonts w:ascii="Book Antiqua" w:eastAsia="Times New Roman" w:hAnsi="Book Antiqua" w:cs="Times New Roman"/>
                <w:b/>
                <w:sz w:val="19"/>
                <w:szCs w:val="19"/>
                <w:lang w:eastAsia="pt-BR"/>
              </w:rPr>
              <w:t>:</w:t>
            </w:r>
          </w:p>
          <w:p w14:paraId="71CC1AC1" w14:textId="77777777" w:rsidR="00EB3A2F" w:rsidRPr="00151FF1" w:rsidRDefault="00EB3A2F" w:rsidP="00EB3A2F">
            <w:pPr>
              <w:pStyle w:val="PargrafodaLista"/>
              <w:numPr>
                <w:ilvl w:val="0"/>
                <w:numId w:val="2"/>
              </w:numPr>
              <w:jc w:val="both"/>
              <w:rPr>
                <w:rFonts w:ascii="Book Antiqua" w:eastAsia="Times New Roman" w:hAnsi="Book Antiqua" w:cs="Times New Roman"/>
                <w:b/>
                <w:sz w:val="19"/>
                <w:szCs w:val="19"/>
                <w:lang w:eastAsia="pt-BR"/>
              </w:rPr>
            </w:pPr>
            <w:r w:rsidRPr="00151FF1">
              <w:rPr>
                <w:rFonts w:ascii="Book Antiqua" w:eastAsia="Times New Roman" w:hAnsi="Book Antiqua" w:cs="Times New Roman"/>
                <w:b/>
                <w:color w:val="FF0000"/>
                <w:sz w:val="19"/>
                <w:szCs w:val="19"/>
                <w:lang w:eastAsia="pt-BR"/>
              </w:rPr>
              <w:t>Cores utilizadas</w:t>
            </w:r>
            <w:r w:rsidRPr="00151FF1">
              <w:rPr>
                <w:rFonts w:ascii="Book Antiqua" w:eastAsia="Times New Roman" w:hAnsi="Book Antiqua" w:cs="Times New Roman"/>
                <w:b/>
                <w:sz w:val="19"/>
                <w:szCs w:val="19"/>
                <w:lang w:eastAsia="pt-BR"/>
              </w:rPr>
              <w:t>:</w:t>
            </w:r>
          </w:p>
          <w:p w14:paraId="3E2B5DCB" w14:textId="77777777" w:rsidR="00EB3A2F" w:rsidRPr="00151FF1" w:rsidRDefault="00EB3A2F" w:rsidP="00EB3A2F">
            <w:pPr>
              <w:pStyle w:val="PargrafodaLista"/>
              <w:numPr>
                <w:ilvl w:val="0"/>
                <w:numId w:val="1"/>
              </w:numPr>
              <w:jc w:val="both"/>
              <w:rPr>
                <w:rFonts w:ascii="Book Antiqua" w:eastAsia="Times New Roman" w:hAnsi="Book Antiqua" w:cs="Times New Roman"/>
                <w:sz w:val="19"/>
                <w:szCs w:val="19"/>
                <w:lang w:eastAsia="pt-BR"/>
              </w:rPr>
            </w:pPr>
            <w:r w:rsidRPr="00151FF1">
              <w:rPr>
                <w:rFonts w:ascii="Book Antiqua" w:eastAsia="Times New Roman" w:hAnsi="Book Antiqua" w:cs="Times New Roman"/>
                <w:b/>
                <w:sz w:val="19"/>
                <w:szCs w:val="19"/>
                <w:highlight w:val="green"/>
                <w:lang w:eastAsia="pt-BR"/>
              </w:rPr>
              <w:t>EM VERDE</w:t>
            </w:r>
            <w:r w:rsidRPr="00151FF1">
              <w:rPr>
                <w:rFonts w:ascii="Book Antiqua" w:eastAsia="Times New Roman" w:hAnsi="Book Antiqua" w:cs="Times New Roman"/>
                <w:sz w:val="19"/>
                <w:szCs w:val="19"/>
                <w:lang w:eastAsia="pt-BR"/>
              </w:rPr>
              <w:t>: destaque aos títulos, capítulos, bem como outras informações relevantes, etc.</w:t>
            </w:r>
          </w:p>
          <w:p w14:paraId="20B9FC01" w14:textId="77777777" w:rsidR="00EB3A2F" w:rsidRPr="00151FF1" w:rsidRDefault="00EB3A2F" w:rsidP="00EB3A2F">
            <w:pPr>
              <w:pStyle w:val="PargrafodaLista"/>
              <w:numPr>
                <w:ilvl w:val="0"/>
                <w:numId w:val="1"/>
              </w:numPr>
              <w:jc w:val="both"/>
              <w:rPr>
                <w:rFonts w:ascii="Book Antiqua" w:eastAsia="Times New Roman" w:hAnsi="Book Antiqua" w:cs="Times New Roman"/>
                <w:sz w:val="19"/>
                <w:szCs w:val="19"/>
                <w:lang w:eastAsia="pt-BR"/>
              </w:rPr>
            </w:pPr>
            <w:r w:rsidRPr="00151FF1">
              <w:rPr>
                <w:rFonts w:ascii="Book Antiqua" w:eastAsia="Times New Roman" w:hAnsi="Book Antiqua" w:cs="Times New Roman"/>
                <w:b/>
                <w:sz w:val="19"/>
                <w:szCs w:val="19"/>
                <w:highlight w:val="magenta"/>
                <w:lang w:eastAsia="pt-BR"/>
              </w:rPr>
              <w:t>EM ROXO</w:t>
            </w:r>
            <w:r w:rsidRPr="00151FF1">
              <w:rPr>
                <w:rFonts w:ascii="Book Antiqua" w:eastAsia="Times New Roman" w:hAnsi="Book Antiqua" w:cs="Times New Roman"/>
                <w:sz w:val="19"/>
                <w:szCs w:val="19"/>
                <w:lang w:eastAsia="pt-BR"/>
              </w:rPr>
              <w:t>: artigos que já foram cobrados em provas de concurso.</w:t>
            </w:r>
          </w:p>
          <w:p w14:paraId="1A05823D" w14:textId="77777777" w:rsidR="00EB3A2F" w:rsidRPr="00151FF1" w:rsidRDefault="00EB3A2F" w:rsidP="00EB3A2F">
            <w:pPr>
              <w:pStyle w:val="PargrafodaLista"/>
              <w:numPr>
                <w:ilvl w:val="0"/>
                <w:numId w:val="1"/>
              </w:numPr>
              <w:jc w:val="both"/>
              <w:rPr>
                <w:rFonts w:ascii="Book Antiqua" w:eastAsia="Times New Roman" w:hAnsi="Book Antiqua" w:cs="Times New Roman"/>
                <w:sz w:val="19"/>
                <w:szCs w:val="19"/>
                <w:lang w:eastAsia="pt-BR"/>
              </w:rPr>
            </w:pPr>
            <w:r w:rsidRPr="00151FF1">
              <w:rPr>
                <w:rFonts w:ascii="Book Antiqua" w:eastAsia="Times New Roman" w:hAnsi="Book Antiqua" w:cs="Times New Roman"/>
                <w:b/>
                <w:sz w:val="19"/>
                <w:szCs w:val="19"/>
                <w:highlight w:val="cyan"/>
                <w:lang w:eastAsia="pt-BR"/>
              </w:rPr>
              <w:t>EM AZUL</w:t>
            </w:r>
            <w:r w:rsidRPr="00151FF1">
              <w:rPr>
                <w:rFonts w:ascii="Book Antiqua" w:eastAsia="Times New Roman" w:hAnsi="Book Antiqua" w:cs="Times New Roman"/>
                <w:sz w:val="19"/>
                <w:szCs w:val="19"/>
                <w:lang w:eastAsia="pt-BR"/>
              </w:rPr>
              <w:t xml:space="preserve">: Parte importante do dispositivo (ex.: questão cobrou exatamente a informação, especialmente quando a afirmação da questão dizia respeito à situação contrária ao que dispõe </w:t>
            </w:r>
            <w:r w:rsidR="00857CC5" w:rsidRPr="00151FF1">
              <w:rPr>
                <w:rFonts w:ascii="Book Antiqua" w:eastAsia="Times New Roman" w:hAnsi="Book Antiqua" w:cs="Times New Roman"/>
                <w:sz w:val="19"/>
                <w:szCs w:val="19"/>
                <w:lang w:eastAsia="pt-BR"/>
              </w:rPr>
              <w:t xml:space="preserve">no </w:t>
            </w:r>
            <w:r w:rsidR="00D05ACF" w:rsidRPr="00151FF1">
              <w:rPr>
                <w:rFonts w:ascii="Book Antiqua" w:eastAsia="Times New Roman" w:hAnsi="Book Antiqua" w:cs="Times New Roman"/>
                <w:sz w:val="19"/>
                <w:szCs w:val="19"/>
                <w:lang w:eastAsia="pt-BR"/>
              </w:rPr>
              <w:t>Decreto 9.</w:t>
            </w:r>
            <w:r w:rsidR="002E4CFB" w:rsidRPr="00151FF1">
              <w:rPr>
                <w:rFonts w:ascii="Book Antiqua" w:eastAsia="Times New Roman" w:hAnsi="Book Antiqua" w:cs="Times New Roman"/>
                <w:sz w:val="19"/>
                <w:szCs w:val="19"/>
                <w:lang w:eastAsia="pt-BR"/>
              </w:rPr>
              <w:t>84</w:t>
            </w:r>
            <w:r w:rsidR="00D05ACF" w:rsidRPr="00151FF1">
              <w:rPr>
                <w:rFonts w:ascii="Book Antiqua" w:eastAsia="Times New Roman" w:hAnsi="Book Antiqua" w:cs="Times New Roman"/>
                <w:sz w:val="19"/>
                <w:szCs w:val="19"/>
                <w:lang w:eastAsia="pt-BR"/>
              </w:rPr>
              <w:t>5/2019</w:t>
            </w:r>
            <w:r w:rsidRPr="00151FF1">
              <w:rPr>
                <w:rFonts w:ascii="Book Antiqua" w:eastAsia="Times New Roman" w:hAnsi="Book Antiqua" w:cs="Times New Roman"/>
                <w:sz w:val="19"/>
                <w:szCs w:val="19"/>
                <w:lang w:eastAsia="pt-BR"/>
              </w:rPr>
              <w:t>).</w:t>
            </w:r>
          </w:p>
          <w:p w14:paraId="606229C3" w14:textId="77777777" w:rsidR="00EB3A2F" w:rsidRPr="00151FF1" w:rsidRDefault="00EB3A2F" w:rsidP="00EB3A2F">
            <w:pPr>
              <w:pStyle w:val="PargrafodaLista"/>
              <w:numPr>
                <w:ilvl w:val="0"/>
                <w:numId w:val="1"/>
              </w:numPr>
              <w:jc w:val="both"/>
              <w:rPr>
                <w:rFonts w:ascii="Book Antiqua" w:eastAsia="Times New Roman" w:hAnsi="Book Antiqua" w:cs="Times New Roman"/>
                <w:sz w:val="19"/>
                <w:szCs w:val="19"/>
                <w:lang w:eastAsia="pt-BR"/>
              </w:rPr>
            </w:pPr>
            <w:r w:rsidRPr="00151FF1">
              <w:rPr>
                <w:rFonts w:ascii="Book Antiqua" w:eastAsia="Times New Roman" w:hAnsi="Book Antiqua" w:cs="Times New Roman"/>
                <w:b/>
                <w:sz w:val="19"/>
                <w:szCs w:val="19"/>
                <w:highlight w:val="yellow"/>
                <w:lang w:eastAsia="pt-BR"/>
              </w:rPr>
              <w:t>EM AMARELO</w:t>
            </w:r>
            <w:r w:rsidRPr="00151FF1">
              <w:rPr>
                <w:rFonts w:ascii="Book Antiqua" w:eastAsia="Times New Roman" w:hAnsi="Book Antiqua" w:cs="Times New Roman"/>
                <w:sz w:val="19"/>
                <w:szCs w:val="19"/>
                <w:lang w:eastAsia="pt-BR"/>
              </w:rPr>
              <w:t>: destaques importantes (ex.: critério pessoal)</w:t>
            </w:r>
          </w:p>
          <w:p w14:paraId="30E9023F" w14:textId="77777777" w:rsidR="00EB3A2F" w:rsidRPr="00151FF1" w:rsidRDefault="00EB3A2F" w:rsidP="00EB3A2F">
            <w:pPr>
              <w:jc w:val="both"/>
              <w:rPr>
                <w:rFonts w:ascii="Book Antiqua" w:eastAsia="Times New Roman" w:hAnsi="Book Antiqua" w:cs="Times New Roman"/>
                <w:sz w:val="19"/>
                <w:szCs w:val="19"/>
                <w:lang w:eastAsia="pt-BR"/>
              </w:rPr>
            </w:pPr>
          </w:p>
          <w:p w14:paraId="7607EDA5" w14:textId="77777777" w:rsidR="00EB3A2F" w:rsidRPr="00151FF1" w:rsidRDefault="00EB3A2F" w:rsidP="00EB3A2F">
            <w:pPr>
              <w:pStyle w:val="PargrafodaLista"/>
              <w:numPr>
                <w:ilvl w:val="0"/>
                <w:numId w:val="2"/>
              </w:numPr>
              <w:jc w:val="both"/>
              <w:rPr>
                <w:rFonts w:ascii="Book Antiqua" w:eastAsia="Times New Roman" w:hAnsi="Book Antiqua" w:cs="Times New Roman"/>
                <w:sz w:val="19"/>
                <w:szCs w:val="19"/>
                <w:lang w:eastAsia="pt-BR"/>
              </w:rPr>
            </w:pPr>
            <w:r w:rsidRPr="00151FF1">
              <w:rPr>
                <w:rFonts w:ascii="Book Antiqua" w:eastAsia="Times New Roman" w:hAnsi="Book Antiqua" w:cs="Times New Roman"/>
                <w:b/>
                <w:color w:val="FF0000"/>
                <w:sz w:val="19"/>
                <w:szCs w:val="19"/>
                <w:lang w:eastAsia="pt-BR"/>
              </w:rPr>
              <w:t>Siglas utilizadas</w:t>
            </w:r>
            <w:r w:rsidRPr="00151FF1">
              <w:rPr>
                <w:rFonts w:ascii="Book Antiqua" w:eastAsia="Times New Roman" w:hAnsi="Book Antiqua" w:cs="Times New Roman"/>
                <w:sz w:val="19"/>
                <w:szCs w:val="19"/>
                <w:lang w:eastAsia="pt-BR"/>
              </w:rPr>
              <w:t>:</w:t>
            </w:r>
          </w:p>
          <w:p w14:paraId="2934CD14" w14:textId="77777777" w:rsidR="00EB3A2F" w:rsidRPr="00151FF1" w:rsidRDefault="00EB3A2F" w:rsidP="00EB3A2F">
            <w:pPr>
              <w:pStyle w:val="PargrafodaLista"/>
              <w:numPr>
                <w:ilvl w:val="0"/>
                <w:numId w:val="3"/>
              </w:numPr>
              <w:jc w:val="both"/>
              <w:rPr>
                <w:rFonts w:ascii="Book Antiqua" w:eastAsia="Times New Roman" w:hAnsi="Book Antiqua" w:cs="Times New Roman"/>
                <w:sz w:val="19"/>
                <w:szCs w:val="19"/>
                <w:lang w:eastAsia="pt-BR"/>
              </w:rPr>
            </w:pPr>
            <w:r w:rsidRPr="00151FF1">
              <w:rPr>
                <w:rFonts w:ascii="Book Antiqua" w:eastAsia="Times New Roman" w:hAnsi="Book Antiqua" w:cs="Times New Roman"/>
                <w:b/>
                <w:sz w:val="19"/>
                <w:szCs w:val="19"/>
                <w:lang w:eastAsia="pt-BR"/>
              </w:rPr>
              <w:t>MP (concursos do Ministério Público); M ou TJPR (concursos da Magistratura); BL (base legal), etc.</w:t>
            </w:r>
          </w:p>
        </w:tc>
      </w:tr>
    </w:tbl>
    <w:p w14:paraId="0D89E487" w14:textId="77777777" w:rsidR="002E4CFB" w:rsidRPr="00151FF1" w:rsidRDefault="00DA681E" w:rsidP="002E4CFB">
      <w:pPr>
        <w:spacing w:before="300" w:after="300" w:line="240" w:lineRule="auto"/>
        <w:jc w:val="center"/>
        <w:rPr>
          <w:rFonts w:ascii="Book Antiqua" w:eastAsia="Times New Roman" w:hAnsi="Book Antiqua" w:cs="Times New Roman"/>
          <w:sz w:val="19"/>
          <w:szCs w:val="19"/>
          <w:lang w:eastAsia="pt-BR"/>
        </w:rPr>
      </w:pPr>
      <w:hyperlink r:id="rId7" w:history="1">
        <w:r w:rsidR="002E4CFB" w:rsidRPr="00151FF1">
          <w:rPr>
            <w:rFonts w:ascii="Book Antiqua" w:eastAsia="Times New Roman" w:hAnsi="Book Antiqua" w:cs="Arial"/>
            <w:b/>
            <w:bCs/>
            <w:color w:val="000080"/>
            <w:sz w:val="19"/>
            <w:szCs w:val="19"/>
            <w:u w:val="single"/>
            <w:lang w:eastAsia="pt-BR"/>
          </w:rPr>
          <w:t xml:space="preserve">DECRETO Nº 9.845, DE 25 DE JUNHO DE 2019 </w:t>
        </w:r>
      </w:hyperlink>
    </w:p>
    <w:tbl>
      <w:tblPr>
        <w:tblW w:w="5000" w:type="pct"/>
        <w:jc w:val="center"/>
        <w:tblCellSpacing w:w="0" w:type="dxa"/>
        <w:tblCellMar>
          <w:left w:w="0" w:type="dxa"/>
          <w:right w:w="0" w:type="dxa"/>
        </w:tblCellMar>
        <w:tblLook w:val="04A0" w:firstRow="1" w:lastRow="0" w:firstColumn="1" w:lastColumn="0" w:noHBand="0" w:noVBand="1"/>
      </w:tblPr>
      <w:tblGrid>
        <w:gridCol w:w="2976"/>
        <w:gridCol w:w="5528"/>
      </w:tblGrid>
      <w:tr w:rsidR="002E4CFB" w:rsidRPr="00151FF1" w14:paraId="5B5F1D93" w14:textId="77777777" w:rsidTr="002E4CFB">
        <w:trPr>
          <w:tblCellSpacing w:w="0" w:type="dxa"/>
          <w:jc w:val="center"/>
        </w:trPr>
        <w:tc>
          <w:tcPr>
            <w:tcW w:w="1750" w:type="pct"/>
            <w:vAlign w:val="center"/>
            <w:hideMark/>
          </w:tcPr>
          <w:p w14:paraId="7E10B6AD" w14:textId="77777777" w:rsidR="002E4CFB" w:rsidRPr="00151FF1" w:rsidRDefault="002E4CFB" w:rsidP="002E4CFB">
            <w:pPr>
              <w:spacing w:after="0" w:line="240" w:lineRule="auto"/>
              <w:rPr>
                <w:rFonts w:ascii="Book Antiqua" w:eastAsia="Times New Roman" w:hAnsi="Book Antiqua" w:cs="Times New Roman"/>
                <w:sz w:val="19"/>
                <w:szCs w:val="19"/>
                <w:lang w:eastAsia="pt-BR"/>
              </w:rPr>
            </w:pPr>
            <w:r w:rsidRPr="00151FF1">
              <w:rPr>
                <w:rFonts w:ascii="Book Antiqua" w:eastAsia="Times New Roman" w:hAnsi="Book Antiqua" w:cs="Times New Roman"/>
                <w:sz w:val="19"/>
                <w:szCs w:val="19"/>
                <w:lang w:eastAsia="pt-BR"/>
              </w:rPr>
              <w:t> </w:t>
            </w:r>
          </w:p>
        </w:tc>
        <w:tc>
          <w:tcPr>
            <w:tcW w:w="3250" w:type="pct"/>
            <w:vAlign w:val="center"/>
            <w:hideMark/>
          </w:tcPr>
          <w:p w14:paraId="623D0E6C" w14:textId="77777777" w:rsidR="002E4CFB" w:rsidRPr="00151FF1" w:rsidRDefault="002E4CFB" w:rsidP="002E4CFB">
            <w:pPr>
              <w:spacing w:before="100" w:beforeAutospacing="1" w:after="100" w:afterAutospacing="1" w:line="240" w:lineRule="auto"/>
              <w:jc w:val="both"/>
              <w:rPr>
                <w:rFonts w:ascii="Book Antiqua" w:eastAsia="Times New Roman" w:hAnsi="Book Antiqua" w:cs="Times New Roman"/>
                <w:sz w:val="19"/>
                <w:szCs w:val="19"/>
                <w:lang w:eastAsia="pt-BR"/>
              </w:rPr>
            </w:pPr>
            <w:r w:rsidRPr="00151FF1">
              <w:rPr>
                <w:rFonts w:ascii="Book Antiqua" w:eastAsia="Times New Roman" w:hAnsi="Book Antiqua" w:cs="Arial"/>
                <w:color w:val="800000"/>
                <w:sz w:val="19"/>
                <w:szCs w:val="19"/>
                <w:lang w:eastAsia="pt-BR"/>
              </w:rPr>
              <w:t>Regulamenta a Lei nº 10.826, de 22 de dezembro de 2003, para dispor sobre a aquisição, o cadastro, o registro e a posse de armas de fogo e de munição.</w:t>
            </w:r>
          </w:p>
        </w:tc>
      </w:tr>
    </w:tbl>
    <w:p w14:paraId="6AFE7029"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b/>
          <w:bCs/>
          <w:color w:val="000000"/>
          <w:sz w:val="19"/>
          <w:szCs w:val="19"/>
          <w:lang w:eastAsia="pt-BR"/>
        </w:rPr>
        <w:t>O PRESIDENTE DA REPÚBLICA</w:t>
      </w:r>
      <w:r w:rsidRPr="00151FF1">
        <w:rPr>
          <w:rFonts w:ascii="Book Antiqua" w:eastAsia="Times New Roman" w:hAnsi="Book Antiqua" w:cs="Arial"/>
          <w:color w:val="000000"/>
          <w:sz w:val="19"/>
          <w:szCs w:val="19"/>
          <w:lang w:eastAsia="pt-BR"/>
        </w:rPr>
        <w:t xml:space="preserve">, no uso da atribuição que lhe confere o art. 84,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 inciso IV, da Constituição, e tendo em vista o disposto na Lei nº 10.826, de 22 de dezembro de 2003,</w:t>
      </w:r>
      <w:r w:rsidRPr="00151FF1">
        <w:rPr>
          <w:rFonts w:ascii="Book Antiqua" w:eastAsia="Times New Roman" w:hAnsi="Book Antiqua" w:cs="Arial"/>
          <w:b/>
          <w:bCs/>
          <w:color w:val="000000"/>
          <w:sz w:val="19"/>
          <w:szCs w:val="19"/>
          <w:lang w:eastAsia="pt-BR"/>
        </w:rPr>
        <w:t> </w:t>
      </w:r>
    </w:p>
    <w:p w14:paraId="3E21B3FB"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b/>
          <w:bCs/>
          <w:color w:val="000000"/>
          <w:sz w:val="19"/>
          <w:szCs w:val="19"/>
          <w:lang w:eastAsia="pt-BR"/>
        </w:rPr>
        <w:t>DECRETA</w:t>
      </w:r>
      <w:r w:rsidRPr="00151FF1">
        <w:rPr>
          <w:rFonts w:ascii="Book Antiqua" w:eastAsia="Times New Roman" w:hAnsi="Book Antiqua" w:cs="Arial"/>
          <w:color w:val="000000"/>
          <w:sz w:val="19"/>
          <w:szCs w:val="19"/>
          <w:lang w:eastAsia="pt-BR"/>
        </w:rPr>
        <w:t>:</w:t>
      </w:r>
      <w:r w:rsidRPr="00151FF1">
        <w:rPr>
          <w:rFonts w:ascii="Book Antiqua" w:eastAsia="Times New Roman" w:hAnsi="Book Antiqua" w:cs="Arial"/>
          <w:sz w:val="19"/>
          <w:szCs w:val="19"/>
          <w:lang w:eastAsia="pt-BR"/>
        </w:rPr>
        <w:t> </w:t>
      </w:r>
    </w:p>
    <w:p w14:paraId="2E026AFE" w14:textId="77777777" w:rsidR="002E4CFB" w:rsidRPr="00151FF1" w:rsidRDefault="002E4CFB" w:rsidP="002E4CFB">
      <w:pPr>
        <w:spacing w:before="300" w:after="300" w:line="240" w:lineRule="auto"/>
        <w:ind w:firstLine="567"/>
        <w:jc w:val="center"/>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CAPÍTULO I</w:t>
      </w:r>
    </w:p>
    <w:p w14:paraId="2DCF5EB4" w14:textId="77777777" w:rsidR="002E4CFB" w:rsidRPr="00151FF1" w:rsidRDefault="002E4CFB" w:rsidP="002E4CFB">
      <w:pPr>
        <w:spacing w:before="300" w:after="300" w:line="240" w:lineRule="auto"/>
        <w:ind w:firstLine="567"/>
        <w:jc w:val="center"/>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DISPOSIÇÕES GERAIS </w:t>
      </w:r>
    </w:p>
    <w:p w14:paraId="0770DD5C"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bookmarkStart w:id="0" w:name="art1"/>
      <w:bookmarkEnd w:id="0"/>
      <w:r w:rsidRPr="00151FF1">
        <w:rPr>
          <w:rFonts w:ascii="Book Antiqua" w:eastAsia="Times New Roman" w:hAnsi="Book Antiqua" w:cs="Arial"/>
          <w:color w:val="000000"/>
          <w:sz w:val="19"/>
          <w:szCs w:val="19"/>
          <w:lang w:eastAsia="pt-BR"/>
        </w:rPr>
        <w:t xml:space="preserve">Art. 1º  Este Decreto regulamenta a </w:t>
      </w:r>
      <w:hyperlink r:id="rId8" w:history="1">
        <w:r w:rsidRPr="00151FF1">
          <w:rPr>
            <w:rFonts w:ascii="Book Antiqua" w:eastAsia="Times New Roman" w:hAnsi="Book Antiqua" w:cs="Arial"/>
            <w:color w:val="0000FF"/>
            <w:sz w:val="19"/>
            <w:szCs w:val="19"/>
            <w:u w:val="single"/>
            <w:lang w:eastAsia="pt-BR"/>
          </w:rPr>
          <w:t>Lei nº 10.826, de 22 de dezembro de 2003</w:t>
        </w:r>
      </w:hyperlink>
      <w:r w:rsidRPr="00151FF1">
        <w:rPr>
          <w:rFonts w:ascii="Book Antiqua" w:eastAsia="Times New Roman" w:hAnsi="Book Antiqua" w:cs="Arial"/>
          <w:color w:val="000000"/>
          <w:sz w:val="19"/>
          <w:szCs w:val="19"/>
          <w:lang w:eastAsia="pt-BR"/>
        </w:rPr>
        <w:t>, com o objetivo de estabelecer regras e procedimentos para a aquisição, o cadastro, o registro e a posse de armas de fogo e de munição.</w:t>
      </w:r>
    </w:p>
    <w:p w14:paraId="74D688DB" w14:textId="33C3F19B" w:rsidR="00321D1A" w:rsidRDefault="00321D1A" w:rsidP="002E4CFB">
      <w:pPr>
        <w:spacing w:before="300" w:after="300" w:line="240" w:lineRule="auto"/>
        <w:ind w:firstLine="567"/>
        <w:jc w:val="both"/>
        <w:rPr>
          <w:rFonts w:ascii="Book Antiqua" w:eastAsia="Times New Roman" w:hAnsi="Book Antiqua" w:cs="Arial"/>
          <w:color w:val="000000"/>
          <w:sz w:val="19"/>
          <w:szCs w:val="19"/>
          <w:lang w:eastAsia="pt-BR"/>
        </w:rPr>
      </w:pPr>
      <w:bookmarkStart w:id="1" w:name="art2"/>
      <w:bookmarkEnd w:id="1"/>
      <w:r w:rsidRPr="00321D1A">
        <w:rPr>
          <w:rFonts w:ascii="Book Antiqua" w:eastAsia="Times New Roman" w:hAnsi="Book Antiqua" w:cs="Arial"/>
          <w:color w:val="000000"/>
          <w:sz w:val="19"/>
          <w:szCs w:val="19"/>
          <w:lang w:eastAsia="pt-BR"/>
        </w:rPr>
        <w:t>Art. 2º Para fins do disposto neste Decreto, são adotadas as definições e classificações constantes do </w:t>
      </w:r>
      <w:hyperlink r:id="rId9" w:anchor="anexo1" w:history="1">
        <w:r w:rsidRPr="00321D1A">
          <w:rPr>
            <w:rStyle w:val="Hyperlink"/>
            <w:rFonts w:ascii="Book Antiqua" w:eastAsia="Times New Roman" w:hAnsi="Book Antiqua" w:cs="Arial"/>
            <w:sz w:val="19"/>
            <w:szCs w:val="19"/>
            <w:lang w:eastAsia="pt-BR"/>
          </w:rPr>
          <w:t>Anexo I ao Decreto nº 10.030, de 30 de setembro de 2019 </w:t>
        </w:r>
      </w:hyperlink>
      <w:r w:rsidRPr="00321D1A">
        <w:rPr>
          <w:rFonts w:ascii="Book Antiqua" w:eastAsia="Times New Roman" w:hAnsi="Book Antiqua" w:cs="Arial"/>
          <w:color w:val="000000"/>
          <w:sz w:val="19"/>
          <w:szCs w:val="19"/>
          <w:lang w:eastAsia="pt-BR"/>
        </w:rPr>
        <w:t>.        </w:t>
      </w:r>
      <w:hyperlink r:id="rId10" w:history="1">
        <w:r w:rsidRPr="00321D1A">
          <w:rPr>
            <w:rStyle w:val="Hyperlink"/>
            <w:rFonts w:ascii="Book Antiqua" w:eastAsia="Times New Roman" w:hAnsi="Book Antiqua" w:cs="Arial"/>
            <w:sz w:val="19"/>
            <w:szCs w:val="19"/>
            <w:lang w:eastAsia="pt-BR"/>
          </w:rPr>
          <w:t>(Redação dada pelo Decreto nº 10.628, de 2021)</w:t>
        </w:r>
      </w:hyperlink>
    </w:p>
    <w:p w14:paraId="3E5A8CD4" w14:textId="77777777"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r w:rsidRPr="00321D1A">
        <w:rPr>
          <w:rFonts w:ascii="Book Antiqua" w:eastAsia="Times New Roman" w:hAnsi="Book Antiqua" w:cs="Arial"/>
          <w:color w:val="000000"/>
          <w:sz w:val="19"/>
          <w:szCs w:val="19"/>
          <w:lang w:eastAsia="pt-BR"/>
        </w:rPr>
        <w:t>§ 1º O Comando do Exército estabelecerá os parâmetros de aferição e a listagem dos calibres nominais que se enquadrem nos limites estabelecidos nos incisos I, II e IV do </w:t>
      </w:r>
      <w:r w:rsidRPr="00321D1A">
        <w:rPr>
          <w:rFonts w:ascii="Book Antiqua" w:eastAsia="Times New Roman" w:hAnsi="Book Antiqua" w:cs="Arial"/>
          <w:b/>
          <w:bCs/>
          <w:color w:val="000000"/>
          <w:sz w:val="19"/>
          <w:szCs w:val="19"/>
          <w:lang w:eastAsia="pt-BR"/>
        </w:rPr>
        <w:t>caput </w:t>
      </w:r>
      <w:r w:rsidRPr="00321D1A">
        <w:rPr>
          <w:rFonts w:ascii="Book Antiqua" w:eastAsia="Times New Roman" w:hAnsi="Book Antiqua" w:cs="Arial"/>
          <w:color w:val="000000"/>
          <w:sz w:val="19"/>
          <w:szCs w:val="19"/>
          <w:lang w:eastAsia="pt-BR"/>
        </w:rPr>
        <w:t>do parágrafo único do </w:t>
      </w:r>
      <w:hyperlink r:id="rId11" w:anchor="anexo1art3" w:history="1">
        <w:r w:rsidRPr="00321D1A">
          <w:rPr>
            <w:rStyle w:val="Hyperlink"/>
            <w:rFonts w:ascii="Book Antiqua" w:eastAsia="Times New Roman" w:hAnsi="Book Antiqua" w:cs="Arial"/>
            <w:sz w:val="19"/>
            <w:szCs w:val="19"/>
            <w:lang w:eastAsia="pt-BR"/>
          </w:rPr>
          <w:t>art. 3º do Anexo I do Decreto nº 10.030, de 2019 </w:t>
        </w:r>
      </w:hyperlink>
      <w:r w:rsidRPr="00321D1A">
        <w:rPr>
          <w:rFonts w:ascii="Book Antiqua" w:eastAsia="Times New Roman" w:hAnsi="Book Antiqua" w:cs="Arial"/>
          <w:color w:val="000000"/>
          <w:sz w:val="19"/>
          <w:szCs w:val="19"/>
          <w:lang w:eastAsia="pt-BR"/>
        </w:rPr>
        <w:t>, no prazo de sessenta dias, contado da data de publicação deste Decreto.      </w:t>
      </w:r>
      <w:hyperlink r:id="rId12" w:history="1">
        <w:r w:rsidRPr="00321D1A">
          <w:rPr>
            <w:rStyle w:val="Hyperlink"/>
            <w:rFonts w:ascii="Book Antiqua" w:eastAsia="Times New Roman" w:hAnsi="Book Antiqua" w:cs="Arial"/>
            <w:sz w:val="19"/>
            <w:szCs w:val="19"/>
            <w:lang w:eastAsia="pt-BR"/>
          </w:rPr>
          <w:t>(Redação dada pelo Decreto nº 10.628, de 2021)</w:t>
        </w:r>
      </w:hyperlink>
      <w:r w:rsidRPr="00321D1A">
        <w:rPr>
          <w:rFonts w:ascii="Book Antiqua" w:eastAsia="Times New Roman" w:hAnsi="Book Antiqua" w:cs="Arial"/>
          <w:color w:val="000000"/>
          <w:sz w:val="19"/>
          <w:szCs w:val="19"/>
          <w:lang w:eastAsia="pt-BR"/>
        </w:rPr>
        <w:t>   </w:t>
      </w:r>
      <w:hyperlink r:id="rId13" w:anchor="art3" w:history="1">
        <w:r w:rsidRPr="00321D1A">
          <w:rPr>
            <w:rStyle w:val="Hyperlink"/>
            <w:rFonts w:ascii="Book Antiqua" w:eastAsia="Times New Roman" w:hAnsi="Book Antiqua" w:cs="Arial"/>
            <w:sz w:val="19"/>
            <w:szCs w:val="19"/>
            <w:lang w:eastAsia="pt-BR"/>
          </w:rPr>
          <w:t>Vigência</w:t>
        </w:r>
      </w:hyperlink>
    </w:p>
    <w:p w14:paraId="32D970F7" w14:textId="77777777"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bookmarkStart w:id="2" w:name="art2§2"/>
      <w:bookmarkEnd w:id="2"/>
      <w:r w:rsidRPr="00321D1A">
        <w:rPr>
          <w:rFonts w:ascii="Book Antiqua" w:eastAsia="Times New Roman" w:hAnsi="Book Antiqua" w:cs="Arial"/>
          <w:color w:val="000000"/>
          <w:sz w:val="19"/>
          <w:szCs w:val="19"/>
          <w:lang w:eastAsia="pt-BR"/>
        </w:rPr>
        <w:t>§ 2º  Ato conjunto do Ministro de Estado da Defesa e do Ministro de Estado da Justiça e Segurança Pública estabelecerá as quantidades de munições passíveis de aquisição pelas pessoas físicas autorizadas a adquirir ou portar arma de fogo e pelos integrantes dos órgãos e das instituições a que se referem o </w:t>
      </w:r>
      <w:hyperlink r:id="rId14" w:anchor="art4%C2%A72" w:history="1">
        <w:r w:rsidRPr="00321D1A">
          <w:rPr>
            <w:rStyle w:val="Hyperlink"/>
            <w:rFonts w:ascii="Book Antiqua" w:eastAsia="Times New Roman" w:hAnsi="Book Antiqua" w:cs="Arial"/>
            <w:sz w:val="19"/>
            <w:szCs w:val="19"/>
            <w:lang w:eastAsia="pt-BR"/>
          </w:rPr>
          <w:t>§ 2º do art. 4º</w:t>
        </w:r>
      </w:hyperlink>
      <w:r w:rsidRPr="00321D1A">
        <w:rPr>
          <w:rFonts w:ascii="Book Antiqua" w:eastAsia="Times New Roman" w:hAnsi="Book Antiqua" w:cs="Arial"/>
          <w:color w:val="000000"/>
          <w:sz w:val="19"/>
          <w:szCs w:val="19"/>
          <w:lang w:eastAsia="pt-BR"/>
        </w:rPr>
        <w:t> os </w:t>
      </w:r>
      <w:hyperlink r:id="rId15" w:anchor="art6i" w:history="1">
        <w:r w:rsidRPr="00321D1A">
          <w:rPr>
            <w:rStyle w:val="Hyperlink"/>
            <w:rFonts w:ascii="Book Antiqua" w:eastAsia="Times New Roman" w:hAnsi="Book Antiqua" w:cs="Arial"/>
            <w:sz w:val="19"/>
            <w:szCs w:val="19"/>
            <w:lang w:eastAsia="pt-BR"/>
          </w:rPr>
          <w:t>incisos I</w:t>
        </w:r>
      </w:hyperlink>
      <w:r w:rsidRPr="00321D1A">
        <w:rPr>
          <w:rFonts w:ascii="Book Antiqua" w:eastAsia="Times New Roman" w:hAnsi="Book Antiqua" w:cs="Arial"/>
          <w:color w:val="000000"/>
          <w:sz w:val="19"/>
          <w:szCs w:val="19"/>
          <w:lang w:eastAsia="pt-BR"/>
        </w:rPr>
        <w:t> a </w:t>
      </w:r>
      <w:hyperlink r:id="rId16" w:anchor="art6vii" w:history="1">
        <w:r w:rsidRPr="00321D1A">
          <w:rPr>
            <w:rStyle w:val="Hyperlink"/>
            <w:rFonts w:ascii="Book Antiqua" w:eastAsia="Times New Roman" w:hAnsi="Book Antiqua" w:cs="Arial"/>
            <w:sz w:val="19"/>
            <w:szCs w:val="19"/>
            <w:lang w:eastAsia="pt-BR"/>
          </w:rPr>
          <w:t>VII</w:t>
        </w:r>
      </w:hyperlink>
      <w:r w:rsidRPr="00321D1A">
        <w:rPr>
          <w:rFonts w:ascii="Book Antiqua" w:eastAsia="Times New Roman" w:hAnsi="Book Antiqua" w:cs="Arial"/>
          <w:color w:val="000000"/>
          <w:sz w:val="19"/>
          <w:szCs w:val="19"/>
          <w:lang w:eastAsia="pt-BR"/>
        </w:rPr>
        <w:t> e </w:t>
      </w:r>
      <w:hyperlink r:id="rId17" w:anchor="art6x" w:history="1">
        <w:r w:rsidRPr="00321D1A">
          <w:rPr>
            <w:rStyle w:val="Hyperlink"/>
            <w:rFonts w:ascii="Book Antiqua" w:eastAsia="Times New Roman" w:hAnsi="Book Antiqua" w:cs="Arial"/>
            <w:sz w:val="19"/>
            <w:szCs w:val="19"/>
            <w:lang w:eastAsia="pt-BR"/>
          </w:rPr>
          <w:t>X do </w:t>
        </w:r>
        <w:r w:rsidRPr="00321D1A">
          <w:rPr>
            <w:rStyle w:val="Hyperlink"/>
            <w:rFonts w:ascii="Book Antiqua" w:eastAsia="Times New Roman" w:hAnsi="Book Antiqua" w:cs="Arial"/>
            <w:b/>
            <w:bCs/>
            <w:sz w:val="19"/>
            <w:szCs w:val="19"/>
            <w:lang w:eastAsia="pt-BR"/>
          </w:rPr>
          <w:t>caput</w:t>
        </w:r>
        <w:r w:rsidRPr="00321D1A">
          <w:rPr>
            <w:rStyle w:val="Hyperlink"/>
            <w:rFonts w:ascii="Book Antiqua" w:eastAsia="Times New Roman" w:hAnsi="Book Antiqua" w:cs="Arial"/>
            <w:sz w:val="19"/>
            <w:szCs w:val="19"/>
            <w:lang w:eastAsia="pt-BR"/>
          </w:rPr>
          <w:t> art. 6º da Lei nº 10.826, de 2003</w:t>
        </w:r>
      </w:hyperlink>
      <w:r w:rsidRPr="00321D1A">
        <w:rPr>
          <w:rFonts w:ascii="Book Antiqua" w:eastAsia="Times New Roman" w:hAnsi="Book Antiqua" w:cs="Arial"/>
          <w:color w:val="000000"/>
          <w:sz w:val="19"/>
          <w:szCs w:val="19"/>
          <w:lang w:eastAsia="pt-BR"/>
        </w:rPr>
        <w:t>, observada a legislação, no prazo de sessenta dias, contado da data de publicação do </w:t>
      </w:r>
      <w:hyperlink r:id="rId18" w:history="1">
        <w:r w:rsidRPr="00321D1A">
          <w:rPr>
            <w:rStyle w:val="Hyperlink"/>
            <w:rFonts w:ascii="Book Antiqua" w:eastAsia="Times New Roman" w:hAnsi="Book Antiqua" w:cs="Arial"/>
            <w:sz w:val="19"/>
            <w:szCs w:val="19"/>
            <w:lang w:eastAsia="pt-BR"/>
          </w:rPr>
          <w:t>Decreto nº 10.030, de 30 de setembro de 2019.</w:t>
        </w:r>
      </w:hyperlink>
      <w:r w:rsidRPr="00321D1A">
        <w:rPr>
          <w:rFonts w:ascii="Book Antiqua" w:eastAsia="Times New Roman" w:hAnsi="Book Antiqua" w:cs="Arial"/>
          <w:color w:val="000000"/>
          <w:sz w:val="19"/>
          <w:szCs w:val="19"/>
          <w:lang w:eastAsia="pt-BR"/>
        </w:rPr>
        <w:t>          </w:t>
      </w:r>
      <w:hyperlink r:id="rId19" w:anchor="art3" w:history="1">
        <w:r w:rsidRPr="00321D1A">
          <w:rPr>
            <w:rStyle w:val="Hyperlink"/>
            <w:rFonts w:ascii="Book Antiqua" w:eastAsia="Times New Roman" w:hAnsi="Book Antiqua" w:cs="Arial"/>
            <w:sz w:val="19"/>
            <w:szCs w:val="19"/>
            <w:lang w:eastAsia="pt-BR"/>
          </w:rPr>
          <w:t>(Incluído pelo Decreto nº 10.030, de 2019)</w:t>
        </w:r>
      </w:hyperlink>
    </w:p>
    <w:p w14:paraId="5382C155" w14:textId="77777777" w:rsidR="002E4CFB" w:rsidRPr="00151FF1" w:rsidRDefault="002E4CFB" w:rsidP="002E4CFB">
      <w:pPr>
        <w:spacing w:before="300" w:after="300" w:line="240" w:lineRule="auto"/>
        <w:ind w:firstLine="567"/>
        <w:jc w:val="center"/>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CAPÍTULO II</w:t>
      </w:r>
    </w:p>
    <w:p w14:paraId="5A3FC7DF" w14:textId="77777777" w:rsidR="002E4CFB" w:rsidRPr="00151FF1" w:rsidRDefault="002E4CFB" w:rsidP="002E4CFB">
      <w:pPr>
        <w:spacing w:before="300" w:after="300" w:line="240" w:lineRule="auto"/>
        <w:ind w:firstLine="567"/>
        <w:jc w:val="center"/>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lastRenderedPageBreak/>
        <w:t>DA AQUISIÇÃO E DO REGISTRO </w:t>
      </w:r>
    </w:p>
    <w:p w14:paraId="5BB947B9" w14:textId="77777777"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bookmarkStart w:id="3" w:name="art3"/>
      <w:bookmarkEnd w:id="3"/>
      <w:r w:rsidRPr="00321D1A">
        <w:rPr>
          <w:rFonts w:ascii="Book Antiqua" w:eastAsia="Times New Roman" w:hAnsi="Book Antiqua" w:cs="Arial"/>
          <w:color w:val="000000"/>
          <w:sz w:val="19"/>
          <w:szCs w:val="19"/>
          <w:lang w:eastAsia="pt-BR"/>
        </w:rPr>
        <w:t>Art. 3º Para fins de aquisição de arma de fogo de uso permitido e de emissão do Certificado de Registro de Arma de Fogo administrada pelo Sistema Nacional de Armas - Sinarm, o interessado deverá:    </w:t>
      </w:r>
      <w:hyperlink r:id="rId20" w:history="1">
        <w:r w:rsidRPr="00321D1A">
          <w:rPr>
            <w:rStyle w:val="Hyperlink"/>
            <w:rFonts w:ascii="Book Antiqua" w:eastAsia="Times New Roman" w:hAnsi="Book Antiqua" w:cs="Arial"/>
            <w:sz w:val="19"/>
            <w:szCs w:val="19"/>
            <w:lang w:eastAsia="pt-BR"/>
          </w:rPr>
          <w:t>(Redação dada pelo Decreto nº 10.628, de 2021)</w:t>
        </w:r>
      </w:hyperlink>
      <w:r w:rsidRPr="00321D1A">
        <w:rPr>
          <w:rFonts w:ascii="Book Antiqua" w:eastAsia="Times New Roman" w:hAnsi="Book Antiqua" w:cs="Arial"/>
          <w:color w:val="000000"/>
          <w:sz w:val="19"/>
          <w:szCs w:val="19"/>
          <w:lang w:eastAsia="pt-BR"/>
        </w:rPr>
        <w:t>   </w:t>
      </w:r>
      <w:hyperlink r:id="rId21" w:anchor="art3" w:history="1">
        <w:r w:rsidRPr="00321D1A">
          <w:rPr>
            <w:rStyle w:val="Hyperlink"/>
            <w:rFonts w:ascii="Book Antiqua" w:eastAsia="Times New Roman" w:hAnsi="Book Antiqua" w:cs="Arial"/>
            <w:sz w:val="19"/>
            <w:szCs w:val="19"/>
            <w:lang w:eastAsia="pt-BR"/>
          </w:rPr>
          <w:t>Vigência </w:t>
        </w:r>
      </w:hyperlink>
      <w:r w:rsidRPr="00321D1A">
        <w:rPr>
          <w:rFonts w:ascii="Book Antiqua" w:eastAsia="Times New Roman" w:hAnsi="Book Antiqua" w:cs="Arial"/>
          <w:color w:val="000000"/>
          <w:sz w:val="19"/>
          <w:szCs w:val="19"/>
          <w:lang w:eastAsia="pt-BR"/>
        </w:rPr>
        <w:t>   </w:t>
      </w:r>
      <w:hyperlink r:id="rId22" w:history="1">
        <w:r w:rsidRPr="00321D1A">
          <w:rPr>
            <w:rStyle w:val="Hyperlink"/>
            <w:rFonts w:ascii="Book Antiqua" w:eastAsia="Times New Roman" w:hAnsi="Book Antiqua" w:cs="Arial"/>
            <w:sz w:val="19"/>
            <w:szCs w:val="19"/>
            <w:lang w:eastAsia="pt-BR"/>
          </w:rPr>
          <w:t>(Vide ADIN 6675)</w:t>
        </w:r>
      </w:hyperlink>
      <w:r w:rsidRPr="00321D1A">
        <w:rPr>
          <w:rFonts w:ascii="Book Antiqua" w:eastAsia="Times New Roman" w:hAnsi="Book Antiqua" w:cs="Arial"/>
          <w:color w:val="000000"/>
          <w:sz w:val="19"/>
          <w:szCs w:val="19"/>
          <w:lang w:eastAsia="pt-BR"/>
        </w:rPr>
        <w:t>  </w:t>
      </w:r>
      <w:hyperlink r:id="rId23" w:history="1">
        <w:r w:rsidRPr="00321D1A">
          <w:rPr>
            <w:rStyle w:val="Hyperlink"/>
            <w:rFonts w:ascii="Book Antiqua" w:eastAsia="Times New Roman" w:hAnsi="Book Antiqua" w:cs="Arial"/>
            <w:sz w:val="19"/>
            <w:szCs w:val="19"/>
            <w:lang w:eastAsia="pt-BR"/>
          </w:rPr>
          <w:t>(Vide ADIN 6676)</w:t>
        </w:r>
      </w:hyperlink>
      <w:r w:rsidRPr="00321D1A">
        <w:rPr>
          <w:rFonts w:ascii="Book Antiqua" w:eastAsia="Times New Roman" w:hAnsi="Book Antiqua" w:cs="Arial"/>
          <w:color w:val="000000"/>
          <w:sz w:val="19"/>
          <w:szCs w:val="19"/>
          <w:lang w:eastAsia="pt-BR"/>
        </w:rPr>
        <w:t>   </w:t>
      </w:r>
      <w:hyperlink r:id="rId24" w:history="1">
        <w:r w:rsidRPr="00321D1A">
          <w:rPr>
            <w:rStyle w:val="Hyperlink"/>
            <w:rFonts w:ascii="Book Antiqua" w:eastAsia="Times New Roman" w:hAnsi="Book Antiqua" w:cs="Arial"/>
            <w:sz w:val="19"/>
            <w:szCs w:val="19"/>
            <w:lang w:eastAsia="pt-BR"/>
          </w:rPr>
          <w:t>(Vide ADIN 6677)</w:t>
        </w:r>
      </w:hyperlink>
      <w:r w:rsidRPr="00321D1A">
        <w:rPr>
          <w:rFonts w:ascii="Book Antiqua" w:eastAsia="Times New Roman" w:hAnsi="Book Antiqua" w:cs="Arial"/>
          <w:color w:val="000000"/>
          <w:sz w:val="19"/>
          <w:szCs w:val="19"/>
          <w:lang w:eastAsia="pt-BR"/>
        </w:rPr>
        <w:t>      </w:t>
      </w:r>
      <w:hyperlink r:id="rId25" w:history="1">
        <w:r w:rsidRPr="00321D1A">
          <w:rPr>
            <w:rStyle w:val="Hyperlink"/>
            <w:rFonts w:ascii="Book Antiqua" w:eastAsia="Times New Roman" w:hAnsi="Book Antiqua" w:cs="Arial"/>
            <w:sz w:val="19"/>
            <w:szCs w:val="19"/>
            <w:lang w:eastAsia="pt-BR"/>
          </w:rPr>
          <w:t> (Vide ADIN 6695)</w:t>
        </w:r>
      </w:hyperlink>
    </w:p>
    <w:p w14:paraId="6E01653D" w14:textId="77777777"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bookmarkStart w:id="4" w:name="art3i"/>
      <w:bookmarkEnd w:id="4"/>
      <w:r w:rsidRPr="00321D1A">
        <w:rPr>
          <w:rFonts w:ascii="Book Antiqua" w:eastAsia="Times New Roman" w:hAnsi="Book Antiqua" w:cs="Arial"/>
          <w:color w:val="000000"/>
          <w:sz w:val="19"/>
          <w:szCs w:val="19"/>
          <w:lang w:eastAsia="pt-BR"/>
        </w:rPr>
        <w:t>I - apresentar declaração de efetiva necessidade;    </w:t>
      </w:r>
      <w:hyperlink r:id="rId26" w:history="1">
        <w:r w:rsidRPr="00321D1A">
          <w:rPr>
            <w:rStyle w:val="Hyperlink"/>
            <w:rFonts w:ascii="Book Antiqua" w:eastAsia="Times New Roman" w:hAnsi="Book Antiqua" w:cs="Arial"/>
            <w:sz w:val="19"/>
            <w:szCs w:val="19"/>
            <w:lang w:eastAsia="pt-BR"/>
          </w:rPr>
          <w:t>(Vide ADIN 6675)</w:t>
        </w:r>
      </w:hyperlink>
      <w:r w:rsidRPr="00321D1A">
        <w:rPr>
          <w:rFonts w:ascii="Book Antiqua" w:eastAsia="Times New Roman" w:hAnsi="Book Antiqua" w:cs="Arial"/>
          <w:color w:val="000000"/>
          <w:sz w:val="19"/>
          <w:szCs w:val="19"/>
          <w:lang w:eastAsia="pt-BR"/>
        </w:rPr>
        <w:t>  </w:t>
      </w:r>
      <w:hyperlink r:id="rId27" w:history="1">
        <w:r w:rsidRPr="00321D1A">
          <w:rPr>
            <w:rStyle w:val="Hyperlink"/>
            <w:rFonts w:ascii="Book Antiqua" w:eastAsia="Times New Roman" w:hAnsi="Book Antiqua" w:cs="Arial"/>
            <w:sz w:val="19"/>
            <w:szCs w:val="19"/>
            <w:lang w:eastAsia="pt-BR"/>
          </w:rPr>
          <w:t>(Vide ADIN 6676)</w:t>
        </w:r>
      </w:hyperlink>
      <w:r w:rsidRPr="00321D1A">
        <w:rPr>
          <w:rFonts w:ascii="Book Antiqua" w:eastAsia="Times New Roman" w:hAnsi="Book Antiqua" w:cs="Arial"/>
          <w:color w:val="000000"/>
          <w:sz w:val="19"/>
          <w:szCs w:val="19"/>
          <w:lang w:eastAsia="pt-BR"/>
        </w:rPr>
        <w:t>  </w:t>
      </w:r>
      <w:hyperlink r:id="rId28" w:history="1">
        <w:r w:rsidRPr="00321D1A">
          <w:rPr>
            <w:rStyle w:val="Hyperlink"/>
            <w:rFonts w:ascii="Book Antiqua" w:eastAsia="Times New Roman" w:hAnsi="Book Antiqua" w:cs="Arial"/>
            <w:sz w:val="19"/>
            <w:szCs w:val="19"/>
            <w:lang w:eastAsia="pt-BR"/>
          </w:rPr>
          <w:t>(Vide ADIN 6677)</w:t>
        </w:r>
      </w:hyperlink>
      <w:r w:rsidRPr="00321D1A">
        <w:rPr>
          <w:rFonts w:ascii="Book Antiqua" w:eastAsia="Times New Roman" w:hAnsi="Book Antiqua" w:cs="Arial"/>
          <w:color w:val="000000"/>
          <w:sz w:val="19"/>
          <w:szCs w:val="19"/>
          <w:lang w:eastAsia="pt-BR"/>
        </w:rPr>
        <w:t> </w:t>
      </w:r>
      <w:hyperlink r:id="rId29" w:history="1">
        <w:r w:rsidRPr="00321D1A">
          <w:rPr>
            <w:rStyle w:val="Hyperlink"/>
            <w:rFonts w:ascii="Book Antiqua" w:eastAsia="Times New Roman" w:hAnsi="Book Antiqua" w:cs="Arial"/>
            <w:sz w:val="19"/>
            <w:szCs w:val="19"/>
            <w:lang w:eastAsia="pt-BR"/>
          </w:rPr>
          <w:t> (Vide ADIN 6695)</w:t>
        </w:r>
      </w:hyperlink>
    </w:p>
    <w:p w14:paraId="15ABC4BE"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II - ter, no mínimo, vinte e cinco anos de idade;</w:t>
      </w:r>
    </w:p>
    <w:p w14:paraId="79A75E2C"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pacing w:val="-4"/>
          <w:sz w:val="19"/>
          <w:szCs w:val="19"/>
          <w:lang w:eastAsia="pt-BR"/>
        </w:rPr>
        <w:t>III - apresentar original e cópia de documento de identificação pessoal;</w:t>
      </w:r>
    </w:p>
    <w:p w14:paraId="24D4C42F" w14:textId="77777777" w:rsidR="002E4CFB" w:rsidRPr="00151FF1" w:rsidRDefault="002E4CFB" w:rsidP="002E4CFB">
      <w:pPr>
        <w:autoSpaceDE w:val="0"/>
        <w:autoSpaceDN w:val="0"/>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IV - comprovar a idoneidade moral e a inexistência de inquérito policial ou processo criminal, por meio de certidões de antecedentes criminais das Justiças Federal, Estadual, Militar e Eleitoral;</w:t>
      </w:r>
    </w:p>
    <w:p w14:paraId="1176FED7"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V - apresentar documento comprobatório de ocupação lícita e de residência fixa;</w:t>
      </w:r>
    </w:p>
    <w:p w14:paraId="1D1B47B0"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VI - comprovar, periodicamente, a capacidade técnica para o manuseio da arma de fogo;</w:t>
      </w:r>
    </w:p>
    <w:p w14:paraId="3A99ECA6"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VII - comprovar a aptidão psicológica para o manuseio de arma de fogo, atestada em laudo conclusivo fornecido por psicólogo credenciado pela Polícia Federal; e</w:t>
      </w:r>
    </w:p>
    <w:p w14:paraId="3E18819C"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VIII - apresentar declaração de que possui lugar seguro para armazenamento das armas de fogo das quais seja proprietário de modo a adotar as medidas necessárias para impedir que menor de dezoito anos de idade ou pessoa com deficiência mental se apodere de arma de fogo que esteja sob sua posse ou que seja de sua propriedade nos termos do disposto no </w:t>
      </w:r>
      <w:hyperlink r:id="rId30" w:anchor="art13" w:history="1">
        <w:r w:rsidRPr="00151FF1">
          <w:rPr>
            <w:rFonts w:ascii="Book Antiqua" w:eastAsia="Times New Roman" w:hAnsi="Book Antiqua" w:cs="Arial"/>
            <w:color w:val="0000FF"/>
            <w:sz w:val="19"/>
            <w:szCs w:val="19"/>
            <w:u w:val="single"/>
            <w:lang w:eastAsia="pt-BR"/>
          </w:rPr>
          <w:t>art. 13 da Lei nº 10.826, de 2003</w:t>
        </w:r>
      </w:hyperlink>
      <w:r w:rsidRPr="00151FF1">
        <w:rPr>
          <w:rFonts w:ascii="Book Antiqua" w:eastAsia="Times New Roman" w:hAnsi="Book Antiqua" w:cs="Arial"/>
          <w:color w:val="000000"/>
          <w:sz w:val="19"/>
          <w:szCs w:val="19"/>
          <w:lang w:eastAsia="pt-BR"/>
        </w:rPr>
        <w:t xml:space="preserve">. </w:t>
      </w:r>
    </w:p>
    <w:p w14:paraId="043188C5" w14:textId="5C1F33A5" w:rsidR="00321D1A" w:rsidRDefault="00321D1A" w:rsidP="002E4CFB">
      <w:pPr>
        <w:spacing w:before="300" w:after="300" w:line="240" w:lineRule="auto"/>
        <w:ind w:firstLine="567"/>
        <w:jc w:val="both"/>
        <w:rPr>
          <w:rFonts w:ascii="Book Antiqua" w:eastAsia="Times New Roman" w:hAnsi="Book Antiqua" w:cs="Arial"/>
          <w:color w:val="000000"/>
          <w:sz w:val="19"/>
          <w:szCs w:val="19"/>
          <w:lang w:eastAsia="pt-BR"/>
        </w:rPr>
      </w:pPr>
      <w:r w:rsidRPr="00321D1A">
        <w:rPr>
          <w:rFonts w:ascii="Book Antiqua" w:eastAsia="Times New Roman" w:hAnsi="Book Antiqua" w:cs="Arial"/>
          <w:color w:val="000000"/>
          <w:sz w:val="19"/>
          <w:szCs w:val="19"/>
          <w:lang w:eastAsia="pt-BR"/>
        </w:rPr>
        <w:t>§ 1º  Presume-se a veracidade dos fatos e das circunstâncias afirmadas na declaração de efetiva necessidade a que se refere o inciso I do </w:t>
      </w:r>
      <w:r w:rsidRPr="00321D1A">
        <w:rPr>
          <w:rFonts w:ascii="Book Antiqua" w:eastAsia="Times New Roman" w:hAnsi="Book Antiqua" w:cs="Arial"/>
          <w:b/>
          <w:bCs/>
          <w:color w:val="000000"/>
          <w:sz w:val="19"/>
          <w:szCs w:val="19"/>
          <w:lang w:eastAsia="pt-BR"/>
        </w:rPr>
        <w:t>caput</w:t>
      </w:r>
      <w:r w:rsidRPr="00321D1A">
        <w:rPr>
          <w:rFonts w:ascii="Book Antiqua" w:eastAsia="Times New Roman" w:hAnsi="Book Antiqua" w:cs="Arial"/>
          <w:color w:val="000000"/>
          <w:sz w:val="19"/>
          <w:szCs w:val="19"/>
          <w:lang w:eastAsia="pt-BR"/>
        </w:rPr>
        <w:t>.  </w:t>
      </w:r>
      <w:hyperlink r:id="rId31" w:history="1">
        <w:r w:rsidRPr="00321D1A">
          <w:rPr>
            <w:rStyle w:val="Hyperlink"/>
            <w:rFonts w:ascii="Book Antiqua" w:eastAsia="Times New Roman" w:hAnsi="Book Antiqua" w:cs="Arial"/>
            <w:sz w:val="19"/>
            <w:szCs w:val="19"/>
            <w:lang w:eastAsia="pt-BR"/>
          </w:rPr>
          <w:t>(Vide ADIN 6675)</w:t>
        </w:r>
      </w:hyperlink>
      <w:r w:rsidRPr="00321D1A">
        <w:rPr>
          <w:rFonts w:ascii="Book Antiqua" w:eastAsia="Times New Roman" w:hAnsi="Book Antiqua" w:cs="Arial"/>
          <w:color w:val="000000"/>
          <w:sz w:val="19"/>
          <w:szCs w:val="19"/>
          <w:lang w:eastAsia="pt-BR"/>
        </w:rPr>
        <w:t>  </w:t>
      </w:r>
      <w:hyperlink r:id="rId32" w:history="1">
        <w:r w:rsidRPr="00321D1A">
          <w:rPr>
            <w:rStyle w:val="Hyperlink"/>
            <w:rFonts w:ascii="Book Antiqua" w:eastAsia="Times New Roman" w:hAnsi="Book Antiqua" w:cs="Arial"/>
            <w:sz w:val="19"/>
            <w:szCs w:val="19"/>
            <w:lang w:eastAsia="pt-BR"/>
          </w:rPr>
          <w:t>(Vide ADIN 6676)</w:t>
        </w:r>
      </w:hyperlink>
      <w:r w:rsidRPr="00321D1A">
        <w:rPr>
          <w:rFonts w:ascii="Book Antiqua" w:eastAsia="Times New Roman" w:hAnsi="Book Antiqua" w:cs="Arial"/>
          <w:color w:val="000000"/>
          <w:sz w:val="19"/>
          <w:szCs w:val="19"/>
          <w:lang w:eastAsia="pt-BR"/>
        </w:rPr>
        <w:t>     </w:t>
      </w:r>
      <w:hyperlink r:id="rId33" w:history="1">
        <w:r w:rsidRPr="00321D1A">
          <w:rPr>
            <w:rStyle w:val="Hyperlink"/>
            <w:rFonts w:ascii="Book Antiqua" w:eastAsia="Times New Roman" w:hAnsi="Book Antiqua" w:cs="Arial"/>
            <w:sz w:val="19"/>
            <w:szCs w:val="19"/>
            <w:lang w:eastAsia="pt-BR"/>
          </w:rPr>
          <w:t> (Vide ADIN 6695)</w:t>
        </w:r>
      </w:hyperlink>
    </w:p>
    <w:p w14:paraId="6CF2EA32"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 2º  O indeferimento do pedido para aquisição a que se refere 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 xml:space="preserve"> será comunicado ao interessado em documento próprio e apenas poderá ter como fundamento:</w:t>
      </w:r>
    </w:p>
    <w:p w14:paraId="3E0F6159"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I - a comprovação documental de que:</w:t>
      </w:r>
    </w:p>
    <w:p w14:paraId="6F165D6F"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a) não são verdadeiros os fatos e as circunstâncias afirmados pelo interessado na declaração de efetiva necessidade a que se refere o inciso I do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w:t>
      </w:r>
    </w:p>
    <w:p w14:paraId="480B5DD1"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b) o interessado instruiu o pedido com declarações ou documentos falsos; ou</w:t>
      </w:r>
    </w:p>
    <w:p w14:paraId="771AE361"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c) o interessado mantém vínculo com grupos criminosos ou age como pessoa interposta de quem não preenche os requisitos a que se referem os incisos I a VIII do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w:t>
      </w:r>
    </w:p>
    <w:p w14:paraId="5D91F2E1"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II - o interessado não ter a idade mínima exigida no inciso II do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 ou</w:t>
      </w:r>
    </w:p>
    <w:p w14:paraId="431F7848"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III - a não apresentação de um ou mais documentos a que se referem o inciso III ao inciso VIII do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w:t>
      </w:r>
    </w:p>
    <w:p w14:paraId="29563421"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 3º  Serão exigidas as certidões de antecedentes a que se refere o inciso IV do </w:t>
      </w:r>
      <w:r w:rsidRPr="00151FF1">
        <w:rPr>
          <w:rFonts w:ascii="Book Antiqua" w:eastAsia="Times New Roman" w:hAnsi="Book Antiqua" w:cs="Arial"/>
          <w:b/>
          <w:bCs/>
          <w:color w:val="000000"/>
          <w:sz w:val="19"/>
          <w:szCs w:val="19"/>
          <w:lang w:eastAsia="pt-BR"/>
        </w:rPr>
        <w:t xml:space="preserve">caput </w:t>
      </w:r>
      <w:r w:rsidRPr="00151FF1">
        <w:rPr>
          <w:rFonts w:ascii="Book Antiqua" w:eastAsia="Times New Roman" w:hAnsi="Book Antiqua" w:cs="Arial"/>
          <w:color w:val="000000"/>
          <w:sz w:val="19"/>
          <w:szCs w:val="19"/>
          <w:lang w:eastAsia="pt-BR"/>
        </w:rPr>
        <w:t>apenas do local de domicílio do requerente, que apresentará declaração de inexistência de inquéritos policiais ou processos criminais contra si em trâmite nos demais entes federativos.</w:t>
      </w:r>
    </w:p>
    <w:p w14:paraId="197C0337" w14:textId="4B418122" w:rsidR="00321D1A" w:rsidRDefault="00321D1A" w:rsidP="002E4CFB">
      <w:pPr>
        <w:spacing w:before="300" w:after="300" w:line="240" w:lineRule="auto"/>
        <w:ind w:firstLine="567"/>
        <w:jc w:val="both"/>
        <w:rPr>
          <w:rFonts w:ascii="Book Antiqua" w:eastAsia="Times New Roman" w:hAnsi="Book Antiqua" w:cs="Arial"/>
          <w:color w:val="000000"/>
          <w:sz w:val="19"/>
          <w:szCs w:val="19"/>
          <w:lang w:eastAsia="pt-BR"/>
        </w:rPr>
      </w:pPr>
      <w:r w:rsidRPr="00321D1A">
        <w:rPr>
          <w:rFonts w:ascii="Book Antiqua" w:eastAsia="Times New Roman" w:hAnsi="Book Antiqua" w:cs="Arial"/>
          <w:color w:val="000000"/>
          <w:sz w:val="19"/>
          <w:szCs w:val="19"/>
          <w:lang w:eastAsia="pt-BR"/>
        </w:rPr>
        <w:lastRenderedPageBreak/>
        <w:t>§ 4º O comprovante de capacidade técnica de que trata o inciso VI do </w:t>
      </w:r>
      <w:r w:rsidRPr="00321D1A">
        <w:rPr>
          <w:rFonts w:ascii="Book Antiqua" w:eastAsia="Times New Roman" w:hAnsi="Book Antiqua" w:cs="Arial"/>
          <w:b/>
          <w:bCs/>
          <w:color w:val="000000"/>
          <w:sz w:val="19"/>
          <w:szCs w:val="19"/>
          <w:lang w:eastAsia="pt-BR"/>
        </w:rPr>
        <w:t>caput </w:t>
      </w:r>
      <w:r w:rsidRPr="00321D1A">
        <w:rPr>
          <w:rFonts w:ascii="Book Antiqua" w:eastAsia="Times New Roman" w:hAnsi="Book Antiqua" w:cs="Arial"/>
          <w:color w:val="000000"/>
          <w:sz w:val="19"/>
          <w:szCs w:val="19"/>
          <w:lang w:eastAsia="pt-BR"/>
        </w:rPr>
        <w:t>deverá ser expedido por instrutor de armamento e de tiro credenciado pela Polícia Federal no Sinarm e deverá atestar, necessariamente:   </w:t>
      </w:r>
      <w:hyperlink r:id="rId34" w:history="1">
        <w:r w:rsidRPr="00321D1A">
          <w:rPr>
            <w:rStyle w:val="Hyperlink"/>
            <w:rFonts w:ascii="Book Antiqua" w:eastAsia="Times New Roman" w:hAnsi="Book Antiqua" w:cs="Arial"/>
            <w:sz w:val="19"/>
            <w:szCs w:val="19"/>
            <w:lang w:eastAsia="pt-BR"/>
          </w:rPr>
          <w:t>(Redação dada pelo Decreto nº 10.628, de 2021)</w:t>
        </w:r>
      </w:hyperlink>
    </w:p>
    <w:p w14:paraId="78347C91"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I - conhecimento da conceituação e das normas de segurança relativas a arma de fogo;</w:t>
      </w:r>
    </w:p>
    <w:p w14:paraId="109BBA4B"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II - conhecimento básico dos componentes e das partes da arma de fogo </w:t>
      </w:r>
      <w:r w:rsidRPr="00151FF1">
        <w:rPr>
          <w:rFonts w:ascii="Book Antiqua" w:eastAsia="Times New Roman" w:hAnsi="Book Antiqua" w:cs="Arial"/>
          <w:sz w:val="19"/>
          <w:szCs w:val="19"/>
          <w:lang w:eastAsia="pt-BR"/>
        </w:rPr>
        <w:t>para a</w:t>
      </w:r>
      <w:r w:rsidRPr="00151FF1">
        <w:rPr>
          <w:rFonts w:ascii="Book Antiqua" w:eastAsia="Times New Roman" w:hAnsi="Book Antiqua" w:cs="Arial"/>
          <w:sz w:val="19"/>
          <w:szCs w:val="19"/>
          <w:lang w:val="pt-PT" w:eastAsia="pt-BR"/>
        </w:rPr>
        <w:t xml:space="preserve"> qual foi requerida a autorização de aquisição; e</w:t>
      </w:r>
    </w:p>
    <w:p w14:paraId="41468D36"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III - habilidade no uso da arma de fogo demonstrada pelo interessado em estande de tiro credenciado pelo Comando do Exército ou pela Polícia Federal.</w:t>
      </w:r>
    </w:p>
    <w:p w14:paraId="4AA432C6"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 5º  Cumpridos os requisitos a que se refere 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 será expedida pelo Sinarm, no prazo de até trinta dias, contado da data do protocolo da solicitação, a autorização para a aquisição da arma de fogo em nome do interessado.</w:t>
      </w:r>
    </w:p>
    <w:p w14:paraId="183CADD3"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6º  É pessoal e intransferível a autorização para a aquisição da arma de fogo de que trata o § 5º.</w:t>
      </w:r>
    </w:p>
    <w:p w14:paraId="6AE52D99"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 7º  Fica dispensado da comprovação de cumprimento dos requisitos a que se referem os incisos VI e VII do </w:t>
      </w:r>
      <w:r w:rsidRPr="00151FF1">
        <w:rPr>
          <w:rFonts w:ascii="Book Antiqua" w:eastAsia="Times New Roman" w:hAnsi="Book Antiqua" w:cs="Arial"/>
          <w:b/>
          <w:bCs/>
          <w:color w:val="000000"/>
          <w:sz w:val="19"/>
          <w:szCs w:val="19"/>
          <w:lang w:eastAsia="pt-BR"/>
        </w:rPr>
        <w:t xml:space="preserve">caput </w:t>
      </w:r>
      <w:r w:rsidRPr="00151FF1">
        <w:rPr>
          <w:rFonts w:ascii="Book Antiqua" w:eastAsia="Times New Roman" w:hAnsi="Book Antiqua" w:cs="Arial"/>
          <w:color w:val="000000"/>
          <w:sz w:val="19"/>
          <w:szCs w:val="19"/>
          <w:lang w:eastAsia="pt-BR"/>
        </w:rPr>
        <w:t>o interessado em adquirir arma de fogo que:</w:t>
      </w:r>
    </w:p>
    <w:p w14:paraId="75133E64"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I - comprove estar autorizado a portar arma de fogo da mesma espécie daquela a ser adquirida, desde que o porte de arma de fogo esteja válido; e</w:t>
      </w:r>
    </w:p>
    <w:p w14:paraId="7E4D6D3F"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II - tenha se submetido às avaliações técnica e psicológica no prazo estabelecido para obtenção ou manutenção do porte de arma de fogo.</w:t>
      </w:r>
    </w:p>
    <w:p w14:paraId="41BE159E" w14:textId="77777777"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r w:rsidRPr="00321D1A">
        <w:rPr>
          <w:rFonts w:ascii="Book Antiqua" w:eastAsia="Times New Roman" w:hAnsi="Book Antiqua" w:cs="Arial"/>
          <w:color w:val="000000"/>
          <w:sz w:val="19"/>
          <w:szCs w:val="19"/>
          <w:lang w:eastAsia="pt-BR"/>
        </w:rPr>
        <w:t>§ 8º O disposto no § 1º aplica-se à aquisição de até seis armas de fogo de uso permitido, de porte ou portáteis, não dispensada a caracterização da efetiva necessidade se presentes outros fatos e circunstâncias que a justifiquem, inclusive para a aquisição de armas de fogo de uso permitido em quantidade superior a esse limite.     </w:t>
      </w:r>
      <w:hyperlink r:id="rId35" w:history="1">
        <w:r w:rsidRPr="00321D1A">
          <w:rPr>
            <w:rStyle w:val="Hyperlink"/>
            <w:rFonts w:ascii="Book Antiqua" w:eastAsia="Times New Roman" w:hAnsi="Book Antiqua" w:cs="Arial"/>
            <w:sz w:val="19"/>
            <w:szCs w:val="19"/>
            <w:lang w:eastAsia="pt-BR"/>
          </w:rPr>
          <w:t>(Redação dada pelo Decreto nº 10.628, de 2021)</w:t>
        </w:r>
      </w:hyperlink>
      <w:r w:rsidRPr="00321D1A">
        <w:rPr>
          <w:rFonts w:ascii="Book Antiqua" w:eastAsia="Times New Roman" w:hAnsi="Book Antiqua" w:cs="Arial"/>
          <w:color w:val="000000"/>
          <w:sz w:val="19"/>
          <w:szCs w:val="19"/>
          <w:lang w:eastAsia="pt-BR"/>
        </w:rPr>
        <w:t>   </w:t>
      </w:r>
      <w:hyperlink r:id="rId36" w:anchor="art3" w:history="1">
        <w:r w:rsidRPr="00321D1A">
          <w:rPr>
            <w:rStyle w:val="Hyperlink"/>
            <w:rFonts w:ascii="Book Antiqua" w:eastAsia="Times New Roman" w:hAnsi="Book Antiqua" w:cs="Arial"/>
            <w:sz w:val="19"/>
            <w:szCs w:val="19"/>
            <w:lang w:eastAsia="pt-BR"/>
          </w:rPr>
          <w:t>Vigência </w:t>
        </w:r>
      </w:hyperlink>
      <w:r w:rsidRPr="00321D1A">
        <w:rPr>
          <w:rFonts w:ascii="Book Antiqua" w:eastAsia="Times New Roman" w:hAnsi="Book Antiqua" w:cs="Arial"/>
          <w:color w:val="000000"/>
          <w:sz w:val="19"/>
          <w:szCs w:val="19"/>
          <w:lang w:eastAsia="pt-BR"/>
        </w:rPr>
        <w:t>    </w:t>
      </w:r>
      <w:hyperlink r:id="rId37" w:history="1">
        <w:r w:rsidRPr="00321D1A">
          <w:rPr>
            <w:rStyle w:val="Hyperlink"/>
            <w:rFonts w:ascii="Book Antiqua" w:eastAsia="Times New Roman" w:hAnsi="Book Antiqua" w:cs="Arial"/>
            <w:sz w:val="19"/>
            <w:szCs w:val="19"/>
            <w:lang w:eastAsia="pt-BR"/>
          </w:rPr>
          <w:t>(Vide ADIN 6675)</w:t>
        </w:r>
      </w:hyperlink>
      <w:r w:rsidRPr="00321D1A">
        <w:rPr>
          <w:rFonts w:ascii="Book Antiqua" w:eastAsia="Times New Roman" w:hAnsi="Book Antiqua" w:cs="Arial"/>
          <w:color w:val="000000"/>
          <w:sz w:val="19"/>
          <w:szCs w:val="19"/>
          <w:lang w:eastAsia="pt-BR"/>
        </w:rPr>
        <w:t>   </w:t>
      </w:r>
      <w:hyperlink r:id="rId38" w:history="1">
        <w:r w:rsidRPr="00321D1A">
          <w:rPr>
            <w:rStyle w:val="Hyperlink"/>
            <w:rFonts w:ascii="Book Antiqua" w:eastAsia="Times New Roman" w:hAnsi="Book Antiqua" w:cs="Arial"/>
            <w:sz w:val="19"/>
            <w:szCs w:val="19"/>
            <w:lang w:eastAsia="pt-BR"/>
          </w:rPr>
          <w:t>(Vide ADIN 6676)</w:t>
        </w:r>
      </w:hyperlink>
      <w:r w:rsidRPr="00321D1A">
        <w:rPr>
          <w:rFonts w:ascii="Book Antiqua" w:eastAsia="Times New Roman" w:hAnsi="Book Antiqua" w:cs="Arial"/>
          <w:color w:val="000000"/>
          <w:sz w:val="19"/>
          <w:szCs w:val="19"/>
          <w:lang w:eastAsia="pt-BR"/>
        </w:rPr>
        <w:t>  </w:t>
      </w:r>
      <w:hyperlink r:id="rId39" w:history="1">
        <w:r w:rsidRPr="00321D1A">
          <w:rPr>
            <w:rStyle w:val="Hyperlink"/>
            <w:rFonts w:ascii="Book Antiqua" w:eastAsia="Times New Roman" w:hAnsi="Book Antiqua" w:cs="Arial"/>
            <w:sz w:val="19"/>
            <w:szCs w:val="19"/>
            <w:lang w:eastAsia="pt-BR"/>
          </w:rPr>
          <w:t>(Vide ADIN 6677)</w:t>
        </w:r>
      </w:hyperlink>
      <w:r w:rsidRPr="00321D1A">
        <w:rPr>
          <w:rFonts w:ascii="Book Antiqua" w:eastAsia="Times New Roman" w:hAnsi="Book Antiqua" w:cs="Arial"/>
          <w:color w:val="000000"/>
          <w:sz w:val="19"/>
          <w:szCs w:val="19"/>
          <w:lang w:eastAsia="pt-BR"/>
        </w:rPr>
        <w:t>      </w:t>
      </w:r>
      <w:hyperlink r:id="rId40" w:history="1">
        <w:r w:rsidRPr="00321D1A">
          <w:rPr>
            <w:rStyle w:val="Hyperlink"/>
            <w:rFonts w:ascii="Book Antiqua" w:eastAsia="Times New Roman" w:hAnsi="Book Antiqua" w:cs="Arial"/>
            <w:sz w:val="19"/>
            <w:szCs w:val="19"/>
            <w:lang w:eastAsia="pt-BR"/>
          </w:rPr>
          <w:t> (Vide ADIN 6695)</w:t>
        </w:r>
      </w:hyperlink>
    </w:p>
    <w:p w14:paraId="34502936" w14:textId="77777777"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bookmarkStart w:id="5" w:name="art3§8a"/>
      <w:bookmarkEnd w:id="5"/>
      <w:r w:rsidRPr="00321D1A">
        <w:rPr>
          <w:rFonts w:ascii="Book Antiqua" w:eastAsia="Times New Roman" w:hAnsi="Book Antiqua" w:cs="Arial"/>
          <w:color w:val="000000"/>
          <w:sz w:val="19"/>
          <w:szCs w:val="19"/>
          <w:lang w:eastAsia="pt-BR"/>
        </w:rPr>
        <w:t>§ 8º-A Os ocupantes dos cargos de que tratam os incisos I, II, V e VI do </w:t>
      </w:r>
      <w:r w:rsidRPr="00321D1A">
        <w:rPr>
          <w:rFonts w:ascii="Book Antiqua" w:eastAsia="Times New Roman" w:hAnsi="Book Antiqua" w:cs="Arial"/>
          <w:b/>
          <w:bCs/>
          <w:color w:val="000000"/>
          <w:sz w:val="19"/>
          <w:szCs w:val="19"/>
          <w:lang w:eastAsia="pt-BR"/>
        </w:rPr>
        <w:t>caput </w:t>
      </w:r>
      <w:r w:rsidRPr="00321D1A">
        <w:rPr>
          <w:rFonts w:ascii="Book Antiqua" w:eastAsia="Times New Roman" w:hAnsi="Book Antiqua" w:cs="Arial"/>
          <w:color w:val="000000"/>
          <w:sz w:val="19"/>
          <w:szCs w:val="19"/>
          <w:lang w:eastAsia="pt-BR"/>
        </w:rPr>
        <w:t>do </w:t>
      </w:r>
      <w:hyperlink r:id="rId41" w:anchor="art6" w:history="1">
        <w:r w:rsidRPr="00321D1A">
          <w:rPr>
            <w:rStyle w:val="Hyperlink"/>
            <w:rFonts w:ascii="Book Antiqua" w:eastAsia="Times New Roman" w:hAnsi="Book Antiqua" w:cs="Arial"/>
            <w:sz w:val="19"/>
            <w:szCs w:val="19"/>
            <w:lang w:eastAsia="pt-BR"/>
          </w:rPr>
          <w:t>art. 6º da Lei nº 10.826, de 2003 </w:t>
        </w:r>
      </w:hyperlink>
      <w:r w:rsidRPr="00321D1A">
        <w:rPr>
          <w:rFonts w:ascii="Book Antiqua" w:eastAsia="Times New Roman" w:hAnsi="Book Antiqua" w:cs="Arial"/>
          <w:color w:val="000000"/>
          <w:sz w:val="19"/>
          <w:szCs w:val="19"/>
          <w:lang w:eastAsia="pt-BR"/>
        </w:rPr>
        <w:t>, os membros da magistratura, do Ministério Público e os i ntegrantes das polícias penais federal, estadual ou distrital, e os agentes e guardas prisionais , além do limite estabelecido no § 8º, poderão adquirir até duas armas de fogo de uso restrito, de porte ou portáteis, de funcionamento semiautomático ou de repetição.  </w:t>
      </w:r>
      <w:hyperlink r:id="rId42" w:history="1">
        <w:r w:rsidRPr="00321D1A">
          <w:rPr>
            <w:rStyle w:val="Hyperlink"/>
            <w:rFonts w:ascii="Book Antiqua" w:eastAsia="Times New Roman" w:hAnsi="Book Antiqua" w:cs="Arial"/>
            <w:sz w:val="19"/>
            <w:szCs w:val="19"/>
            <w:lang w:eastAsia="pt-BR"/>
          </w:rPr>
          <w:t>(Incluído pelo Decreto nº 10.628, de 2021)</w:t>
        </w:r>
      </w:hyperlink>
      <w:r w:rsidRPr="00321D1A">
        <w:rPr>
          <w:rFonts w:ascii="Book Antiqua" w:eastAsia="Times New Roman" w:hAnsi="Book Antiqua" w:cs="Arial"/>
          <w:color w:val="000000"/>
          <w:sz w:val="19"/>
          <w:szCs w:val="19"/>
          <w:lang w:eastAsia="pt-BR"/>
        </w:rPr>
        <w:t>   </w:t>
      </w:r>
      <w:hyperlink r:id="rId43" w:anchor="art3" w:history="1">
        <w:r w:rsidRPr="00321D1A">
          <w:rPr>
            <w:rStyle w:val="Hyperlink"/>
            <w:rFonts w:ascii="Book Antiqua" w:eastAsia="Times New Roman" w:hAnsi="Book Antiqua" w:cs="Arial"/>
            <w:sz w:val="19"/>
            <w:szCs w:val="19"/>
            <w:lang w:eastAsia="pt-BR"/>
          </w:rPr>
          <w:t>Vigência</w:t>
        </w:r>
      </w:hyperlink>
    </w:p>
    <w:p w14:paraId="0249DC28" w14:textId="019652C3"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bookmarkStart w:id="6" w:name="art3§9"/>
      <w:bookmarkEnd w:id="6"/>
      <w:r w:rsidRPr="00321D1A">
        <w:rPr>
          <w:rFonts w:ascii="Book Antiqua" w:eastAsia="Times New Roman" w:hAnsi="Book Antiqua" w:cs="Arial"/>
          <w:color w:val="000000"/>
          <w:sz w:val="19"/>
          <w:szCs w:val="19"/>
          <w:lang w:eastAsia="pt-BR"/>
        </w:rPr>
        <w:t>§ 9º  </w:t>
      </w:r>
      <w:hyperlink r:id="rId44" w:anchor="art6" w:history="1">
        <w:r w:rsidRPr="00321D1A">
          <w:rPr>
            <w:rStyle w:val="Hyperlink"/>
            <w:rFonts w:ascii="Book Antiqua" w:eastAsia="Times New Roman" w:hAnsi="Book Antiqua" w:cs="Arial"/>
            <w:sz w:val="19"/>
            <w:szCs w:val="19"/>
            <w:lang w:eastAsia="pt-BR"/>
          </w:rPr>
          <w:t>(Revogado pelo Decreto nº 10.030, de 2019)</w:t>
        </w:r>
      </w:hyperlink>
    </w:p>
    <w:p w14:paraId="668F8E58" w14:textId="77777777"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bookmarkStart w:id="7" w:name="art3§10"/>
      <w:bookmarkEnd w:id="7"/>
      <w:r w:rsidRPr="00321D1A">
        <w:rPr>
          <w:rFonts w:ascii="Book Antiqua" w:eastAsia="Times New Roman" w:hAnsi="Book Antiqua" w:cs="Arial"/>
          <w:color w:val="000000"/>
          <w:sz w:val="19"/>
          <w:szCs w:val="19"/>
          <w:lang w:eastAsia="pt-BR"/>
        </w:rPr>
        <w:t>§ 10.  Os requisitos de que tratam os incisos V, VI e VII do </w:t>
      </w:r>
      <w:r w:rsidRPr="00321D1A">
        <w:rPr>
          <w:rFonts w:ascii="Book Antiqua" w:eastAsia="Times New Roman" w:hAnsi="Book Antiqua" w:cs="Arial"/>
          <w:b/>
          <w:bCs/>
          <w:color w:val="000000"/>
          <w:sz w:val="19"/>
          <w:szCs w:val="19"/>
          <w:lang w:eastAsia="pt-BR"/>
        </w:rPr>
        <w:t>caput</w:t>
      </w:r>
      <w:r w:rsidRPr="00321D1A">
        <w:rPr>
          <w:rFonts w:ascii="Book Antiqua" w:eastAsia="Times New Roman" w:hAnsi="Book Antiqua" w:cs="Arial"/>
          <w:color w:val="000000"/>
          <w:sz w:val="19"/>
          <w:szCs w:val="19"/>
          <w:lang w:eastAsia="pt-BR"/>
        </w:rPr>
        <w:t> serão comprovados, periodicamente, a cada dez anos, junto à Polícia Federal, para fins de renovação do Certificado de Registro.  </w:t>
      </w:r>
      <w:hyperlink r:id="rId45" w:anchor="art3" w:history="1">
        <w:r w:rsidRPr="00321D1A">
          <w:rPr>
            <w:rStyle w:val="Hyperlink"/>
            <w:rFonts w:ascii="Book Antiqua" w:eastAsia="Times New Roman" w:hAnsi="Book Antiqua" w:cs="Arial"/>
            <w:sz w:val="19"/>
            <w:szCs w:val="19"/>
            <w:lang w:eastAsia="pt-BR"/>
          </w:rPr>
          <w:t>(Incluído pelo Decreto nº 10.030, de 2019)</w:t>
        </w:r>
      </w:hyperlink>
    </w:p>
    <w:p w14:paraId="2C54BF6E" w14:textId="77777777"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bookmarkStart w:id="8" w:name="art3§11"/>
      <w:bookmarkEnd w:id="8"/>
      <w:r w:rsidRPr="00321D1A">
        <w:rPr>
          <w:rFonts w:ascii="Book Antiqua" w:eastAsia="Times New Roman" w:hAnsi="Book Antiqua" w:cs="Arial"/>
          <w:color w:val="000000"/>
          <w:sz w:val="19"/>
          <w:szCs w:val="19"/>
          <w:lang w:eastAsia="pt-BR"/>
        </w:rPr>
        <w:t>§ 11.  Os integrantes das Forças Armadas, das polícias federais, estaduais e do Distrito Federal e os militares dos Estados e do Distrito Federal, ao adquirirem arma de fogo de uso permitido ou restrito ou renovarem o respectivo Certificado de Registro, ficam dispensados do cumprimento dos requisitos de que tratam os incisos I, II, IV, V, VI e VII do </w:t>
      </w:r>
      <w:r w:rsidRPr="00321D1A">
        <w:rPr>
          <w:rFonts w:ascii="Book Antiqua" w:eastAsia="Times New Roman" w:hAnsi="Book Antiqua" w:cs="Arial"/>
          <w:b/>
          <w:bCs/>
          <w:color w:val="000000"/>
          <w:sz w:val="19"/>
          <w:szCs w:val="19"/>
          <w:lang w:eastAsia="pt-BR"/>
        </w:rPr>
        <w:t>caput</w:t>
      </w:r>
      <w:r w:rsidRPr="00321D1A">
        <w:rPr>
          <w:rFonts w:ascii="Book Antiqua" w:eastAsia="Times New Roman" w:hAnsi="Book Antiqua" w:cs="Arial"/>
          <w:color w:val="000000"/>
          <w:sz w:val="19"/>
          <w:szCs w:val="19"/>
          <w:lang w:eastAsia="pt-BR"/>
        </w:rPr>
        <w:t>.          </w:t>
      </w:r>
      <w:hyperlink r:id="rId46" w:anchor="art3" w:history="1">
        <w:r w:rsidRPr="00321D1A">
          <w:rPr>
            <w:rStyle w:val="Hyperlink"/>
            <w:rFonts w:ascii="Book Antiqua" w:eastAsia="Times New Roman" w:hAnsi="Book Antiqua" w:cs="Arial"/>
            <w:sz w:val="19"/>
            <w:szCs w:val="19"/>
            <w:lang w:eastAsia="pt-BR"/>
          </w:rPr>
          <w:t>(Incluído pelo Decreto nº 10.030, de 2019)</w:t>
        </w:r>
      </w:hyperlink>
    </w:p>
    <w:p w14:paraId="4A40BA4C" w14:textId="77777777"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bookmarkStart w:id="9" w:name="art3§12"/>
      <w:bookmarkEnd w:id="9"/>
      <w:r w:rsidRPr="00321D1A">
        <w:rPr>
          <w:rFonts w:ascii="Book Antiqua" w:eastAsia="Times New Roman" w:hAnsi="Book Antiqua" w:cs="Arial"/>
          <w:color w:val="000000"/>
          <w:sz w:val="19"/>
          <w:szCs w:val="19"/>
          <w:lang w:eastAsia="pt-BR"/>
        </w:rPr>
        <w:t>§ 12.  Os integrantes das entidades de que tratam os </w:t>
      </w:r>
      <w:hyperlink r:id="rId47" w:anchor="art6i" w:history="1">
        <w:r w:rsidRPr="00321D1A">
          <w:rPr>
            <w:rStyle w:val="Hyperlink"/>
            <w:rFonts w:ascii="Book Antiqua" w:eastAsia="Times New Roman" w:hAnsi="Book Antiqua" w:cs="Arial"/>
            <w:sz w:val="19"/>
            <w:szCs w:val="19"/>
            <w:lang w:eastAsia="pt-BR"/>
          </w:rPr>
          <w:t>incisos I</w:t>
        </w:r>
      </w:hyperlink>
      <w:r w:rsidRPr="00321D1A">
        <w:rPr>
          <w:rFonts w:ascii="Book Antiqua" w:eastAsia="Times New Roman" w:hAnsi="Book Antiqua" w:cs="Arial"/>
          <w:color w:val="000000"/>
          <w:sz w:val="19"/>
          <w:szCs w:val="19"/>
          <w:lang w:eastAsia="pt-BR"/>
        </w:rPr>
        <w:t>, </w:t>
      </w:r>
      <w:hyperlink r:id="rId48" w:anchor="art6ii" w:history="1">
        <w:r w:rsidRPr="00321D1A">
          <w:rPr>
            <w:rStyle w:val="Hyperlink"/>
            <w:rFonts w:ascii="Book Antiqua" w:eastAsia="Times New Roman" w:hAnsi="Book Antiqua" w:cs="Arial"/>
            <w:sz w:val="19"/>
            <w:szCs w:val="19"/>
            <w:lang w:eastAsia="pt-BR"/>
          </w:rPr>
          <w:t>II</w:t>
        </w:r>
      </w:hyperlink>
      <w:r w:rsidRPr="00321D1A">
        <w:rPr>
          <w:rFonts w:ascii="Book Antiqua" w:eastAsia="Times New Roman" w:hAnsi="Book Antiqua" w:cs="Arial"/>
          <w:color w:val="000000"/>
          <w:sz w:val="19"/>
          <w:szCs w:val="19"/>
          <w:lang w:eastAsia="pt-BR"/>
        </w:rPr>
        <w:t>, </w:t>
      </w:r>
      <w:hyperlink r:id="rId49" w:anchor="art6iii" w:history="1">
        <w:r w:rsidRPr="00321D1A">
          <w:rPr>
            <w:rStyle w:val="Hyperlink"/>
            <w:rFonts w:ascii="Book Antiqua" w:eastAsia="Times New Roman" w:hAnsi="Book Antiqua" w:cs="Arial"/>
            <w:sz w:val="19"/>
            <w:szCs w:val="19"/>
            <w:lang w:eastAsia="pt-BR"/>
          </w:rPr>
          <w:t>III</w:t>
        </w:r>
      </w:hyperlink>
      <w:r w:rsidRPr="00321D1A">
        <w:rPr>
          <w:rFonts w:ascii="Book Antiqua" w:eastAsia="Times New Roman" w:hAnsi="Book Antiqua" w:cs="Arial"/>
          <w:color w:val="000000"/>
          <w:sz w:val="19"/>
          <w:szCs w:val="19"/>
          <w:lang w:eastAsia="pt-BR"/>
        </w:rPr>
        <w:t>, </w:t>
      </w:r>
      <w:hyperlink r:id="rId50" w:anchor="art6v" w:history="1">
        <w:r w:rsidRPr="00321D1A">
          <w:rPr>
            <w:rStyle w:val="Hyperlink"/>
            <w:rFonts w:ascii="Book Antiqua" w:eastAsia="Times New Roman" w:hAnsi="Book Antiqua" w:cs="Arial"/>
            <w:sz w:val="19"/>
            <w:szCs w:val="19"/>
            <w:lang w:eastAsia="pt-BR"/>
          </w:rPr>
          <w:t>V</w:t>
        </w:r>
      </w:hyperlink>
      <w:r w:rsidRPr="00321D1A">
        <w:rPr>
          <w:rFonts w:ascii="Book Antiqua" w:eastAsia="Times New Roman" w:hAnsi="Book Antiqua" w:cs="Arial"/>
          <w:color w:val="000000"/>
          <w:sz w:val="19"/>
          <w:szCs w:val="19"/>
          <w:lang w:eastAsia="pt-BR"/>
        </w:rPr>
        <w:t>, </w:t>
      </w:r>
      <w:hyperlink r:id="rId51" w:anchor="art6vi" w:history="1">
        <w:r w:rsidRPr="00321D1A">
          <w:rPr>
            <w:rStyle w:val="Hyperlink"/>
            <w:rFonts w:ascii="Book Antiqua" w:eastAsia="Times New Roman" w:hAnsi="Book Antiqua" w:cs="Arial"/>
            <w:sz w:val="19"/>
            <w:szCs w:val="19"/>
            <w:lang w:eastAsia="pt-BR"/>
          </w:rPr>
          <w:t>VI</w:t>
        </w:r>
      </w:hyperlink>
      <w:r w:rsidRPr="00321D1A">
        <w:rPr>
          <w:rFonts w:ascii="Book Antiqua" w:eastAsia="Times New Roman" w:hAnsi="Book Antiqua" w:cs="Arial"/>
          <w:color w:val="000000"/>
          <w:sz w:val="19"/>
          <w:szCs w:val="19"/>
          <w:lang w:eastAsia="pt-BR"/>
        </w:rPr>
        <w:t>, </w:t>
      </w:r>
      <w:hyperlink r:id="rId52" w:anchor="art6vii" w:history="1">
        <w:r w:rsidRPr="00321D1A">
          <w:rPr>
            <w:rStyle w:val="Hyperlink"/>
            <w:rFonts w:ascii="Book Antiqua" w:eastAsia="Times New Roman" w:hAnsi="Book Antiqua" w:cs="Arial"/>
            <w:sz w:val="19"/>
            <w:szCs w:val="19"/>
            <w:lang w:eastAsia="pt-BR"/>
          </w:rPr>
          <w:t>VII</w:t>
        </w:r>
      </w:hyperlink>
      <w:r w:rsidRPr="00321D1A">
        <w:rPr>
          <w:rFonts w:ascii="Book Antiqua" w:eastAsia="Times New Roman" w:hAnsi="Book Antiqua" w:cs="Arial"/>
          <w:color w:val="000000"/>
          <w:sz w:val="19"/>
          <w:szCs w:val="19"/>
          <w:lang w:eastAsia="pt-BR"/>
        </w:rPr>
        <w:t> e </w:t>
      </w:r>
      <w:hyperlink r:id="rId53" w:anchor="art6x" w:history="1">
        <w:r w:rsidRPr="00321D1A">
          <w:rPr>
            <w:rStyle w:val="Hyperlink"/>
            <w:rFonts w:ascii="Book Antiqua" w:eastAsia="Times New Roman" w:hAnsi="Book Antiqua" w:cs="Arial"/>
            <w:sz w:val="19"/>
            <w:szCs w:val="19"/>
            <w:lang w:eastAsia="pt-BR"/>
          </w:rPr>
          <w:t>X do </w:t>
        </w:r>
        <w:r w:rsidRPr="00321D1A">
          <w:rPr>
            <w:rStyle w:val="Hyperlink"/>
            <w:rFonts w:ascii="Book Antiqua" w:eastAsia="Times New Roman" w:hAnsi="Book Antiqua" w:cs="Arial"/>
            <w:b/>
            <w:bCs/>
            <w:sz w:val="19"/>
            <w:szCs w:val="19"/>
            <w:lang w:eastAsia="pt-BR"/>
          </w:rPr>
          <w:t>caput</w:t>
        </w:r>
        <w:r w:rsidRPr="00321D1A">
          <w:rPr>
            <w:rStyle w:val="Hyperlink"/>
            <w:rFonts w:ascii="Book Antiqua" w:eastAsia="Times New Roman" w:hAnsi="Book Antiqua" w:cs="Arial"/>
            <w:sz w:val="19"/>
            <w:szCs w:val="19"/>
            <w:lang w:eastAsia="pt-BR"/>
          </w:rPr>
          <w:t> do art. 6º da Lei nº 10.826, de 2003</w:t>
        </w:r>
      </w:hyperlink>
      <w:r w:rsidRPr="00321D1A">
        <w:rPr>
          <w:rFonts w:ascii="Book Antiqua" w:eastAsia="Times New Roman" w:hAnsi="Book Antiqua" w:cs="Arial"/>
          <w:color w:val="000000"/>
          <w:sz w:val="19"/>
          <w:szCs w:val="19"/>
          <w:lang w:eastAsia="pt-BR"/>
        </w:rPr>
        <w:t>, ficam dispensados do cumprimento do requisito de que trata o inciso II do </w:t>
      </w:r>
      <w:r w:rsidRPr="00321D1A">
        <w:rPr>
          <w:rFonts w:ascii="Book Antiqua" w:eastAsia="Times New Roman" w:hAnsi="Book Antiqua" w:cs="Arial"/>
          <w:b/>
          <w:bCs/>
          <w:color w:val="000000"/>
          <w:sz w:val="19"/>
          <w:szCs w:val="19"/>
          <w:lang w:eastAsia="pt-BR"/>
        </w:rPr>
        <w:t>caput </w:t>
      </w:r>
      <w:r w:rsidRPr="00321D1A">
        <w:rPr>
          <w:rFonts w:ascii="Book Antiqua" w:eastAsia="Times New Roman" w:hAnsi="Book Antiqua" w:cs="Arial"/>
          <w:color w:val="000000"/>
          <w:sz w:val="19"/>
          <w:szCs w:val="19"/>
          <w:lang w:eastAsia="pt-BR"/>
        </w:rPr>
        <w:t>deste artigo.          </w:t>
      </w:r>
      <w:hyperlink r:id="rId54" w:anchor="art3" w:history="1">
        <w:r w:rsidRPr="00321D1A">
          <w:rPr>
            <w:rStyle w:val="Hyperlink"/>
            <w:rFonts w:ascii="Book Antiqua" w:eastAsia="Times New Roman" w:hAnsi="Book Antiqua" w:cs="Arial"/>
            <w:sz w:val="19"/>
            <w:szCs w:val="19"/>
            <w:lang w:eastAsia="pt-BR"/>
          </w:rPr>
          <w:t>(Incluído pelo Decreto nº 10.030, de 2019)</w:t>
        </w:r>
      </w:hyperlink>
    </w:p>
    <w:p w14:paraId="3037DF8F" w14:textId="77777777"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bookmarkStart w:id="10" w:name="art3§13"/>
      <w:bookmarkEnd w:id="10"/>
      <w:r w:rsidRPr="00321D1A">
        <w:rPr>
          <w:rFonts w:ascii="Book Antiqua" w:eastAsia="Times New Roman" w:hAnsi="Book Antiqua" w:cs="Arial"/>
          <w:color w:val="000000"/>
          <w:sz w:val="19"/>
          <w:szCs w:val="19"/>
          <w:lang w:eastAsia="pt-BR"/>
        </w:rPr>
        <w:t>§ 13. Os profissionais de que tratam os incisos I, II, III, IV, V, VI, VII e X do </w:t>
      </w:r>
      <w:r w:rsidRPr="00321D1A">
        <w:rPr>
          <w:rFonts w:ascii="Book Antiqua" w:eastAsia="Times New Roman" w:hAnsi="Book Antiqua" w:cs="Arial"/>
          <w:b/>
          <w:bCs/>
          <w:color w:val="000000"/>
          <w:sz w:val="19"/>
          <w:szCs w:val="19"/>
          <w:lang w:eastAsia="pt-BR"/>
        </w:rPr>
        <w:t>caput </w:t>
      </w:r>
      <w:r w:rsidRPr="00321D1A">
        <w:rPr>
          <w:rFonts w:ascii="Book Antiqua" w:eastAsia="Times New Roman" w:hAnsi="Book Antiqua" w:cs="Arial"/>
          <w:color w:val="000000"/>
          <w:sz w:val="19"/>
          <w:szCs w:val="19"/>
          <w:lang w:eastAsia="pt-BR"/>
        </w:rPr>
        <w:t>do </w:t>
      </w:r>
      <w:hyperlink r:id="rId55" w:anchor="art6" w:history="1">
        <w:r w:rsidRPr="00321D1A">
          <w:rPr>
            <w:rStyle w:val="Hyperlink"/>
            <w:rFonts w:ascii="Book Antiqua" w:eastAsia="Times New Roman" w:hAnsi="Book Antiqua" w:cs="Arial"/>
            <w:sz w:val="19"/>
            <w:szCs w:val="19"/>
            <w:lang w:eastAsia="pt-BR"/>
          </w:rPr>
          <w:t>art. 6º da Lei nº 10.826, de 2003 </w:t>
        </w:r>
      </w:hyperlink>
      <w:r w:rsidRPr="00321D1A">
        <w:rPr>
          <w:rFonts w:ascii="Book Antiqua" w:eastAsia="Times New Roman" w:hAnsi="Book Antiqua" w:cs="Arial"/>
          <w:color w:val="000000"/>
          <w:sz w:val="19"/>
          <w:szCs w:val="19"/>
          <w:lang w:eastAsia="pt-BR"/>
        </w:rPr>
        <w:t xml:space="preserve">, e os atiradores desportivos com Certificado de Registro de Arma de Fogo </w:t>
      </w:r>
      <w:r w:rsidRPr="00321D1A">
        <w:rPr>
          <w:rFonts w:ascii="Book Antiqua" w:eastAsia="Times New Roman" w:hAnsi="Book Antiqua" w:cs="Arial"/>
          <w:color w:val="000000"/>
          <w:sz w:val="19"/>
          <w:szCs w:val="19"/>
          <w:lang w:eastAsia="pt-BR"/>
        </w:rPr>
        <w:lastRenderedPageBreak/>
        <w:t>válido, que possuam armas apostiladas no acervo de atirador, que estejam credenciados junto à Polícia Federal como instrutores de armamento e tiro poderão utilizar as suas armas registradas no Sistema de Gerenciamento Militar de Armas - Sigma para aplicar os testes de tiro para fornecimento do comprovante de capacidade técnica.        </w:t>
      </w:r>
      <w:hyperlink r:id="rId56" w:history="1">
        <w:r w:rsidRPr="00321D1A">
          <w:rPr>
            <w:rStyle w:val="Hyperlink"/>
            <w:rFonts w:ascii="Book Antiqua" w:eastAsia="Times New Roman" w:hAnsi="Book Antiqua" w:cs="Arial"/>
            <w:sz w:val="19"/>
            <w:szCs w:val="19"/>
            <w:lang w:eastAsia="pt-BR"/>
          </w:rPr>
          <w:t>(Incluído pelo Decreto nº 10.628, de 2021)</w:t>
        </w:r>
      </w:hyperlink>
      <w:r w:rsidRPr="00321D1A">
        <w:rPr>
          <w:rFonts w:ascii="Book Antiqua" w:eastAsia="Times New Roman" w:hAnsi="Book Antiqua" w:cs="Arial"/>
          <w:color w:val="000000"/>
          <w:sz w:val="19"/>
          <w:szCs w:val="19"/>
          <w:lang w:eastAsia="pt-BR"/>
        </w:rPr>
        <w:t>   </w:t>
      </w:r>
      <w:hyperlink r:id="rId57" w:anchor="art3" w:history="1">
        <w:r w:rsidRPr="00321D1A">
          <w:rPr>
            <w:rStyle w:val="Hyperlink"/>
            <w:rFonts w:ascii="Book Antiqua" w:eastAsia="Times New Roman" w:hAnsi="Book Antiqua" w:cs="Arial"/>
            <w:sz w:val="19"/>
            <w:szCs w:val="19"/>
            <w:lang w:eastAsia="pt-BR"/>
          </w:rPr>
          <w:t>Vigência</w:t>
        </w:r>
      </w:hyperlink>
    </w:p>
    <w:p w14:paraId="6A8844A4" w14:textId="17720FED" w:rsidR="00321D1A" w:rsidRPr="00321D1A" w:rsidRDefault="00321D1A" w:rsidP="00321D1A">
      <w:pPr>
        <w:spacing w:before="300" w:after="300" w:line="240" w:lineRule="auto"/>
        <w:ind w:firstLine="567"/>
        <w:jc w:val="both"/>
        <w:rPr>
          <w:rFonts w:ascii="Book Antiqua" w:eastAsia="Times New Roman" w:hAnsi="Book Antiqua" w:cs="Arial"/>
          <w:color w:val="000000"/>
          <w:sz w:val="19"/>
          <w:szCs w:val="19"/>
          <w:lang w:eastAsia="pt-BR"/>
        </w:rPr>
      </w:pPr>
      <w:bookmarkStart w:id="11" w:name="art3§14"/>
      <w:bookmarkEnd w:id="11"/>
      <w:r w:rsidRPr="00321D1A">
        <w:rPr>
          <w:rFonts w:ascii="Book Antiqua" w:eastAsia="Times New Roman" w:hAnsi="Book Antiqua" w:cs="Arial"/>
          <w:color w:val="000000"/>
          <w:sz w:val="19"/>
          <w:szCs w:val="19"/>
          <w:lang w:eastAsia="pt-BR"/>
        </w:rPr>
        <w:t>§ 14. O cumprimento dos requisitos legais e regulamentares necessários ao porte e aquisição de armas de fogo dos servidores de que tratam os incisos X e XI do </w:t>
      </w:r>
      <w:r w:rsidRPr="00321D1A">
        <w:rPr>
          <w:rFonts w:ascii="Book Antiqua" w:eastAsia="Times New Roman" w:hAnsi="Book Antiqua" w:cs="Arial"/>
          <w:b/>
          <w:bCs/>
          <w:color w:val="000000"/>
          <w:sz w:val="19"/>
          <w:szCs w:val="19"/>
          <w:lang w:eastAsia="pt-BR"/>
        </w:rPr>
        <w:t>caput </w:t>
      </w:r>
      <w:r w:rsidRPr="00321D1A">
        <w:rPr>
          <w:rFonts w:ascii="Book Antiqua" w:eastAsia="Times New Roman" w:hAnsi="Book Antiqua" w:cs="Arial"/>
          <w:color w:val="000000"/>
          <w:sz w:val="19"/>
          <w:szCs w:val="19"/>
          <w:lang w:eastAsia="pt-BR"/>
        </w:rPr>
        <w:t>do </w:t>
      </w:r>
      <w:hyperlink r:id="rId58" w:anchor="art6" w:history="1">
        <w:r w:rsidRPr="00321D1A">
          <w:rPr>
            <w:rStyle w:val="Hyperlink"/>
            <w:rFonts w:ascii="Book Antiqua" w:eastAsia="Times New Roman" w:hAnsi="Book Antiqua" w:cs="Arial"/>
            <w:sz w:val="19"/>
            <w:szCs w:val="19"/>
            <w:lang w:eastAsia="pt-BR"/>
          </w:rPr>
          <w:t>art. 6º da Lei nº 10.826, de 2003 </w:t>
        </w:r>
      </w:hyperlink>
      <w:r w:rsidRPr="00321D1A">
        <w:rPr>
          <w:rFonts w:ascii="Book Antiqua" w:eastAsia="Times New Roman" w:hAnsi="Book Antiqua" w:cs="Arial"/>
          <w:color w:val="000000"/>
          <w:sz w:val="19"/>
          <w:szCs w:val="19"/>
          <w:lang w:eastAsia="pt-BR"/>
        </w:rPr>
        <w:t>, dos membros da magistratura e do Ministério Público poderá ser atestado por declaração da própria instituição, na forma estabelecida pela Secretaria Especial da Receita Federal do Brasil do Ministério da Economia, pelo Conselho Nacional de Justiça e pelo Conselho Nacional do Ministério Público, respectivamente, adotados os parâmetros técnicos estabelecidos pela Polícia Federal.</w:t>
      </w:r>
      <w:r>
        <w:rPr>
          <w:rFonts w:ascii="Book Antiqua" w:eastAsia="Times New Roman" w:hAnsi="Book Antiqua" w:cs="Arial"/>
          <w:color w:val="000000"/>
          <w:sz w:val="19"/>
          <w:szCs w:val="19"/>
          <w:lang w:eastAsia="pt-BR"/>
        </w:rPr>
        <w:t xml:space="preserve"> </w:t>
      </w:r>
      <w:hyperlink r:id="rId59" w:history="1">
        <w:r w:rsidRPr="00321D1A">
          <w:rPr>
            <w:rStyle w:val="Hyperlink"/>
            <w:rFonts w:ascii="Book Antiqua" w:eastAsia="Times New Roman" w:hAnsi="Book Antiqua" w:cs="Arial"/>
            <w:sz w:val="19"/>
            <w:szCs w:val="19"/>
            <w:lang w:eastAsia="pt-BR"/>
          </w:rPr>
          <w:t>(Incluído pelo Decreto nº 10.628, de 2021)</w:t>
        </w:r>
      </w:hyperlink>
      <w:r w:rsidRPr="00321D1A">
        <w:rPr>
          <w:rFonts w:ascii="Book Antiqua" w:eastAsia="Times New Roman" w:hAnsi="Book Antiqua" w:cs="Arial"/>
          <w:color w:val="000000"/>
          <w:sz w:val="19"/>
          <w:szCs w:val="19"/>
          <w:lang w:eastAsia="pt-BR"/>
        </w:rPr>
        <w:t>   </w:t>
      </w:r>
      <w:hyperlink r:id="rId60" w:anchor="art3" w:history="1">
        <w:r w:rsidRPr="00321D1A">
          <w:rPr>
            <w:rStyle w:val="Hyperlink"/>
            <w:rFonts w:ascii="Book Antiqua" w:eastAsia="Times New Roman" w:hAnsi="Book Antiqua" w:cs="Arial"/>
            <w:sz w:val="19"/>
            <w:szCs w:val="19"/>
            <w:lang w:eastAsia="pt-BR"/>
          </w:rPr>
          <w:t>Vigência</w:t>
        </w:r>
      </w:hyperlink>
    </w:p>
    <w:p w14:paraId="17635883"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bookmarkStart w:id="12" w:name="art4"/>
      <w:bookmarkEnd w:id="12"/>
      <w:r w:rsidRPr="00151FF1">
        <w:rPr>
          <w:rFonts w:ascii="Book Antiqua" w:eastAsia="Times New Roman" w:hAnsi="Book Antiqua" w:cs="Arial"/>
          <w:color w:val="000000"/>
          <w:sz w:val="19"/>
          <w:szCs w:val="19"/>
          <w:lang w:eastAsia="pt-BR"/>
        </w:rPr>
        <w:t>Art. 4º  O Certificado de Registro de Arma de Fogo, expedido pela Polícia Federal, precedido de cadastro no Sinarm, tem validade no território nacional e autoriza o proprietário a manter a arma de fogo exclusivamente no interior de sua residência ou nas dependências desta, ou, ainda, de seu local de trabalho, desde que seja ele o titular ou o responsável legal pelo estabelecimento ou pela empresa.</w:t>
      </w:r>
    </w:p>
    <w:p w14:paraId="594744F9"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 1º  Para fins do disposto no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 considera-se:</w:t>
      </w:r>
    </w:p>
    <w:p w14:paraId="1E2DE4D1"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I - interior da residência ou dependências desta - toda a extensão da área particular do imóvel, edificada ou não, em que resida o titular do registro, inclusive quando se tratar de imóvel rural;</w:t>
      </w:r>
    </w:p>
    <w:p w14:paraId="61AFF007"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II - interior do local de trabalho - toda a extensão da área particular do imóvel, edificada ou não, em que esteja instalada a pessoa jurídica, registrada como sua sede ou filial;</w:t>
      </w:r>
    </w:p>
    <w:p w14:paraId="35982F09"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III - titular do estabelecimento ou da empresa - aquele assim definido no contrato social; e </w:t>
      </w:r>
    </w:p>
    <w:p w14:paraId="2A5134BA"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I</w:t>
      </w:r>
      <w:r w:rsidRPr="00151FF1">
        <w:rPr>
          <w:rFonts w:ascii="Book Antiqua" w:eastAsia="Times New Roman" w:hAnsi="Book Antiqua" w:cs="Arial"/>
          <w:sz w:val="19"/>
          <w:szCs w:val="19"/>
          <w:lang w:eastAsia="pt-BR"/>
        </w:rPr>
        <w:t xml:space="preserve">V - responsável legal pelo </w:t>
      </w:r>
      <w:r w:rsidRPr="00151FF1">
        <w:rPr>
          <w:rFonts w:ascii="Book Antiqua" w:eastAsia="Times New Roman" w:hAnsi="Book Antiqua" w:cs="Arial"/>
          <w:color w:val="000000"/>
          <w:sz w:val="19"/>
          <w:szCs w:val="19"/>
          <w:lang w:eastAsia="pt-BR"/>
        </w:rPr>
        <w:t>estabelecimento ou pela empresa</w:t>
      </w:r>
      <w:r w:rsidRPr="00151FF1">
        <w:rPr>
          <w:rFonts w:ascii="Book Antiqua" w:eastAsia="Times New Roman" w:hAnsi="Book Antiqua" w:cs="Arial"/>
          <w:sz w:val="19"/>
          <w:szCs w:val="19"/>
          <w:lang w:eastAsia="pt-BR"/>
        </w:rPr>
        <w:t xml:space="preserve"> - aquele designado em contrato individual de trabalho, com poderes de gerência.</w:t>
      </w:r>
    </w:p>
    <w:p w14:paraId="08608FDA"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 2º  O cumprimento dos requisitos de que tratam os incisos IV, V, VI e VII do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 xml:space="preserve"> do art. 3º deverá ser comprovado, periodicamente, a cada dez anos, junto à Polícia Federal, para fins de renovação do Certificado de Registro de Arma de Fogo.</w:t>
      </w:r>
    </w:p>
    <w:p w14:paraId="7B7B4E39"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 3º  O disposto no § 2º não se aplica aos integrantes dos órgãos, das instituições e das corporações de que tratam o </w:t>
      </w:r>
      <w:hyperlink r:id="rId61" w:anchor="art6i" w:history="1">
        <w:r w:rsidRPr="00151FF1">
          <w:rPr>
            <w:rFonts w:ascii="Book Antiqua" w:eastAsia="Times New Roman" w:hAnsi="Book Antiqua" w:cs="Arial"/>
            <w:color w:val="0000FF"/>
            <w:sz w:val="19"/>
            <w:szCs w:val="19"/>
            <w:u w:val="single"/>
            <w:lang w:eastAsia="pt-BR"/>
          </w:rPr>
          <w:t xml:space="preserve">inciso I ao inciso VII do </w:t>
        </w:r>
        <w:r w:rsidRPr="00151FF1">
          <w:rPr>
            <w:rFonts w:ascii="Book Antiqua" w:eastAsia="Times New Roman" w:hAnsi="Book Antiqua" w:cs="Arial"/>
            <w:b/>
            <w:bCs/>
            <w:color w:val="0000FF"/>
            <w:sz w:val="19"/>
            <w:szCs w:val="19"/>
            <w:u w:val="single"/>
            <w:lang w:eastAsia="pt-BR"/>
          </w:rPr>
          <w:t>caput</w:t>
        </w:r>
        <w:r w:rsidRPr="00151FF1">
          <w:rPr>
            <w:rFonts w:ascii="Book Antiqua" w:eastAsia="Times New Roman" w:hAnsi="Book Antiqua" w:cs="Arial"/>
            <w:color w:val="0000FF"/>
            <w:sz w:val="19"/>
            <w:szCs w:val="19"/>
            <w:u w:val="single"/>
            <w:lang w:eastAsia="pt-BR"/>
          </w:rPr>
          <w:t xml:space="preserve"> do art. 6º da Lei nº 10.826, de 2003</w:t>
        </w:r>
      </w:hyperlink>
      <w:r w:rsidRPr="00151FF1">
        <w:rPr>
          <w:rFonts w:ascii="Book Antiqua" w:eastAsia="Times New Roman" w:hAnsi="Book Antiqua" w:cs="Arial"/>
          <w:color w:val="000000"/>
          <w:sz w:val="19"/>
          <w:szCs w:val="19"/>
          <w:lang w:eastAsia="pt-BR"/>
        </w:rPr>
        <w:t>.</w:t>
      </w:r>
    </w:p>
    <w:p w14:paraId="4474CB1B"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4º  O registro não será renovado somente se comprovada uma das hipóteses previstas no § 2º do art. 3º, sem prejuízo do recolhimento das taxas devidas.</w:t>
      </w:r>
    </w:p>
    <w:p w14:paraId="4FA0A1F3"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sz w:val="19"/>
          <w:szCs w:val="19"/>
          <w:lang w:val="pt-PT" w:eastAsia="pt-BR"/>
        </w:rPr>
        <w:t>§ 5º  O proprietário de arma de fogo de que trata este artigo, na hipótese de mudanç</w:t>
      </w:r>
      <w:r w:rsidRPr="00151FF1">
        <w:rPr>
          <w:rFonts w:ascii="Book Antiqua" w:eastAsia="Times New Roman" w:hAnsi="Book Antiqua" w:cs="Arial"/>
          <w:sz w:val="19"/>
          <w:szCs w:val="19"/>
          <w:lang w:eastAsia="pt-BR"/>
        </w:rPr>
        <w:t>a de domic</w:t>
      </w:r>
      <w:r w:rsidRPr="00151FF1">
        <w:rPr>
          <w:rFonts w:ascii="Book Antiqua" w:eastAsia="Times New Roman" w:hAnsi="Book Antiqua" w:cs="Arial"/>
          <w:sz w:val="19"/>
          <w:szCs w:val="19"/>
          <w:lang w:val="pt-PT" w:eastAsia="pt-BR"/>
        </w:rPr>
        <w:t>ílio ou outra situação que implique o transporte da arma de fogo, deverá solicitar guia de trâ</w:t>
      </w:r>
      <w:r w:rsidRPr="00151FF1">
        <w:rPr>
          <w:rFonts w:ascii="Book Antiqua" w:eastAsia="Times New Roman" w:hAnsi="Book Antiqua" w:cs="Arial"/>
          <w:sz w:val="19"/>
          <w:szCs w:val="19"/>
          <w:lang w:val="it-IT" w:eastAsia="pt-BR"/>
        </w:rPr>
        <w:t xml:space="preserve">nsito </w:t>
      </w:r>
      <w:r w:rsidRPr="00151FF1">
        <w:rPr>
          <w:rFonts w:ascii="Book Antiqua" w:eastAsia="Times New Roman" w:hAnsi="Book Antiqua" w:cs="Arial"/>
          <w:sz w:val="19"/>
          <w:szCs w:val="19"/>
          <w:lang w:val="fr-FR" w:eastAsia="pt-BR"/>
        </w:rPr>
        <w:t xml:space="preserve">à </w:t>
      </w:r>
      <w:r w:rsidRPr="00151FF1">
        <w:rPr>
          <w:rFonts w:ascii="Book Antiqua" w:eastAsia="Times New Roman" w:hAnsi="Book Antiqua" w:cs="Arial"/>
          <w:sz w:val="19"/>
          <w:szCs w:val="19"/>
          <w:lang w:val="pt-PT" w:eastAsia="pt-BR"/>
        </w:rPr>
        <w:t xml:space="preserve">Polícia Federal para as armas de fogo cadastradas no Sinarm, na forma estabelecida em ato do Diretor-Geral da Polícia Federal. </w:t>
      </w:r>
    </w:p>
    <w:p w14:paraId="6071CAA1"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sz w:val="19"/>
          <w:szCs w:val="19"/>
          <w:lang w:val="pt-PT" w:eastAsia="pt-BR"/>
        </w:rPr>
        <w:t>§ 6º  A guia de trânsito a que se refere o § 5º autoriza tão somente o transporte da arma de fogo, devidamente desmuniciada e acondicionada, para o percurso nela autorizado.</w:t>
      </w:r>
    </w:p>
    <w:p w14:paraId="08777D26"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sz w:val="19"/>
          <w:szCs w:val="19"/>
          <w:lang w:val="pt-PT" w:eastAsia="pt-BR"/>
        </w:rPr>
        <w:t xml:space="preserve">§ 7º  Os Certificados de Registro de Arma de Fogo das armas de fogo de propriedade dos órgãos a que se referem os </w:t>
      </w:r>
      <w:hyperlink r:id="rId62" w:anchor="art6i" w:history="1">
        <w:r w:rsidRPr="00151FF1">
          <w:rPr>
            <w:rFonts w:ascii="Book Antiqua" w:eastAsia="Times New Roman" w:hAnsi="Book Antiqua" w:cs="Arial"/>
            <w:color w:val="0000FF"/>
            <w:sz w:val="19"/>
            <w:szCs w:val="19"/>
            <w:u w:val="single"/>
            <w:lang w:eastAsia="pt-BR"/>
          </w:rPr>
          <w:t>incisos I, II, III, IV, V, VI, VII</w:t>
        </w:r>
      </w:hyperlink>
      <w:r w:rsidRPr="00151FF1">
        <w:rPr>
          <w:rFonts w:ascii="Book Antiqua" w:eastAsia="Times New Roman" w:hAnsi="Book Antiqua" w:cs="Arial"/>
          <w:sz w:val="19"/>
          <w:szCs w:val="19"/>
          <w:lang w:eastAsia="pt-BR"/>
        </w:rPr>
        <w:t xml:space="preserve">, </w:t>
      </w:r>
      <w:hyperlink r:id="rId63" w:anchor="art6x." w:history="1">
        <w:r w:rsidRPr="00151FF1">
          <w:rPr>
            <w:rFonts w:ascii="Book Antiqua" w:eastAsia="Times New Roman" w:hAnsi="Book Antiqua" w:cs="Arial"/>
            <w:color w:val="0000FF"/>
            <w:sz w:val="19"/>
            <w:szCs w:val="19"/>
            <w:u w:val="single"/>
            <w:lang w:eastAsia="pt-BR"/>
          </w:rPr>
          <w:t>X</w:t>
        </w:r>
      </w:hyperlink>
      <w:r w:rsidRPr="00151FF1">
        <w:rPr>
          <w:rFonts w:ascii="Book Antiqua" w:eastAsia="Times New Roman" w:hAnsi="Book Antiqua" w:cs="Arial"/>
          <w:sz w:val="19"/>
          <w:szCs w:val="19"/>
          <w:lang w:eastAsia="pt-BR"/>
        </w:rPr>
        <w:t xml:space="preserve"> e </w:t>
      </w:r>
      <w:hyperlink r:id="rId64" w:anchor="art6xi" w:history="1">
        <w:r w:rsidRPr="00151FF1">
          <w:rPr>
            <w:rFonts w:ascii="Book Antiqua" w:eastAsia="Times New Roman" w:hAnsi="Book Antiqua" w:cs="Arial"/>
            <w:color w:val="0000FF"/>
            <w:sz w:val="19"/>
            <w:szCs w:val="19"/>
            <w:u w:val="single"/>
            <w:lang w:eastAsia="pt-BR"/>
          </w:rPr>
          <w:t>XI do caput do art. 6º da Lei nº 10.826, de 2003</w:t>
        </w:r>
      </w:hyperlink>
      <w:r w:rsidRPr="00151FF1">
        <w:rPr>
          <w:rFonts w:ascii="Book Antiqua" w:eastAsia="Times New Roman" w:hAnsi="Book Antiqua" w:cs="Arial"/>
          <w:sz w:val="19"/>
          <w:szCs w:val="19"/>
          <w:lang w:val="pt-PT" w:eastAsia="pt-BR"/>
        </w:rPr>
        <w:t>, possuem prazo de validade indeterminado.</w:t>
      </w:r>
    </w:p>
    <w:p w14:paraId="6B08DB8A"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sz w:val="19"/>
          <w:szCs w:val="19"/>
          <w:lang w:val="pt-PT" w:eastAsia="pt-BR"/>
        </w:rPr>
        <w:t>§ 8º  As armas de fogo particulares e as institucionais não brasonadas deverão ser conduzidas com o seu respectivo Certificado de Registro de Arma de Fogo ou com o termo de cautela decorrente de autorização judicial para uso.</w:t>
      </w:r>
    </w:p>
    <w:p w14:paraId="4DDB3AF0"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bookmarkStart w:id="13" w:name="art5"/>
      <w:bookmarkEnd w:id="13"/>
      <w:r w:rsidRPr="00151FF1">
        <w:rPr>
          <w:rFonts w:ascii="Book Antiqua" w:eastAsia="Times New Roman" w:hAnsi="Book Antiqua" w:cs="Arial"/>
          <w:color w:val="000000"/>
          <w:sz w:val="19"/>
          <w:szCs w:val="19"/>
          <w:lang w:eastAsia="pt-BR"/>
        </w:rPr>
        <w:lastRenderedPageBreak/>
        <w:t>Art. 5º  A transferência de propriedade da arma de fogo entre particulares, por quaisquer das formas em Direito admitidas, será autorizada sempre que o adquirente cumprir os requisitos legais previstos para aquisição.</w:t>
      </w:r>
    </w:p>
    <w:p w14:paraId="6E70E220"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1º  A solicitação de autorização para transferência de arma de fogo será instruída com a comprovação de que é intenção do proprietário aliená-la a terceiro, vedado ao Comando do Exército e à Polícia Federal exigir o cumprimento de qualquer outro requisito ou formalidade por parte do alienante ou do adquirente para efetivar a autorização a que se refere 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 xml:space="preserve">, para fins de cadastro e registro da arma de fogo no Sinarm. </w:t>
      </w:r>
    </w:p>
    <w:p w14:paraId="7B9FD6C3"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2º  A entrega da arma de fogo pelo alienante ao adquirente só poderá ser efetivada após a devida autorização da Polícia Federal ou do Comando do Exército, conforme o caso.</w:t>
      </w:r>
    </w:p>
    <w:p w14:paraId="3DFF01D5"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3º  Na hipótese de transferência de arma de fogo entre sistemas de controle e enquanto os dados do Sistema de Gerenciamento Militar de Armas - Sigma e do Sinarm não estiverem compartilhados, a Polícia Federal ou o Comando do Exército, conforme o caso, expedirá autorização de transferência para permitir que a arma de fogo seja transferida para o outro Sistema.</w:t>
      </w:r>
    </w:p>
    <w:p w14:paraId="7AF6201E"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bookmarkStart w:id="14" w:name="art6"/>
      <w:bookmarkEnd w:id="14"/>
      <w:r w:rsidRPr="00151FF1">
        <w:rPr>
          <w:rFonts w:ascii="Book Antiqua" w:eastAsia="Times New Roman" w:hAnsi="Book Antiqua" w:cs="Arial"/>
          <w:color w:val="000000"/>
          <w:sz w:val="19"/>
          <w:szCs w:val="19"/>
          <w:lang w:eastAsia="pt-BR"/>
        </w:rPr>
        <w:t>Art. 6º  O proprietário de arma de fogo fica obrigado a comunicar, imediatamente, à polícia judiciária e ao Sinarm, o extravio, o furto, o roubo e a recuperação de arma de fogo ou do Certificado de Registro de Arma de Fogo.</w:t>
      </w:r>
    </w:p>
    <w:p w14:paraId="4F3B13A3"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1º  A polícia judiciária remeterá, no prazo de quarenta e oito horas, contado da data de recebimento da comunicação, as informações coletadas à Polícia Federal ou ao Comando do Exército, para fins de cadastro no Sinarm.</w:t>
      </w:r>
    </w:p>
    <w:p w14:paraId="286D2E0E"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 xml:space="preserve">§ 2º  Sem prejuízo do disposto no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 o proprietário deverá, ainda, comunicar o ocorrido à Polícia Federal ou ao Comando do Exército, conforme o caso, e encaminhar cópia do boletim de ocorrência.</w:t>
      </w:r>
    </w:p>
    <w:p w14:paraId="7F8CA0C1" w14:textId="77777777" w:rsidR="002E4CFB" w:rsidRPr="00151FF1" w:rsidRDefault="002E4CFB" w:rsidP="002E4CFB">
      <w:pPr>
        <w:autoSpaceDE w:val="0"/>
        <w:autoSpaceDN w:val="0"/>
        <w:spacing w:before="300" w:after="300" w:line="240" w:lineRule="auto"/>
        <w:ind w:firstLine="567"/>
        <w:jc w:val="both"/>
        <w:rPr>
          <w:rFonts w:ascii="Book Antiqua" w:eastAsia="Times New Roman" w:hAnsi="Book Antiqua" w:cs="Arial"/>
          <w:sz w:val="19"/>
          <w:szCs w:val="19"/>
          <w:lang w:eastAsia="pt-BR"/>
        </w:rPr>
      </w:pPr>
      <w:bookmarkStart w:id="15" w:name="art7"/>
      <w:bookmarkEnd w:id="15"/>
      <w:r w:rsidRPr="00151FF1">
        <w:rPr>
          <w:rFonts w:ascii="Book Antiqua" w:eastAsia="Times New Roman" w:hAnsi="Book Antiqua" w:cs="Arial"/>
          <w:color w:val="000000"/>
          <w:sz w:val="19"/>
          <w:szCs w:val="19"/>
          <w:lang w:eastAsia="pt-BR"/>
        </w:rPr>
        <w:t xml:space="preserve">Art. 7º  Serão cassadas as autorizações de posse de arma de fogo do titular que esteja respondendo a inquérito ou a processo criminal por crime doloso. </w:t>
      </w:r>
    </w:p>
    <w:p w14:paraId="51000BDE" w14:textId="77777777" w:rsidR="002E4CFB" w:rsidRPr="00151FF1" w:rsidRDefault="002E4CFB" w:rsidP="002E4CFB">
      <w:pPr>
        <w:autoSpaceDE w:val="0"/>
        <w:autoSpaceDN w:val="0"/>
        <w:spacing w:before="300" w:after="300" w:line="240" w:lineRule="auto"/>
        <w:ind w:firstLine="567"/>
        <w:jc w:val="both"/>
        <w:rPr>
          <w:rFonts w:ascii="Book Antiqua" w:eastAsia="Times New Roman" w:hAnsi="Book Antiqua" w:cs="Arial"/>
          <w:sz w:val="19"/>
          <w:szCs w:val="19"/>
          <w:lang w:eastAsia="pt-BR"/>
        </w:rPr>
      </w:pPr>
      <w:bookmarkStart w:id="16" w:name="art7§1"/>
      <w:bookmarkStart w:id="17" w:name="art7§1.0"/>
      <w:bookmarkEnd w:id="16"/>
      <w:bookmarkEnd w:id="17"/>
      <w:r w:rsidRPr="00151FF1">
        <w:rPr>
          <w:rFonts w:ascii="Book Antiqua" w:eastAsia="Times New Roman" w:hAnsi="Book Antiqua" w:cs="Arial"/>
          <w:sz w:val="19"/>
          <w:szCs w:val="19"/>
          <w:lang w:eastAsia="pt-BR"/>
        </w:rPr>
        <w:t xml:space="preserve">§ 1º  Nas hipóteses de que trata o </w:t>
      </w:r>
      <w:r w:rsidRPr="00151FF1">
        <w:rPr>
          <w:rFonts w:ascii="Book Antiqua" w:eastAsia="Times New Roman" w:hAnsi="Book Antiqua" w:cs="Arial"/>
          <w:b/>
          <w:bCs/>
          <w:sz w:val="19"/>
          <w:szCs w:val="19"/>
          <w:lang w:eastAsia="pt-BR"/>
        </w:rPr>
        <w:t>caput</w:t>
      </w:r>
      <w:r w:rsidRPr="00151FF1">
        <w:rPr>
          <w:rFonts w:ascii="Book Antiqua" w:eastAsia="Times New Roman" w:hAnsi="Book Antiqua" w:cs="Arial"/>
          <w:sz w:val="19"/>
          <w:szCs w:val="19"/>
          <w:lang w:eastAsia="pt-BR"/>
        </w:rPr>
        <w:t xml:space="preserve">, o proprietário entregará a arma de fogo à Polícia Federal ou ao Comando do Exército, conforme o caso, mediante indenização, na forma prevista no </w:t>
      </w:r>
      <w:hyperlink r:id="rId65" w:anchor="art48" w:history="1">
        <w:r w:rsidRPr="00151FF1">
          <w:rPr>
            <w:rFonts w:ascii="Book Antiqua" w:eastAsia="Times New Roman" w:hAnsi="Book Antiqua" w:cs="Arial"/>
            <w:color w:val="0000FF"/>
            <w:sz w:val="19"/>
            <w:szCs w:val="19"/>
            <w:u w:val="single"/>
            <w:lang w:eastAsia="pt-BR"/>
          </w:rPr>
          <w:t>art. 48 do Decreto nº 9.847 , de 25 de junho de 2019</w:t>
        </w:r>
      </w:hyperlink>
      <w:r w:rsidRPr="00151FF1">
        <w:rPr>
          <w:rFonts w:ascii="Book Antiqua" w:eastAsia="Times New Roman" w:hAnsi="Book Antiqua" w:cs="Arial"/>
          <w:sz w:val="19"/>
          <w:szCs w:val="19"/>
          <w:lang w:val="pt-PT" w:eastAsia="pt-BR"/>
        </w:rPr>
        <w:t xml:space="preserve">, ou providenciará a sua transferência para terceiro, no prazo de sessenta dias, contado da data da ciência do indiciamento ou do recebimento da denúncia ou da queixa pelo juiz. </w:t>
      </w:r>
      <w:r w:rsidRPr="00151FF1">
        <w:rPr>
          <w:rFonts w:ascii="Book Antiqua" w:eastAsia="Times New Roman" w:hAnsi="Book Antiqua" w:cs="Arial"/>
          <w:color w:val="000000"/>
          <w:sz w:val="19"/>
          <w:szCs w:val="19"/>
          <w:lang w:eastAsia="pt-BR"/>
        </w:rPr>
        <w:t xml:space="preserve">              </w:t>
      </w:r>
      <w:hyperlink r:id="rId66" w:anchor="art59" w:history="1">
        <w:r w:rsidRPr="00151FF1">
          <w:rPr>
            <w:rFonts w:ascii="Book Antiqua" w:eastAsia="Times New Roman" w:hAnsi="Book Antiqua" w:cs="Arial"/>
            <w:color w:val="0000FF"/>
            <w:sz w:val="19"/>
            <w:szCs w:val="19"/>
            <w:u w:val="single"/>
            <w:lang w:eastAsia="pt-BR"/>
          </w:rPr>
          <w:t>(Redação dada pelo Decreto nº 9.847, de 2019)</w:t>
        </w:r>
      </w:hyperlink>
    </w:p>
    <w:p w14:paraId="09D411F4" w14:textId="77777777" w:rsidR="002E4CFB" w:rsidRPr="00151FF1" w:rsidRDefault="002E4CFB" w:rsidP="002E4CFB">
      <w:pPr>
        <w:autoSpaceDE w:val="0"/>
        <w:autoSpaceDN w:val="0"/>
        <w:spacing w:before="300" w:after="300" w:line="240" w:lineRule="auto"/>
        <w:ind w:firstLine="567"/>
        <w:jc w:val="both"/>
        <w:rPr>
          <w:rFonts w:ascii="Book Antiqua" w:eastAsia="Times New Roman" w:hAnsi="Book Antiqua" w:cs="Arial"/>
          <w:sz w:val="19"/>
          <w:szCs w:val="19"/>
          <w:lang w:eastAsia="pt-BR"/>
        </w:rPr>
      </w:pPr>
      <w:bookmarkStart w:id="18" w:name="art7§2"/>
      <w:bookmarkEnd w:id="18"/>
      <w:r w:rsidRPr="00151FF1">
        <w:rPr>
          <w:rFonts w:ascii="Book Antiqua" w:eastAsia="Times New Roman" w:hAnsi="Book Antiqua" w:cs="Arial"/>
          <w:color w:val="000000"/>
          <w:sz w:val="19"/>
          <w:szCs w:val="19"/>
          <w:lang w:eastAsia="pt-BR"/>
        </w:rPr>
        <w:t xml:space="preserve">§ 2º  A cassação a que se refere 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 xml:space="preserve"> será determinada a partir do indiciamento do investigado no inquérito policial ou do recebimento da denúncia ou queixa pelo juiz. </w:t>
      </w:r>
    </w:p>
    <w:p w14:paraId="27C16A00" w14:textId="77777777" w:rsidR="002E4CFB" w:rsidRPr="00151FF1" w:rsidRDefault="002E4CFB" w:rsidP="002E4CFB">
      <w:pPr>
        <w:autoSpaceDE w:val="0"/>
        <w:autoSpaceDN w:val="0"/>
        <w:spacing w:before="300" w:after="300" w:line="240" w:lineRule="auto"/>
        <w:ind w:firstLine="567"/>
        <w:jc w:val="both"/>
        <w:rPr>
          <w:rFonts w:ascii="Book Antiqua" w:eastAsia="Times New Roman" w:hAnsi="Book Antiqua" w:cs="Arial"/>
          <w:sz w:val="19"/>
          <w:szCs w:val="19"/>
          <w:lang w:eastAsia="pt-BR"/>
        </w:rPr>
      </w:pPr>
      <w:bookmarkStart w:id="19" w:name="art7§3"/>
      <w:bookmarkEnd w:id="19"/>
      <w:r w:rsidRPr="00151FF1">
        <w:rPr>
          <w:rFonts w:ascii="Book Antiqua" w:eastAsia="Times New Roman" w:hAnsi="Book Antiqua" w:cs="Arial"/>
          <w:color w:val="000000"/>
          <w:sz w:val="19"/>
          <w:szCs w:val="19"/>
          <w:lang w:eastAsia="pt-BR"/>
        </w:rPr>
        <w:t>§ 3º  A autorização de posse de arma de fogo não será cancelada na hipótese de o proprietário de arma de fogo estar respondendo a inquérito ou ação penal em razão da utilização da arma em estado de necessidade, legítima defesa, em estrito cumprimento do dever legal ou exercício regular de direito, exceto nas hipóteses em que o juiz, convencido da necessidade da medida, justificadamente determinar.</w:t>
      </w:r>
    </w:p>
    <w:p w14:paraId="420C49DB" w14:textId="77777777" w:rsidR="002E4CFB" w:rsidRPr="00151FF1" w:rsidRDefault="002E4CFB" w:rsidP="002E4CFB">
      <w:pPr>
        <w:autoSpaceDE w:val="0"/>
        <w:autoSpaceDN w:val="0"/>
        <w:spacing w:before="300" w:after="300" w:line="240" w:lineRule="auto"/>
        <w:ind w:firstLine="567"/>
        <w:jc w:val="both"/>
        <w:rPr>
          <w:rFonts w:ascii="Book Antiqua" w:eastAsia="Times New Roman" w:hAnsi="Book Antiqua" w:cs="Arial"/>
          <w:sz w:val="19"/>
          <w:szCs w:val="19"/>
          <w:lang w:eastAsia="pt-BR"/>
        </w:rPr>
      </w:pPr>
      <w:bookmarkStart w:id="20" w:name="art7§4"/>
      <w:bookmarkEnd w:id="20"/>
      <w:r w:rsidRPr="00151FF1">
        <w:rPr>
          <w:rFonts w:ascii="Book Antiqua" w:eastAsia="Times New Roman" w:hAnsi="Book Antiqua" w:cs="Arial"/>
          <w:color w:val="000000"/>
          <w:sz w:val="19"/>
          <w:szCs w:val="19"/>
          <w:lang w:eastAsia="pt-BR"/>
        </w:rPr>
        <w:t>§ 4º  Na hipótese a que se refere o § 3º, a arma será apreendida quando for necessário periciá-la e será restituída ao proprietário após a realização da perícia mediante assinatura de termo de compromisso e responsabilidade, pelo qual se comprometerá a apresentar a arma de fogo perante a autoridade competente sempre que assim for determinado.</w:t>
      </w:r>
    </w:p>
    <w:p w14:paraId="6C7A37D0" w14:textId="77777777" w:rsidR="002E4CFB" w:rsidRPr="00151FF1" w:rsidRDefault="002E4CFB" w:rsidP="002E4CFB">
      <w:pPr>
        <w:autoSpaceDE w:val="0"/>
        <w:autoSpaceDN w:val="0"/>
        <w:spacing w:before="300" w:after="300" w:line="240" w:lineRule="auto"/>
        <w:ind w:firstLine="567"/>
        <w:jc w:val="both"/>
        <w:rPr>
          <w:rFonts w:ascii="Book Antiqua" w:eastAsia="Times New Roman" w:hAnsi="Book Antiqua" w:cs="Arial"/>
          <w:sz w:val="19"/>
          <w:szCs w:val="19"/>
          <w:lang w:eastAsia="pt-BR"/>
        </w:rPr>
      </w:pPr>
      <w:bookmarkStart w:id="21" w:name="art7§5"/>
      <w:bookmarkEnd w:id="21"/>
      <w:r w:rsidRPr="00151FF1">
        <w:rPr>
          <w:rFonts w:ascii="Book Antiqua" w:eastAsia="Times New Roman" w:hAnsi="Book Antiqua" w:cs="Arial"/>
          <w:color w:val="000000"/>
          <w:sz w:val="19"/>
          <w:szCs w:val="19"/>
          <w:lang w:eastAsia="pt-BR"/>
        </w:rPr>
        <w:t xml:space="preserve">§ 5º  O disposto neste artigo aplica-se a todas as armas de fogo de propriedade do indiciado ou acusado. </w:t>
      </w:r>
    </w:p>
    <w:p w14:paraId="27BC1DED" w14:textId="77777777" w:rsidR="002E4CFB" w:rsidRPr="00151FF1" w:rsidRDefault="002E4CFB" w:rsidP="002E4CFB">
      <w:pPr>
        <w:autoSpaceDE w:val="0"/>
        <w:autoSpaceDN w:val="0"/>
        <w:spacing w:before="300" w:after="300" w:line="240" w:lineRule="auto"/>
        <w:ind w:firstLine="567"/>
        <w:jc w:val="both"/>
        <w:rPr>
          <w:rFonts w:ascii="Book Antiqua" w:eastAsia="Times New Roman" w:hAnsi="Book Antiqua" w:cs="Arial"/>
          <w:sz w:val="19"/>
          <w:szCs w:val="19"/>
          <w:lang w:eastAsia="pt-BR"/>
        </w:rPr>
      </w:pPr>
      <w:bookmarkStart w:id="22" w:name="art7§6"/>
      <w:bookmarkEnd w:id="22"/>
      <w:r w:rsidRPr="00151FF1">
        <w:rPr>
          <w:rFonts w:ascii="Book Antiqua" w:eastAsia="Times New Roman" w:hAnsi="Book Antiqua" w:cs="Arial"/>
          <w:color w:val="000000"/>
          <w:sz w:val="19"/>
          <w:szCs w:val="19"/>
          <w:lang w:eastAsia="pt-BR"/>
        </w:rPr>
        <w:t>§ 6º  A apreensão da arma de fogo é de responsabilidade da polícia judiciária competente para a investigação do crime que motivou a cassação.</w:t>
      </w:r>
    </w:p>
    <w:p w14:paraId="76D4CE35" w14:textId="77777777" w:rsidR="002E4CFB" w:rsidRPr="00151FF1" w:rsidRDefault="002E4CFB" w:rsidP="002E4CFB">
      <w:pPr>
        <w:autoSpaceDE w:val="0"/>
        <w:autoSpaceDN w:val="0"/>
        <w:spacing w:before="300" w:after="300" w:line="240" w:lineRule="auto"/>
        <w:ind w:firstLine="567"/>
        <w:jc w:val="both"/>
        <w:rPr>
          <w:rFonts w:ascii="Book Antiqua" w:eastAsia="Times New Roman" w:hAnsi="Book Antiqua" w:cs="Arial"/>
          <w:sz w:val="19"/>
          <w:szCs w:val="19"/>
          <w:lang w:eastAsia="pt-BR"/>
        </w:rPr>
      </w:pPr>
      <w:bookmarkStart w:id="23" w:name="art8"/>
      <w:bookmarkStart w:id="24" w:name="art8.0"/>
      <w:bookmarkEnd w:id="23"/>
      <w:bookmarkEnd w:id="24"/>
      <w:r w:rsidRPr="00151FF1">
        <w:rPr>
          <w:rFonts w:ascii="Book Antiqua" w:eastAsia="Times New Roman" w:hAnsi="Book Antiqua" w:cs="Arial"/>
          <w:sz w:val="19"/>
          <w:szCs w:val="19"/>
          <w:lang w:eastAsia="pt-BR"/>
        </w:rPr>
        <w:lastRenderedPageBreak/>
        <w:t xml:space="preserve">Art. 8º  </w:t>
      </w:r>
      <w:r w:rsidRPr="00151FF1">
        <w:rPr>
          <w:rFonts w:ascii="Book Antiqua" w:eastAsia="Times New Roman" w:hAnsi="Book Antiqua" w:cs="Arial"/>
          <w:sz w:val="19"/>
          <w:szCs w:val="19"/>
          <w:lang w:val="pt-PT" w:eastAsia="pt-BR"/>
        </w:rPr>
        <w:t xml:space="preserve">Na hipótese de não cumprimento dos requisitos de que trata o art. 3º para a renovação do Certificado de Registro de Arma de Fogo, o proprietário entregará a arma de fogo à Polícia Federal, mediante indenização, na forma prevista no </w:t>
      </w:r>
      <w:hyperlink r:id="rId67" w:anchor="art48" w:history="1">
        <w:r w:rsidRPr="00151FF1">
          <w:rPr>
            <w:rFonts w:ascii="Book Antiqua" w:eastAsia="Times New Roman" w:hAnsi="Book Antiqua" w:cs="Arial"/>
            <w:color w:val="0000FF"/>
            <w:sz w:val="19"/>
            <w:szCs w:val="19"/>
            <w:u w:val="single"/>
            <w:lang w:val="pt-PT" w:eastAsia="pt-BR"/>
          </w:rPr>
          <w:t>art. 48 do Decreto nº 9.847, de 2019</w:t>
        </w:r>
      </w:hyperlink>
      <w:r w:rsidRPr="00151FF1">
        <w:rPr>
          <w:rFonts w:ascii="Book Antiqua" w:eastAsia="Times New Roman" w:hAnsi="Book Antiqua" w:cs="Arial"/>
          <w:sz w:val="19"/>
          <w:szCs w:val="19"/>
          <w:lang w:val="pt-PT" w:eastAsia="pt-BR"/>
        </w:rPr>
        <w:t xml:space="preserve">, ou providenciará a sua transferência, no prazo de sessenta dias, para terceiro interessado na aquisição, observado o disposto no art. 5º. </w:t>
      </w:r>
      <w:r w:rsidRPr="00151FF1">
        <w:rPr>
          <w:rFonts w:ascii="Book Antiqua" w:eastAsia="Times New Roman" w:hAnsi="Book Antiqua" w:cs="Arial"/>
          <w:color w:val="000000"/>
          <w:sz w:val="19"/>
          <w:szCs w:val="19"/>
          <w:lang w:eastAsia="pt-BR"/>
        </w:rPr>
        <w:t xml:space="preserve">              </w:t>
      </w:r>
      <w:hyperlink r:id="rId68" w:anchor="art59" w:history="1">
        <w:r w:rsidRPr="00151FF1">
          <w:rPr>
            <w:rFonts w:ascii="Book Antiqua" w:eastAsia="Times New Roman" w:hAnsi="Book Antiqua" w:cs="Arial"/>
            <w:color w:val="0000FF"/>
            <w:sz w:val="19"/>
            <w:szCs w:val="19"/>
            <w:u w:val="single"/>
            <w:lang w:eastAsia="pt-BR"/>
          </w:rPr>
          <w:t>(Redação dada pelo Decreto nº 9.847, de 2019)</w:t>
        </w:r>
      </w:hyperlink>
    </w:p>
    <w:p w14:paraId="5CF7C189" w14:textId="77777777" w:rsidR="002E4CFB" w:rsidRPr="00151FF1" w:rsidRDefault="002E4CFB" w:rsidP="002E4CFB">
      <w:pPr>
        <w:autoSpaceDE w:val="0"/>
        <w:autoSpaceDN w:val="0"/>
        <w:spacing w:before="300" w:after="300" w:line="240" w:lineRule="auto"/>
        <w:ind w:firstLine="567"/>
        <w:jc w:val="both"/>
        <w:rPr>
          <w:rFonts w:ascii="Book Antiqua" w:eastAsia="Times New Roman" w:hAnsi="Book Antiqua" w:cs="Arial"/>
          <w:sz w:val="19"/>
          <w:szCs w:val="19"/>
          <w:lang w:eastAsia="pt-BR"/>
        </w:rPr>
      </w:pPr>
      <w:bookmarkStart w:id="25" w:name="art8p"/>
      <w:bookmarkEnd w:id="25"/>
      <w:r w:rsidRPr="00151FF1">
        <w:rPr>
          <w:rFonts w:ascii="Book Antiqua" w:eastAsia="Times New Roman" w:hAnsi="Book Antiqua" w:cs="Arial"/>
          <w:color w:val="000000"/>
          <w:sz w:val="19"/>
          <w:szCs w:val="19"/>
          <w:lang w:eastAsia="pt-BR"/>
        </w:rPr>
        <w:t xml:space="preserve">Parágrafo único.  A inobservância ao disposto no </w:t>
      </w:r>
      <w:r w:rsidRPr="00151FF1">
        <w:rPr>
          <w:rFonts w:ascii="Book Antiqua" w:eastAsia="Times New Roman" w:hAnsi="Book Antiqua" w:cs="Arial"/>
          <w:b/>
          <w:bCs/>
          <w:color w:val="000000"/>
          <w:sz w:val="19"/>
          <w:szCs w:val="19"/>
          <w:lang w:eastAsia="pt-BR"/>
        </w:rPr>
        <w:t>caput</w:t>
      </w:r>
      <w:r w:rsidRPr="00151FF1">
        <w:rPr>
          <w:rFonts w:ascii="Book Antiqua" w:eastAsia="Times New Roman" w:hAnsi="Book Antiqua" w:cs="Arial"/>
          <w:color w:val="000000"/>
          <w:sz w:val="19"/>
          <w:szCs w:val="19"/>
          <w:lang w:eastAsia="pt-BR"/>
        </w:rPr>
        <w:t xml:space="preserve"> implicará a apreensão da arma de fogo pela Polícia Federal ou por órgão público por esta credenciado.</w:t>
      </w:r>
    </w:p>
    <w:p w14:paraId="27C88F65"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bookmarkStart w:id="26" w:name="art9"/>
      <w:bookmarkEnd w:id="26"/>
      <w:r w:rsidRPr="00151FF1">
        <w:rPr>
          <w:rFonts w:ascii="Book Antiqua" w:eastAsia="Times New Roman" w:hAnsi="Book Antiqua" w:cs="Arial"/>
          <w:sz w:val="19"/>
          <w:szCs w:val="19"/>
          <w:lang w:eastAsia="pt-BR"/>
        </w:rPr>
        <w:t>Art. 9º  Este Decreto entra em vigor na data de sua publicação.  </w:t>
      </w:r>
    </w:p>
    <w:p w14:paraId="5431DB60" w14:textId="77777777" w:rsidR="002E4CFB" w:rsidRPr="00151FF1" w:rsidRDefault="002E4CFB" w:rsidP="002E4CFB">
      <w:pPr>
        <w:spacing w:before="300" w:after="300" w:line="240" w:lineRule="auto"/>
        <w:ind w:firstLine="567"/>
        <w:jc w:val="both"/>
        <w:rPr>
          <w:rFonts w:ascii="Book Antiqua" w:eastAsia="Times New Roman" w:hAnsi="Book Antiqua" w:cs="Arial"/>
          <w:sz w:val="19"/>
          <w:szCs w:val="19"/>
          <w:lang w:eastAsia="pt-BR"/>
        </w:rPr>
      </w:pPr>
      <w:r w:rsidRPr="00151FF1">
        <w:rPr>
          <w:rFonts w:ascii="Book Antiqua" w:eastAsia="Times New Roman" w:hAnsi="Book Antiqua" w:cs="Arial"/>
          <w:sz w:val="19"/>
          <w:szCs w:val="19"/>
          <w:lang w:eastAsia="pt-BR"/>
        </w:rPr>
        <w:t>Brasília, 25 de junho de 2019; 198º da Independência e 131º da República. </w:t>
      </w:r>
    </w:p>
    <w:p w14:paraId="17B9C8DF" w14:textId="77777777" w:rsidR="002E4CFB" w:rsidRPr="00151FF1" w:rsidRDefault="002E4CFB" w:rsidP="002E4CFB">
      <w:pPr>
        <w:spacing w:before="100" w:beforeAutospacing="1" w:after="0" w:line="240" w:lineRule="auto"/>
        <w:rPr>
          <w:rFonts w:ascii="Book Antiqua" w:eastAsia="Times New Roman" w:hAnsi="Book Antiqua" w:cs="Arial"/>
          <w:sz w:val="19"/>
          <w:szCs w:val="19"/>
          <w:lang w:eastAsia="pt-BR"/>
        </w:rPr>
      </w:pPr>
      <w:r w:rsidRPr="00151FF1">
        <w:rPr>
          <w:rFonts w:ascii="Book Antiqua" w:eastAsia="Times New Roman" w:hAnsi="Book Antiqua" w:cs="Arial"/>
          <w:color w:val="000000"/>
          <w:sz w:val="19"/>
          <w:szCs w:val="19"/>
          <w:lang w:eastAsia="pt-BR"/>
        </w:rPr>
        <w:t>JAIR MESSIAS BOLSONARO</w:t>
      </w:r>
      <w:r w:rsidRPr="00151FF1">
        <w:rPr>
          <w:rFonts w:ascii="Book Antiqua" w:eastAsia="Times New Roman" w:hAnsi="Book Antiqua" w:cs="Arial"/>
          <w:color w:val="000000"/>
          <w:sz w:val="19"/>
          <w:szCs w:val="19"/>
          <w:lang w:eastAsia="pt-BR"/>
        </w:rPr>
        <w:br/>
      </w:r>
      <w:r w:rsidRPr="00151FF1">
        <w:rPr>
          <w:rFonts w:ascii="Book Antiqua" w:eastAsia="Times New Roman" w:hAnsi="Book Antiqua" w:cs="Arial"/>
          <w:i/>
          <w:iCs/>
          <w:sz w:val="19"/>
          <w:szCs w:val="19"/>
          <w:lang w:val="pt-PT" w:eastAsia="pt-BR"/>
        </w:rPr>
        <w:t>Onyx Lorenzoni</w:t>
      </w:r>
    </w:p>
    <w:p w14:paraId="4D5BC211" w14:textId="77777777" w:rsidR="002E4CFB" w:rsidRPr="00151FF1" w:rsidRDefault="002E4CFB" w:rsidP="002E4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Book Antiqua" w:eastAsia="Times New Roman" w:hAnsi="Book Antiqua" w:cs="Courier New"/>
          <w:sz w:val="19"/>
          <w:szCs w:val="19"/>
          <w:lang w:eastAsia="pt-BR"/>
        </w:rPr>
      </w:pPr>
      <w:r w:rsidRPr="00151FF1">
        <w:rPr>
          <w:rFonts w:ascii="Book Antiqua" w:eastAsia="Times New Roman" w:hAnsi="Book Antiqua" w:cs="Arial"/>
          <w:color w:val="FF0000"/>
          <w:sz w:val="19"/>
          <w:szCs w:val="19"/>
          <w:lang w:eastAsia="pt-BR"/>
        </w:rPr>
        <w:t>Este texto não substitui o publicado no DOU de 25.6.2019 - Edição extra - A</w:t>
      </w:r>
    </w:p>
    <w:p w14:paraId="5430E2B6" w14:textId="77777777" w:rsidR="002E4CFB" w:rsidRPr="00151FF1" w:rsidRDefault="002E4CFB" w:rsidP="002E4CFB">
      <w:pPr>
        <w:spacing w:before="300" w:after="300" w:line="240" w:lineRule="auto"/>
        <w:jc w:val="center"/>
        <w:rPr>
          <w:rFonts w:ascii="Book Antiqua" w:eastAsia="Times New Roman" w:hAnsi="Book Antiqua" w:cs="Arial"/>
          <w:sz w:val="19"/>
          <w:szCs w:val="19"/>
          <w:lang w:eastAsia="pt-BR"/>
        </w:rPr>
      </w:pPr>
    </w:p>
    <w:p w14:paraId="72764677" w14:textId="77777777" w:rsidR="002E4CFB" w:rsidRPr="00151FF1" w:rsidRDefault="002E4CFB" w:rsidP="002E4CFB">
      <w:pPr>
        <w:autoSpaceDN w:val="0"/>
        <w:spacing w:before="100" w:beforeAutospacing="1" w:after="100" w:afterAutospacing="1" w:line="240" w:lineRule="auto"/>
        <w:jc w:val="center"/>
        <w:rPr>
          <w:rFonts w:ascii="Book Antiqua" w:eastAsia="Times New Roman" w:hAnsi="Book Antiqua" w:cs="Arial"/>
          <w:sz w:val="19"/>
          <w:szCs w:val="19"/>
          <w:lang w:eastAsia="pt-BR"/>
        </w:rPr>
      </w:pPr>
      <w:r w:rsidRPr="00151FF1">
        <w:rPr>
          <w:rFonts w:ascii="Book Antiqua" w:eastAsia="Times New Roman" w:hAnsi="Book Antiqua" w:cs="Arial"/>
          <w:sz w:val="19"/>
          <w:szCs w:val="19"/>
          <w:lang w:eastAsia="pt-BR"/>
        </w:rPr>
        <w:t> </w:t>
      </w:r>
    </w:p>
    <w:p w14:paraId="3E7A4814" w14:textId="77777777" w:rsidR="002E4CFB" w:rsidRPr="00151FF1" w:rsidRDefault="002E4CFB" w:rsidP="002E4CFB">
      <w:pPr>
        <w:autoSpaceDN w:val="0"/>
        <w:spacing w:before="100" w:beforeAutospacing="1" w:after="100" w:afterAutospacing="1" w:line="240" w:lineRule="auto"/>
        <w:jc w:val="center"/>
        <w:rPr>
          <w:rFonts w:ascii="Book Antiqua" w:eastAsia="Times New Roman" w:hAnsi="Book Antiqua" w:cs="Arial"/>
          <w:sz w:val="19"/>
          <w:szCs w:val="19"/>
          <w:lang w:eastAsia="pt-BR"/>
        </w:rPr>
      </w:pPr>
      <w:r w:rsidRPr="00151FF1">
        <w:rPr>
          <w:rFonts w:ascii="Book Antiqua" w:eastAsia="Times New Roman" w:hAnsi="Book Antiqua" w:cs="Arial"/>
          <w:sz w:val="19"/>
          <w:szCs w:val="19"/>
          <w:lang w:eastAsia="pt-BR"/>
        </w:rPr>
        <w:t> </w:t>
      </w:r>
    </w:p>
    <w:p w14:paraId="742C030D" w14:textId="77777777" w:rsidR="002E4CFB" w:rsidRPr="00151FF1" w:rsidRDefault="002E4CFB" w:rsidP="002E4CFB">
      <w:pPr>
        <w:autoSpaceDN w:val="0"/>
        <w:spacing w:before="100" w:beforeAutospacing="1" w:after="100" w:afterAutospacing="1" w:line="240" w:lineRule="auto"/>
        <w:jc w:val="center"/>
        <w:rPr>
          <w:rFonts w:ascii="Book Antiqua" w:eastAsia="Times New Roman" w:hAnsi="Book Antiqua" w:cs="Arial"/>
          <w:sz w:val="19"/>
          <w:szCs w:val="19"/>
          <w:lang w:eastAsia="pt-BR"/>
        </w:rPr>
      </w:pPr>
      <w:r w:rsidRPr="00151FF1">
        <w:rPr>
          <w:rFonts w:ascii="Book Antiqua" w:eastAsia="Times New Roman" w:hAnsi="Book Antiqua" w:cs="Arial"/>
          <w:sz w:val="19"/>
          <w:szCs w:val="19"/>
          <w:lang w:eastAsia="pt-BR"/>
        </w:rPr>
        <w:t> </w:t>
      </w:r>
    </w:p>
    <w:p w14:paraId="577DF71E" w14:textId="77777777" w:rsidR="002E4CFB" w:rsidRPr="00151FF1" w:rsidRDefault="002E4CFB" w:rsidP="002E4CFB">
      <w:pPr>
        <w:autoSpaceDN w:val="0"/>
        <w:spacing w:before="100" w:beforeAutospacing="1" w:after="100" w:afterAutospacing="1" w:line="240" w:lineRule="auto"/>
        <w:jc w:val="center"/>
        <w:rPr>
          <w:rFonts w:ascii="Book Antiqua" w:eastAsia="Times New Roman" w:hAnsi="Book Antiqua" w:cs="Arial"/>
          <w:sz w:val="19"/>
          <w:szCs w:val="19"/>
          <w:lang w:eastAsia="pt-BR"/>
        </w:rPr>
      </w:pPr>
      <w:r w:rsidRPr="00151FF1">
        <w:rPr>
          <w:rFonts w:ascii="Book Antiqua" w:eastAsia="Times New Roman" w:hAnsi="Book Antiqua" w:cs="Arial"/>
          <w:sz w:val="19"/>
          <w:szCs w:val="19"/>
          <w:lang w:eastAsia="pt-BR"/>
        </w:rPr>
        <w:t> </w:t>
      </w:r>
    </w:p>
    <w:p w14:paraId="167E1B3C" w14:textId="77777777" w:rsidR="002E4CFB" w:rsidRPr="00151FF1" w:rsidRDefault="002E4CFB" w:rsidP="002E4CFB">
      <w:pPr>
        <w:autoSpaceDN w:val="0"/>
        <w:spacing w:before="100" w:beforeAutospacing="1" w:after="100" w:afterAutospacing="1" w:line="240" w:lineRule="auto"/>
        <w:jc w:val="center"/>
        <w:rPr>
          <w:rFonts w:ascii="Book Antiqua" w:eastAsia="Times New Roman" w:hAnsi="Book Antiqua" w:cs="Arial"/>
          <w:sz w:val="19"/>
          <w:szCs w:val="19"/>
          <w:lang w:eastAsia="pt-BR"/>
        </w:rPr>
      </w:pPr>
      <w:r w:rsidRPr="00151FF1">
        <w:rPr>
          <w:rFonts w:ascii="Book Antiqua" w:eastAsia="Times New Roman" w:hAnsi="Book Antiqua" w:cs="Arial"/>
          <w:sz w:val="19"/>
          <w:szCs w:val="19"/>
          <w:lang w:eastAsia="pt-BR"/>
        </w:rPr>
        <w:t> </w:t>
      </w:r>
    </w:p>
    <w:p w14:paraId="7EE77E65" w14:textId="77777777" w:rsidR="002E4CFB" w:rsidRPr="00151FF1" w:rsidRDefault="002E4CFB" w:rsidP="002E4CFB">
      <w:pPr>
        <w:autoSpaceDN w:val="0"/>
        <w:spacing w:before="100" w:beforeAutospacing="1" w:after="100" w:afterAutospacing="1" w:line="240" w:lineRule="auto"/>
        <w:jc w:val="center"/>
        <w:rPr>
          <w:rFonts w:ascii="Book Antiqua" w:eastAsia="Times New Roman" w:hAnsi="Book Antiqua" w:cs="Arial"/>
          <w:sz w:val="19"/>
          <w:szCs w:val="19"/>
          <w:lang w:eastAsia="pt-BR"/>
        </w:rPr>
      </w:pPr>
      <w:r w:rsidRPr="00151FF1">
        <w:rPr>
          <w:rFonts w:ascii="Book Antiqua" w:eastAsia="Times New Roman" w:hAnsi="Book Antiqua" w:cs="Arial"/>
          <w:sz w:val="19"/>
          <w:szCs w:val="19"/>
          <w:lang w:eastAsia="pt-BR"/>
        </w:rPr>
        <w:t> </w:t>
      </w:r>
    </w:p>
    <w:p w14:paraId="11E8F256" w14:textId="77777777" w:rsidR="002E4CFB" w:rsidRPr="00151FF1" w:rsidRDefault="002E4CFB" w:rsidP="002E4CFB">
      <w:pPr>
        <w:autoSpaceDN w:val="0"/>
        <w:spacing w:before="100" w:beforeAutospacing="1" w:after="100" w:afterAutospacing="1" w:line="240" w:lineRule="auto"/>
        <w:jc w:val="center"/>
        <w:rPr>
          <w:rFonts w:ascii="Book Antiqua" w:eastAsia="Times New Roman" w:hAnsi="Book Antiqua" w:cs="Arial"/>
          <w:sz w:val="19"/>
          <w:szCs w:val="19"/>
          <w:lang w:eastAsia="pt-BR"/>
        </w:rPr>
      </w:pPr>
      <w:r w:rsidRPr="00151FF1">
        <w:rPr>
          <w:rFonts w:ascii="Book Antiqua" w:eastAsia="Times New Roman" w:hAnsi="Book Antiqua" w:cs="Arial"/>
          <w:sz w:val="19"/>
          <w:szCs w:val="19"/>
          <w:lang w:eastAsia="pt-BR"/>
        </w:rPr>
        <w:t> </w:t>
      </w:r>
    </w:p>
    <w:p w14:paraId="30A59AA5" w14:textId="77777777" w:rsidR="002E4CFB" w:rsidRPr="00151FF1" w:rsidRDefault="002E4CFB" w:rsidP="002E4CFB">
      <w:pPr>
        <w:autoSpaceDN w:val="0"/>
        <w:spacing w:before="100" w:beforeAutospacing="1" w:after="100" w:afterAutospacing="1" w:line="240" w:lineRule="auto"/>
        <w:jc w:val="center"/>
        <w:rPr>
          <w:rFonts w:ascii="Book Antiqua" w:eastAsia="Times New Roman" w:hAnsi="Book Antiqua" w:cs="Arial"/>
          <w:sz w:val="19"/>
          <w:szCs w:val="19"/>
          <w:lang w:eastAsia="pt-BR"/>
        </w:rPr>
      </w:pPr>
      <w:r w:rsidRPr="00151FF1">
        <w:rPr>
          <w:rFonts w:ascii="Book Antiqua" w:eastAsia="Times New Roman" w:hAnsi="Book Antiqua" w:cs="Arial"/>
          <w:sz w:val="19"/>
          <w:szCs w:val="19"/>
          <w:lang w:eastAsia="pt-BR"/>
        </w:rPr>
        <w:t> </w:t>
      </w:r>
    </w:p>
    <w:p w14:paraId="5C2A77C4" w14:textId="77777777" w:rsidR="002E4CFB" w:rsidRPr="00151FF1" w:rsidRDefault="002E4CFB" w:rsidP="002E4CFB">
      <w:pPr>
        <w:autoSpaceDN w:val="0"/>
        <w:spacing w:before="100" w:beforeAutospacing="1" w:after="100" w:afterAutospacing="1" w:line="240" w:lineRule="auto"/>
        <w:jc w:val="center"/>
        <w:rPr>
          <w:rFonts w:ascii="Book Antiqua" w:eastAsia="Times New Roman" w:hAnsi="Book Antiqua" w:cs="Arial"/>
          <w:sz w:val="19"/>
          <w:szCs w:val="19"/>
          <w:lang w:eastAsia="pt-BR"/>
        </w:rPr>
      </w:pPr>
      <w:r w:rsidRPr="00151FF1">
        <w:rPr>
          <w:rFonts w:ascii="Book Antiqua" w:eastAsia="Times New Roman" w:hAnsi="Book Antiqua" w:cs="Arial"/>
          <w:sz w:val="19"/>
          <w:szCs w:val="19"/>
          <w:lang w:eastAsia="pt-BR"/>
        </w:rPr>
        <w:t> </w:t>
      </w:r>
    </w:p>
    <w:p w14:paraId="64419383" w14:textId="77777777" w:rsidR="002E4CFB" w:rsidRPr="00151FF1" w:rsidRDefault="002E4CFB" w:rsidP="002E4CFB">
      <w:pPr>
        <w:spacing w:before="300" w:after="300" w:line="240" w:lineRule="auto"/>
        <w:jc w:val="center"/>
        <w:rPr>
          <w:rFonts w:ascii="Book Antiqua" w:eastAsia="Times New Roman" w:hAnsi="Book Antiqua" w:cs="Arial"/>
          <w:sz w:val="19"/>
          <w:szCs w:val="19"/>
          <w:lang w:eastAsia="pt-BR"/>
        </w:rPr>
      </w:pPr>
    </w:p>
    <w:sectPr w:rsidR="002E4CFB" w:rsidRPr="00151FF1" w:rsidSect="00D05ACF">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9BE97" w14:textId="77777777" w:rsidR="00DA681E" w:rsidRDefault="00DA681E" w:rsidP="00D8746D">
      <w:pPr>
        <w:spacing w:after="0" w:line="240" w:lineRule="auto"/>
      </w:pPr>
      <w:r>
        <w:separator/>
      </w:r>
    </w:p>
  </w:endnote>
  <w:endnote w:type="continuationSeparator" w:id="0">
    <w:p w14:paraId="2170BBF4" w14:textId="77777777" w:rsidR="00DA681E" w:rsidRDefault="00DA681E" w:rsidP="00D87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Franklin Gothic Medium Cond">
    <w:charset w:val="00"/>
    <w:family w:val="swiss"/>
    <w:pitch w:val="variable"/>
    <w:sig w:usb0="00000287" w:usb1="00000000" w:usb2="00000000" w:usb3="00000000" w:csb0="0000009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745AA" w14:textId="77777777" w:rsidR="00DA681E" w:rsidRDefault="00DA681E" w:rsidP="00D8746D">
      <w:pPr>
        <w:spacing w:after="0" w:line="240" w:lineRule="auto"/>
      </w:pPr>
      <w:r>
        <w:separator/>
      </w:r>
    </w:p>
  </w:footnote>
  <w:footnote w:type="continuationSeparator" w:id="0">
    <w:p w14:paraId="38B84F51" w14:textId="77777777" w:rsidR="00DA681E" w:rsidRDefault="00DA681E" w:rsidP="00D87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852"/>
    <w:rsid w:val="00151FF1"/>
    <w:rsid w:val="001B2F6E"/>
    <w:rsid w:val="001D491B"/>
    <w:rsid w:val="002E4CFB"/>
    <w:rsid w:val="00321D1A"/>
    <w:rsid w:val="003A7852"/>
    <w:rsid w:val="004B1DB2"/>
    <w:rsid w:val="00500E2F"/>
    <w:rsid w:val="00857CC5"/>
    <w:rsid w:val="008B3681"/>
    <w:rsid w:val="0090167B"/>
    <w:rsid w:val="00930763"/>
    <w:rsid w:val="00B105F7"/>
    <w:rsid w:val="00D05ACF"/>
    <w:rsid w:val="00D8746D"/>
    <w:rsid w:val="00DA681E"/>
    <w:rsid w:val="00DF053D"/>
    <w:rsid w:val="00EB3A2F"/>
    <w:rsid w:val="00F31C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7513A"/>
  <w15:chartTrackingRefBased/>
  <w15:docId w15:val="{83849A10-66DC-4C86-822E-1B3CB726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D05ACF"/>
    <w:pPr>
      <w:keepNext/>
      <w:tabs>
        <w:tab w:val="left" w:pos="1995"/>
      </w:tabs>
      <w:spacing w:before="120" w:after="0" w:line="240" w:lineRule="auto"/>
      <w:ind w:firstLine="1537"/>
      <w:jc w:val="both"/>
      <w:outlineLvl w:val="0"/>
    </w:pPr>
    <w:rPr>
      <w:rFonts w:ascii="Times New Roman" w:eastAsia="Times New Roman" w:hAnsi="Times New Roman" w:cs="Times New Roman"/>
      <w:b/>
      <w:bCs/>
      <w:kern w:val="36"/>
      <w:sz w:val="28"/>
      <w:szCs w:val="28"/>
      <w:lang w:eastAsia="pt-BR"/>
    </w:rPr>
  </w:style>
  <w:style w:type="paragraph" w:styleId="Ttulo2">
    <w:name w:val="heading 2"/>
    <w:basedOn w:val="Normal"/>
    <w:link w:val="Ttulo2Char"/>
    <w:uiPriority w:val="9"/>
    <w:qFormat/>
    <w:rsid w:val="00D05ACF"/>
    <w:pPr>
      <w:keepNext/>
      <w:spacing w:after="0" w:line="240" w:lineRule="auto"/>
      <w:jc w:val="center"/>
      <w:outlineLvl w:val="1"/>
    </w:pPr>
    <w:rPr>
      <w:rFonts w:ascii="Arial" w:eastAsia="Times New Roman" w:hAnsi="Arial" w:cs="Arial"/>
      <w:b/>
      <w:bCs/>
      <w:sz w:val="20"/>
      <w:szCs w:val="20"/>
      <w:lang w:eastAsia="pt-BR"/>
    </w:rPr>
  </w:style>
  <w:style w:type="paragraph" w:styleId="Ttulo3">
    <w:name w:val="heading 3"/>
    <w:basedOn w:val="Normal"/>
    <w:link w:val="Ttulo3Char"/>
    <w:uiPriority w:val="9"/>
    <w:qFormat/>
    <w:rsid w:val="00D05ACF"/>
    <w:pPr>
      <w:keepNext/>
      <w:spacing w:after="0" w:line="240" w:lineRule="auto"/>
      <w:ind w:firstLine="357"/>
      <w:jc w:val="center"/>
      <w:outlineLvl w:val="2"/>
    </w:pPr>
    <w:rPr>
      <w:rFonts w:ascii="Arial" w:eastAsia="Times New Roman" w:hAnsi="Arial" w:cs="Arial"/>
      <w:b/>
      <w:bCs/>
      <w:sz w:val="20"/>
      <w:szCs w:val="20"/>
      <w:lang w:eastAsia="pt-BR"/>
    </w:rPr>
  </w:style>
  <w:style w:type="paragraph" w:styleId="Ttulo4">
    <w:name w:val="heading 4"/>
    <w:basedOn w:val="Normal"/>
    <w:link w:val="Ttulo4Char"/>
    <w:uiPriority w:val="9"/>
    <w:qFormat/>
    <w:rsid w:val="00D05ACF"/>
    <w:pPr>
      <w:keepNext/>
      <w:tabs>
        <w:tab w:val="left" w:pos="1418"/>
      </w:tabs>
      <w:spacing w:after="0" w:line="240" w:lineRule="auto"/>
      <w:jc w:val="center"/>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D05ACF"/>
    <w:pPr>
      <w:keepNext/>
      <w:spacing w:after="0" w:line="240" w:lineRule="auto"/>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D05ACF"/>
    <w:pPr>
      <w:keepNext/>
      <w:spacing w:after="0" w:line="240" w:lineRule="auto"/>
      <w:jc w:val="center"/>
      <w:outlineLvl w:val="5"/>
    </w:pPr>
    <w:rPr>
      <w:rFonts w:ascii="CG Times" w:eastAsia="Times New Roman" w:hAnsi="CG Times" w:cs="Times New Roman"/>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D491B"/>
  </w:style>
  <w:style w:type="paragraph" w:styleId="NormalWeb">
    <w:name w:val="Normal (Web)"/>
    <w:basedOn w:val="Normal"/>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D491B"/>
    <w:rPr>
      <w:b/>
      <w:bCs/>
    </w:rPr>
  </w:style>
  <w:style w:type="character" w:styleId="Hyperlink">
    <w:name w:val="Hyperlink"/>
    <w:basedOn w:val="Fontepargpadro"/>
    <w:uiPriority w:val="99"/>
    <w:unhideWhenUsed/>
    <w:rsid w:val="001D491B"/>
    <w:rPr>
      <w:color w:val="0000FF"/>
      <w:u w:val="single"/>
    </w:rPr>
  </w:style>
  <w:style w:type="character" w:styleId="HiperlinkVisitado">
    <w:name w:val="FollowedHyperlink"/>
    <w:basedOn w:val="Fontepargpadro"/>
    <w:uiPriority w:val="99"/>
    <w:semiHidden/>
    <w:unhideWhenUsed/>
    <w:rsid w:val="001D491B"/>
    <w:rPr>
      <w:color w:val="800080"/>
      <w:u w:val="single"/>
    </w:rPr>
  </w:style>
  <w:style w:type="paragraph" w:customStyle="1" w:styleId="textbody">
    <w:name w:val="textbody"/>
    <w:basedOn w:val="Normal"/>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1D491B"/>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3Char">
    <w:name w:val="Recuo de corpo de texto 3 Char"/>
    <w:basedOn w:val="Fontepargpadro"/>
    <w:link w:val="Recuodecorpodetexto3"/>
    <w:uiPriority w:val="99"/>
    <w:semiHidden/>
    <w:rsid w:val="001D491B"/>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D491B"/>
    <w:rPr>
      <w:i/>
      <w:iCs/>
    </w:rPr>
  </w:style>
  <w:style w:type="paragraph" w:styleId="Cabealho">
    <w:name w:val="header"/>
    <w:basedOn w:val="Normal"/>
    <w:link w:val="CabealhoChar"/>
    <w:uiPriority w:val="99"/>
    <w:unhideWhenUsed/>
    <w:rsid w:val="00D8746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8746D"/>
  </w:style>
  <w:style w:type="paragraph" w:styleId="Rodap">
    <w:name w:val="footer"/>
    <w:basedOn w:val="Normal"/>
    <w:link w:val="RodapChar"/>
    <w:uiPriority w:val="99"/>
    <w:unhideWhenUsed/>
    <w:rsid w:val="00D8746D"/>
    <w:pPr>
      <w:tabs>
        <w:tab w:val="center" w:pos="4252"/>
        <w:tab w:val="right" w:pos="8504"/>
      </w:tabs>
      <w:spacing w:after="0" w:line="240" w:lineRule="auto"/>
    </w:pPr>
  </w:style>
  <w:style w:type="character" w:customStyle="1" w:styleId="RodapChar">
    <w:name w:val="Rodapé Char"/>
    <w:basedOn w:val="Fontepargpadro"/>
    <w:link w:val="Rodap"/>
    <w:uiPriority w:val="99"/>
    <w:rsid w:val="00D8746D"/>
  </w:style>
  <w:style w:type="character" w:styleId="MenoPendente">
    <w:name w:val="Unresolved Mention"/>
    <w:basedOn w:val="Fontepargpadro"/>
    <w:uiPriority w:val="99"/>
    <w:semiHidden/>
    <w:unhideWhenUsed/>
    <w:rsid w:val="0090167B"/>
    <w:rPr>
      <w:color w:val="605E5C"/>
      <w:shd w:val="clear" w:color="auto" w:fill="E1DFDD"/>
    </w:rPr>
  </w:style>
  <w:style w:type="table" w:styleId="Tabelacomgrade">
    <w:name w:val="Table Grid"/>
    <w:basedOn w:val="Tabelanormal"/>
    <w:uiPriority w:val="39"/>
    <w:rsid w:val="00EB3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B3A2F"/>
    <w:pPr>
      <w:ind w:left="720"/>
      <w:contextualSpacing/>
    </w:pPr>
  </w:style>
  <w:style w:type="character" w:customStyle="1" w:styleId="Ttulo1Char">
    <w:name w:val="Título 1 Char"/>
    <w:basedOn w:val="Fontepargpadro"/>
    <w:link w:val="Ttulo1"/>
    <w:uiPriority w:val="9"/>
    <w:rsid w:val="00D05ACF"/>
    <w:rPr>
      <w:rFonts w:ascii="Times New Roman" w:eastAsia="Times New Roman" w:hAnsi="Times New Roman" w:cs="Times New Roman"/>
      <w:b/>
      <w:bCs/>
      <w:kern w:val="36"/>
      <w:sz w:val="28"/>
      <w:szCs w:val="28"/>
      <w:lang w:eastAsia="pt-BR"/>
    </w:rPr>
  </w:style>
  <w:style w:type="character" w:customStyle="1" w:styleId="Ttulo2Char">
    <w:name w:val="Título 2 Char"/>
    <w:basedOn w:val="Fontepargpadro"/>
    <w:link w:val="Ttulo2"/>
    <w:uiPriority w:val="9"/>
    <w:rsid w:val="00D05ACF"/>
    <w:rPr>
      <w:rFonts w:ascii="Arial" w:eastAsia="Times New Roman" w:hAnsi="Arial" w:cs="Arial"/>
      <w:b/>
      <w:bCs/>
      <w:sz w:val="20"/>
      <w:szCs w:val="20"/>
      <w:lang w:eastAsia="pt-BR"/>
    </w:rPr>
  </w:style>
  <w:style w:type="character" w:customStyle="1" w:styleId="Ttulo3Char">
    <w:name w:val="Título 3 Char"/>
    <w:basedOn w:val="Fontepargpadro"/>
    <w:link w:val="Ttulo3"/>
    <w:uiPriority w:val="9"/>
    <w:rsid w:val="00D05ACF"/>
    <w:rPr>
      <w:rFonts w:ascii="Arial" w:eastAsia="Times New Roman" w:hAnsi="Arial" w:cs="Arial"/>
      <w:b/>
      <w:bCs/>
      <w:sz w:val="20"/>
      <w:szCs w:val="20"/>
      <w:lang w:eastAsia="pt-BR"/>
    </w:rPr>
  </w:style>
  <w:style w:type="character" w:customStyle="1" w:styleId="Ttulo4Char">
    <w:name w:val="Título 4 Char"/>
    <w:basedOn w:val="Fontepargpadro"/>
    <w:link w:val="Ttulo4"/>
    <w:uiPriority w:val="9"/>
    <w:rsid w:val="00D05ACF"/>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D05ACF"/>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D05ACF"/>
    <w:rPr>
      <w:rFonts w:ascii="CG Times" w:eastAsia="Times New Roman" w:hAnsi="CG Times" w:cs="Times New Roman"/>
      <w:b/>
      <w:bCs/>
      <w:sz w:val="24"/>
      <w:szCs w:val="24"/>
      <w:lang w:eastAsia="pt-BR"/>
    </w:rPr>
  </w:style>
  <w:style w:type="numbering" w:customStyle="1" w:styleId="Semlista2">
    <w:name w:val="Sem lista2"/>
    <w:next w:val="Semlista"/>
    <w:uiPriority w:val="99"/>
    <w:semiHidden/>
    <w:unhideWhenUsed/>
    <w:rsid w:val="00D05ACF"/>
  </w:style>
  <w:style w:type="paragraph" w:customStyle="1" w:styleId="msonormal0">
    <w:name w:val="msonormal"/>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ar">
    <w:name w:val="ttulo1car"/>
    <w:basedOn w:val="Fontepargpadro"/>
    <w:rsid w:val="00D05ACF"/>
    <w:rPr>
      <w:rFonts w:ascii="Arial" w:hAnsi="Arial" w:cs="Arial" w:hint="default"/>
      <w:b/>
      <w:bCs/>
    </w:rPr>
  </w:style>
  <w:style w:type="character" w:customStyle="1" w:styleId="caracteresdenotaderodap">
    <w:name w:val="caracteresdenotaderodap"/>
    <w:basedOn w:val="Fontepargpadro"/>
    <w:rsid w:val="00D05ACF"/>
    <w:rPr>
      <w:vertAlign w:val="superscript"/>
    </w:rPr>
  </w:style>
  <w:style w:type="character" w:customStyle="1" w:styleId="ww-refdenotaderodap1234">
    <w:name w:val="ww-refdenotaderodap1234"/>
    <w:rsid w:val="00D05ACF"/>
    <w:rPr>
      <w:vertAlign w:val="superscript"/>
    </w:rPr>
  </w:style>
  <w:style w:type="character" w:styleId="Refdenotaderodap">
    <w:name w:val="footnote reference"/>
    <w:basedOn w:val="Fontepargpadro"/>
    <w:uiPriority w:val="99"/>
    <w:semiHidden/>
    <w:unhideWhenUsed/>
    <w:rsid w:val="00D05ACF"/>
    <w:rPr>
      <w:vertAlign w:val="superscript"/>
    </w:rPr>
  </w:style>
  <w:style w:type="character" w:customStyle="1" w:styleId="hiperlink">
    <w:name w:val="hiperlink"/>
    <w:rsid w:val="00D05ACF"/>
    <w:rPr>
      <w:color w:val="0000FF"/>
      <w:u w:val="single"/>
    </w:rPr>
  </w:style>
  <w:style w:type="character" w:customStyle="1" w:styleId="txtterm1">
    <w:name w:val="txtterm1"/>
    <w:basedOn w:val="Fontepargpadro"/>
    <w:rsid w:val="00D05ACF"/>
    <w:rPr>
      <w:rFonts w:ascii="Times New Roman" w:hAnsi="Times New Roman" w:cs="Times New Roman" w:hint="default"/>
      <w:b/>
      <w:bCs/>
      <w:color w:val="000000"/>
    </w:rPr>
  </w:style>
  <w:style w:type="character" w:customStyle="1" w:styleId="internetlink">
    <w:name w:val="internetlink"/>
    <w:rsid w:val="00D05ACF"/>
    <w:rPr>
      <w:color w:val="000080"/>
      <w:u w:val="single" w:color="000000"/>
    </w:rPr>
  </w:style>
  <w:style w:type="character" w:customStyle="1" w:styleId="font0020style31char">
    <w:name w:val="font0020style31char"/>
    <w:basedOn w:val="Fontepargpadro"/>
    <w:rsid w:val="00D05ACF"/>
    <w:rPr>
      <w:rFonts w:ascii="Times New Roman" w:hAnsi="Times New Roman" w:cs="Times New Roman" w:hint="default"/>
    </w:rPr>
  </w:style>
  <w:style w:type="character" w:customStyle="1" w:styleId="style10char">
    <w:name w:val="style10char"/>
    <w:basedOn w:val="Fontepargpadro"/>
    <w:rsid w:val="00D05ACF"/>
    <w:rPr>
      <w:rFonts w:ascii="Times New Roman" w:hAnsi="Times New Roman" w:cs="Times New Roman" w:hint="default"/>
    </w:rPr>
  </w:style>
  <w:style w:type="character" w:customStyle="1" w:styleId="centralizadochar">
    <w:name w:val="centralizadochar"/>
    <w:basedOn w:val="Fontepargpadro"/>
    <w:rsid w:val="00D05ACF"/>
    <w:rPr>
      <w:rFonts w:ascii="Times New Roman" w:hAnsi="Times New Roman" w:cs="Times New Roman" w:hint="default"/>
    </w:rPr>
  </w:style>
  <w:style w:type="character" w:customStyle="1" w:styleId="texto0020normalchar">
    <w:name w:val="texto0020normalchar"/>
    <w:basedOn w:val="Fontepargpadro"/>
    <w:rsid w:val="00D05ACF"/>
    <w:rPr>
      <w:rFonts w:ascii="Times New Roman" w:hAnsi="Times New Roman" w:cs="Times New Roman" w:hint="default"/>
    </w:rPr>
  </w:style>
  <w:style w:type="character" w:customStyle="1" w:styleId="normalchar">
    <w:name w:val="normalchar"/>
    <w:basedOn w:val="Fontepargpadro"/>
    <w:rsid w:val="00D05ACF"/>
    <w:rPr>
      <w:rFonts w:ascii="Times New Roman" w:hAnsi="Times New Roman" w:cs="Times New Roman" w:hint="default"/>
    </w:rPr>
  </w:style>
  <w:style w:type="character" w:customStyle="1" w:styleId="estilochar">
    <w:name w:val="estilochar"/>
    <w:basedOn w:val="Fontepargpadro"/>
    <w:rsid w:val="00D05ACF"/>
    <w:rPr>
      <w:rFonts w:ascii="Times New Roman" w:hAnsi="Times New Roman" w:cs="Times New Roman" w:hint="default"/>
    </w:rPr>
  </w:style>
  <w:style w:type="character" w:customStyle="1" w:styleId="style21char">
    <w:name w:val="style21char"/>
    <w:basedOn w:val="Fontepargpadro"/>
    <w:rsid w:val="00D05ACF"/>
    <w:rPr>
      <w:rFonts w:ascii="Times New Roman" w:hAnsi="Times New Roman" w:cs="Times New Roman" w:hint="default"/>
    </w:rPr>
  </w:style>
  <w:style w:type="character" w:customStyle="1" w:styleId="style18char">
    <w:name w:val="style18char"/>
    <w:basedOn w:val="Fontepargpadro"/>
    <w:rsid w:val="00D05ACF"/>
    <w:rPr>
      <w:rFonts w:ascii="Times New Roman" w:hAnsi="Times New Roman" w:cs="Times New Roman" w:hint="default"/>
    </w:rPr>
  </w:style>
  <w:style w:type="character" w:customStyle="1" w:styleId="style15char">
    <w:name w:val="style15char"/>
    <w:basedOn w:val="Fontepargpadro"/>
    <w:rsid w:val="00D05ACF"/>
    <w:rPr>
      <w:rFonts w:ascii="Times New Roman" w:hAnsi="Times New Roman" w:cs="Times New Roman" w:hint="default"/>
    </w:rPr>
  </w:style>
  <w:style w:type="character" w:customStyle="1" w:styleId="field1">
    <w:name w:val="field1"/>
    <w:rsid w:val="00D05ACF"/>
    <w:rPr>
      <w:rFonts w:ascii="Verdana" w:hAnsi="Verdana" w:hint="default"/>
      <w:color w:val="000000"/>
      <w:bdr w:val="single" w:sz="8" w:space="0" w:color="auto" w:frame="1"/>
      <w:shd w:val="clear" w:color="auto" w:fill="FFFFFF"/>
    </w:rPr>
  </w:style>
  <w:style w:type="character" w:customStyle="1" w:styleId="hps">
    <w:name w:val="hps"/>
    <w:basedOn w:val="Fontepargpadro"/>
    <w:rsid w:val="00D05ACF"/>
    <w:rPr>
      <w:rFonts w:ascii="Times New Roman" w:hAnsi="Times New Roman" w:cs="Times New Roman" w:hint="default"/>
    </w:rPr>
  </w:style>
  <w:style w:type="character" w:customStyle="1" w:styleId="themebody">
    <w:name w:val="themebody"/>
    <w:basedOn w:val="Fontepargpadro"/>
    <w:rsid w:val="00D05ACF"/>
    <w:rPr>
      <w:rFonts w:ascii="Times New Roman" w:hAnsi="Times New Roman" w:cs="Times New Roman" w:hint="default"/>
    </w:rPr>
  </w:style>
  <w:style w:type="character" w:customStyle="1" w:styleId="footnotesymbol">
    <w:name w:val="footnotesymbol"/>
    <w:basedOn w:val="Fontepargpadro"/>
    <w:rsid w:val="00D05ACF"/>
    <w:rPr>
      <w:rFonts w:ascii="Times New Roman" w:hAnsi="Times New Roman" w:cs="Times New Roman" w:hint="default"/>
      <w:vertAlign w:val="superscript"/>
    </w:rPr>
  </w:style>
  <w:style w:type="character" w:customStyle="1" w:styleId="nfase1">
    <w:name w:val="nfase1"/>
    <w:rsid w:val="00D05ACF"/>
    <w:rPr>
      <w:rFonts w:ascii="Times New Roman" w:hAnsi="Times New Roman" w:cs="Times New Roman" w:hint="default"/>
      <w:color w:val="000000"/>
    </w:rPr>
  </w:style>
  <w:style w:type="character" w:customStyle="1" w:styleId="forte1">
    <w:name w:val="forte1"/>
    <w:rsid w:val="00D05ACF"/>
    <w:rPr>
      <w:rFonts w:ascii="Times New Roman" w:hAnsi="Times New Roman" w:cs="Times New Roman" w:hint="default"/>
      <w:b/>
      <w:bCs/>
      <w:color w:val="000000"/>
    </w:rPr>
  </w:style>
  <w:style w:type="character" w:customStyle="1" w:styleId="texto8">
    <w:name w:val="texto8"/>
    <w:basedOn w:val="Fontepargpadro"/>
    <w:rsid w:val="00D05ACF"/>
    <w:rPr>
      <w:rFonts w:ascii="Times New Roman" w:hAnsi="Times New Roman" w:cs="Times New Roman" w:hint="default"/>
    </w:rPr>
  </w:style>
  <w:style w:type="character" w:customStyle="1" w:styleId="bumpedfont15">
    <w:name w:val="bumpedfont15"/>
    <w:rsid w:val="00D05ACF"/>
    <w:rPr>
      <w:color w:val="000000"/>
    </w:rPr>
  </w:style>
  <w:style w:type="character" w:customStyle="1" w:styleId="heading4char">
    <w:name w:val="heading4char"/>
    <w:rsid w:val="00D05ACF"/>
    <w:rPr>
      <w:rFonts w:ascii="Verdana" w:hAnsi="Verdana" w:hint="default"/>
      <w:b/>
      <w:bCs/>
    </w:rPr>
  </w:style>
  <w:style w:type="character" w:customStyle="1" w:styleId="atn">
    <w:name w:val="atn"/>
    <w:rsid w:val="00D05ACF"/>
    <w:rPr>
      <w:rFonts w:ascii="Times New Roman" w:hAnsi="Times New Roman" w:cs="Times New Roman" w:hint="default"/>
    </w:rPr>
  </w:style>
  <w:style w:type="character" w:customStyle="1" w:styleId="longtext">
    <w:name w:val="longtext"/>
    <w:rsid w:val="00D05ACF"/>
    <w:rPr>
      <w:rFonts w:ascii="Times New Roman" w:hAnsi="Times New Roman" w:cs="Times New Roman" w:hint="default"/>
    </w:rPr>
  </w:style>
  <w:style w:type="character" w:customStyle="1" w:styleId="ttulo1char0">
    <w:name w:val="ttulo1char"/>
    <w:basedOn w:val="Fontepargpadro"/>
    <w:rsid w:val="00D05ACF"/>
    <w:rPr>
      <w:rFonts w:ascii="Cambria" w:hAnsi="Cambria" w:hint="default"/>
      <w:b/>
      <w:bCs/>
    </w:rPr>
  </w:style>
  <w:style w:type="character" w:styleId="TtulodoLivro">
    <w:name w:val="Book Title"/>
    <w:basedOn w:val="Fontepargpadro"/>
    <w:uiPriority w:val="33"/>
    <w:qFormat/>
    <w:rsid w:val="00D05ACF"/>
    <w:rPr>
      <w:b/>
      <w:bCs/>
      <w:smallCaps/>
      <w:spacing w:val="5"/>
    </w:rPr>
  </w:style>
  <w:style w:type="character" w:customStyle="1" w:styleId="doltraduztrad">
    <w:name w:val="doltraduztrad"/>
    <w:basedOn w:val="Fontepargpadro"/>
    <w:rsid w:val="00D05ACF"/>
    <w:rPr>
      <w:rFonts w:ascii="Times New Roman" w:hAnsi="Times New Roman" w:cs="Times New Roman" w:hint="default"/>
    </w:rPr>
  </w:style>
  <w:style w:type="character" w:customStyle="1" w:styleId="mquinadeescribirhtml">
    <w:name w:val="mquinadeescribirhtml"/>
    <w:rsid w:val="00D05ACF"/>
    <w:rPr>
      <w:rFonts w:ascii="Courier New" w:hAnsi="Courier New" w:cs="Courier New" w:hint="default"/>
    </w:rPr>
  </w:style>
  <w:style w:type="character" w:styleId="nfaseSutil">
    <w:name w:val="Subtle Emphasis"/>
    <w:basedOn w:val="Fontepargpadro"/>
    <w:uiPriority w:val="19"/>
    <w:qFormat/>
    <w:rsid w:val="00D05ACF"/>
    <w:rPr>
      <w:rFonts w:ascii="Times New Roman" w:hAnsi="Times New Roman" w:cs="Times New Roman" w:hint="default"/>
      <w:i/>
      <w:iCs/>
      <w:color w:val="404040"/>
    </w:rPr>
  </w:style>
  <w:style w:type="character" w:customStyle="1" w:styleId="nfasesutil1">
    <w:name w:val="nfasesutil1"/>
    <w:rsid w:val="00D05ACF"/>
    <w:rPr>
      <w:i/>
      <w:iCs/>
      <w:color w:val="808080"/>
    </w:rPr>
  </w:style>
  <w:style w:type="character" w:customStyle="1" w:styleId="strongemphasis">
    <w:name w:val="strongemphasis"/>
    <w:rsid w:val="00D05ACF"/>
    <w:rPr>
      <w:b/>
      <w:bCs/>
    </w:rPr>
  </w:style>
  <w:style w:type="character" w:customStyle="1" w:styleId="scayt-misspell-word">
    <w:name w:val="scayt-misspell-word"/>
    <w:rsid w:val="00D05ACF"/>
    <w:rPr>
      <w:rFonts w:ascii="Times New Roman" w:hAnsi="Times New Roman" w:cs="Times New Roman" w:hint="default"/>
    </w:rPr>
  </w:style>
  <w:style w:type="character" w:customStyle="1" w:styleId="fontstyle31">
    <w:name w:val="fontstyle31"/>
    <w:rsid w:val="00D05ACF"/>
    <w:rPr>
      <w:rFonts w:ascii="Franklin Gothic Medium Cond" w:hAnsi="Franklin Gothic Medium Cond" w:hint="default"/>
    </w:rPr>
  </w:style>
  <w:style w:type="character" w:customStyle="1" w:styleId="bodytextspacing2pt">
    <w:name w:val="bodytextspacing2pt"/>
    <w:rsid w:val="00D05ACF"/>
    <w:rPr>
      <w:spacing w:val="40"/>
    </w:rPr>
  </w:style>
  <w:style w:type="character" w:customStyle="1" w:styleId="link">
    <w:name w:val="link"/>
    <w:rsid w:val="00D05ACF"/>
    <w:rPr>
      <w:color w:val="0000FF"/>
      <w:u w:val="single" w:color="0000FF"/>
    </w:rPr>
  </w:style>
  <w:style w:type="character" w:customStyle="1" w:styleId="hyperlink0">
    <w:name w:val="hyperlink0"/>
    <w:basedOn w:val="Fontepargpadro"/>
    <w:rsid w:val="00D05ACF"/>
    <w:rPr>
      <w:rFonts w:ascii="Times New Roman" w:hAnsi="Times New Roman" w:cs="Times New Roman" w:hint="default"/>
      <w:color w:val="0000FF"/>
      <w:u w:val="single" w:color="0000FF"/>
    </w:rPr>
  </w:style>
  <w:style w:type="character" w:customStyle="1" w:styleId="hyperlink1">
    <w:name w:val="hyperlink1"/>
    <w:basedOn w:val="Fontepargpadro"/>
    <w:rsid w:val="00D05ACF"/>
    <w:rPr>
      <w:rFonts w:ascii="Times New Roman" w:hAnsi="Times New Roman" w:cs="Times New Roman" w:hint="default"/>
      <w:color w:val="000000"/>
      <w:u w:color="000000"/>
    </w:rPr>
  </w:style>
  <w:style w:type="paragraph" w:customStyle="1" w:styleId="padro">
    <w:name w:val="padro"/>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eformattedtext">
    <w:name w:val="preformattedtext"/>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3">
    <w:name w:val="Sem lista3"/>
    <w:next w:val="Semlista"/>
    <w:uiPriority w:val="99"/>
    <w:semiHidden/>
    <w:unhideWhenUsed/>
    <w:rsid w:val="004B1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705407">
      <w:bodyDiv w:val="1"/>
      <w:marLeft w:val="0"/>
      <w:marRight w:val="0"/>
      <w:marTop w:val="0"/>
      <w:marBottom w:val="0"/>
      <w:divBdr>
        <w:top w:val="none" w:sz="0" w:space="0" w:color="auto"/>
        <w:left w:val="none" w:sz="0" w:space="0" w:color="auto"/>
        <w:bottom w:val="none" w:sz="0" w:space="0" w:color="auto"/>
        <w:right w:val="none" w:sz="0" w:space="0" w:color="auto"/>
      </w:divBdr>
    </w:div>
    <w:div w:id="491408309">
      <w:bodyDiv w:val="1"/>
      <w:marLeft w:val="0"/>
      <w:marRight w:val="0"/>
      <w:marTop w:val="0"/>
      <w:marBottom w:val="0"/>
      <w:divBdr>
        <w:top w:val="none" w:sz="0" w:space="0" w:color="auto"/>
        <w:left w:val="none" w:sz="0" w:space="0" w:color="auto"/>
        <w:bottom w:val="none" w:sz="0" w:space="0" w:color="auto"/>
        <w:right w:val="none" w:sz="0" w:space="0" w:color="auto"/>
      </w:divBdr>
    </w:div>
    <w:div w:id="739868529">
      <w:bodyDiv w:val="1"/>
      <w:marLeft w:val="0"/>
      <w:marRight w:val="0"/>
      <w:marTop w:val="0"/>
      <w:marBottom w:val="0"/>
      <w:divBdr>
        <w:top w:val="none" w:sz="0" w:space="0" w:color="auto"/>
        <w:left w:val="none" w:sz="0" w:space="0" w:color="auto"/>
        <w:bottom w:val="none" w:sz="0" w:space="0" w:color="auto"/>
        <w:right w:val="none" w:sz="0" w:space="0" w:color="auto"/>
      </w:divBdr>
    </w:div>
    <w:div w:id="849024227">
      <w:bodyDiv w:val="1"/>
      <w:marLeft w:val="0"/>
      <w:marRight w:val="0"/>
      <w:marTop w:val="0"/>
      <w:marBottom w:val="0"/>
      <w:divBdr>
        <w:top w:val="none" w:sz="0" w:space="0" w:color="auto"/>
        <w:left w:val="none" w:sz="0" w:space="0" w:color="auto"/>
        <w:bottom w:val="none" w:sz="0" w:space="0" w:color="auto"/>
        <w:right w:val="none" w:sz="0" w:space="0" w:color="auto"/>
      </w:divBdr>
      <w:divsChild>
        <w:div w:id="1295672942">
          <w:blockQuote w:val="1"/>
          <w:marLeft w:val="720"/>
          <w:marRight w:val="720"/>
          <w:marTop w:val="100"/>
          <w:marBottom w:val="100"/>
          <w:divBdr>
            <w:top w:val="none" w:sz="0" w:space="0" w:color="auto"/>
            <w:left w:val="none" w:sz="0" w:space="0" w:color="auto"/>
            <w:bottom w:val="none" w:sz="0" w:space="0" w:color="auto"/>
            <w:right w:val="none" w:sz="0" w:space="0" w:color="auto"/>
          </w:divBdr>
        </w:div>
        <w:div w:id="4035757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402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21612623">
      <w:bodyDiv w:val="1"/>
      <w:marLeft w:val="0"/>
      <w:marRight w:val="0"/>
      <w:marTop w:val="0"/>
      <w:marBottom w:val="0"/>
      <w:divBdr>
        <w:top w:val="none" w:sz="0" w:space="0" w:color="auto"/>
        <w:left w:val="none" w:sz="0" w:space="0" w:color="auto"/>
        <w:bottom w:val="none" w:sz="0" w:space="0" w:color="auto"/>
        <w:right w:val="none" w:sz="0" w:space="0" w:color="auto"/>
      </w:divBdr>
    </w:div>
    <w:div w:id="1600068155">
      <w:bodyDiv w:val="1"/>
      <w:marLeft w:val="0"/>
      <w:marRight w:val="0"/>
      <w:marTop w:val="0"/>
      <w:marBottom w:val="0"/>
      <w:divBdr>
        <w:top w:val="none" w:sz="0" w:space="0" w:color="auto"/>
        <w:left w:val="none" w:sz="0" w:space="0" w:color="auto"/>
        <w:bottom w:val="none" w:sz="0" w:space="0" w:color="auto"/>
        <w:right w:val="none" w:sz="0" w:space="0" w:color="auto"/>
      </w:divBdr>
    </w:div>
    <w:div w:id="1790203848">
      <w:bodyDiv w:val="1"/>
      <w:marLeft w:val="0"/>
      <w:marRight w:val="0"/>
      <w:marTop w:val="0"/>
      <w:marBottom w:val="0"/>
      <w:divBdr>
        <w:top w:val="none" w:sz="0" w:space="0" w:color="auto"/>
        <w:left w:val="none" w:sz="0" w:space="0" w:color="auto"/>
        <w:bottom w:val="none" w:sz="0" w:space="0" w:color="auto"/>
        <w:right w:val="none" w:sz="0" w:space="0" w:color="auto"/>
      </w:divBdr>
      <w:divsChild>
        <w:div w:id="10824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828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953871">
      <w:bodyDiv w:val="1"/>
      <w:marLeft w:val="0"/>
      <w:marRight w:val="0"/>
      <w:marTop w:val="0"/>
      <w:marBottom w:val="0"/>
      <w:divBdr>
        <w:top w:val="none" w:sz="0" w:space="0" w:color="auto"/>
        <w:left w:val="none" w:sz="0" w:space="0" w:color="auto"/>
        <w:bottom w:val="none" w:sz="0" w:space="0" w:color="auto"/>
        <w:right w:val="none" w:sz="0" w:space="0" w:color="auto"/>
      </w:divBdr>
    </w:div>
    <w:div w:id="1902520068">
      <w:bodyDiv w:val="1"/>
      <w:marLeft w:val="0"/>
      <w:marRight w:val="0"/>
      <w:marTop w:val="0"/>
      <w:marBottom w:val="0"/>
      <w:divBdr>
        <w:top w:val="none" w:sz="0" w:space="0" w:color="auto"/>
        <w:left w:val="none" w:sz="0" w:space="0" w:color="auto"/>
        <w:bottom w:val="none" w:sz="0" w:space="0" w:color="auto"/>
        <w:right w:val="none" w:sz="0" w:space="0" w:color="auto"/>
      </w:divBdr>
    </w:div>
    <w:div w:id="2127694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1/Decreto/D10628.htm" TargetMode="External"/><Relationship Id="rId18" Type="http://schemas.openxmlformats.org/officeDocument/2006/relationships/hyperlink" Target="http://www.planalto.gov.br/ccivil_03/_ato2019-2022/2019/decreto/D10030.htm" TargetMode="External"/><Relationship Id="rId26" Type="http://schemas.openxmlformats.org/officeDocument/2006/relationships/hyperlink" Target="http://www.stf.jus.br/portal/peticaoInicial/verPeticaoInicial.asp?base=ADI&amp;documento=&amp;s1=6675&amp;numProcesso=6675" TargetMode="External"/><Relationship Id="rId39" Type="http://schemas.openxmlformats.org/officeDocument/2006/relationships/hyperlink" Target="http://www.stf.jus.br/portal/peticaoInicial/verPeticaoInicial.asp?base=ADI&amp;documento=&amp;s1=6675&amp;numProcesso=6677" TargetMode="External"/><Relationship Id="rId21" Type="http://schemas.openxmlformats.org/officeDocument/2006/relationships/hyperlink" Target="http://www.planalto.gov.br/ccivil_03/_ato2019-2022/2021/Decreto/D10628.htm" TargetMode="External"/><Relationship Id="rId34" Type="http://schemas.openxmlformats.org/officeDocument/2006/relationships/hyperlink" Target="http://www.planalto.gov.br/ccivil_03/_ato2019-2022/2021/Decreto/D10628.htm" TargetMode="External"/><Relationship Id="rId42" Type="http://schemas.openxmlformats.org/officeDocument/2006/relationships/hyperlink" Target="http://www.planalto.gov.br/ccivil_03/_ato2019-2022/2021/Decreto/D10628.htm" TargetMode="External"/><Relationship Id="rId47" Type="http://schemas.openxmlformats.org/officeDocument/2006/relationships/hyperlink" Target="http://www.planalto.gov.br/ccivil_03/LEIS/2003/L10.826.htm" TargetMode="External"/><Relationship Id="rId50" Type="http://schemas.openxmlformats.org/officeDocument/2006/relationships/hyperlink" Target="http://www.planalto.gov.br/ccivil_03/LEIS/2003/L10.826.htm" TargetMode="External"/><Relationship Id="rId55" Type="http://schemas.openxmlformats.org/officeDocument/2006/relationships/hyperlink" Target="http://www.planalto.gov.br/ccivil_03/LEIS/2003/L10.826.htm" TargetMode="External"/><Relationship Id="rId63" Type="http://schemas.openxmlformats.org/officeDocument/2006/relationships/hyperlink" Target="http://www.planalto.gov.br/ccivil_03/LEIS/2003/L10.826.htm" TargetMode="External"/><Relationship Id="rId68" Type="http://schemas.openxmlformats.org/officeDocument/2006/relationships/hyperlink" Target="http://www.planalto.gov.br/ccivil_03/_ato2019-2022/2019/Decreto/D9847.htm" TargetMode="External"/><Relationship Id="rId7" Type="http://schemas.openxmlformats.org/officeDocument/2006/relationships/hyperlink" Target="http://legislacao.planalto.gov.br/legisla/legislacao.nsf/Viw_Identificacao/DEC%209.845-2019?OpenDocument" TargetMode="External"/><Relationship Id="rId2" Type="http://schemas.openxmlformats.org/officeDocument/2006/relationships/styles" Target="styles.xml"/><Relationship Id="rId16" Type="http://schemas.openxmlformats.org/officeDocument/2006/relationships/hyperlink" Target="http://www.planalto.gov.br/ccivil_03/LEIS/2003/L10.826.htm" TargetMode="External"/><Relationship Id="rId29" Type="http://schemas.openxmlformats.org/officeDocument/2006/relationships/hyperlink" Target="http://www.stf.jus.br/portal/peticaoInicial/verPeticaoInicial.asp?base=ADI&amp;documento=&amp;s1=6675&amp;numProcesso=66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9-2022/2019/Decreto/D10030.htm" TargetMode="External"/><Relationship Id="rId24" Type="http://schemas.openxmlformats.org/officeDocument/2006/relationships/hyperlink" Target="http://www.stf.jus.br/portal/peticaoInicial/verPeticaoInicial.asp?base=ADI&amp;documento=&amp;s1=6675&amp;numProcesso=6677" TargetMode="External"/><Relationship Id="rId32" Type="http://schemas.openxmlformats.org/officeDocument/2006/relationships/hyperlink" Target="http://www.stf.jus.br/portal/peticaoInicial/verPeticaoInicial.asp?base=ADI&amp;documento=&amp;s1=6675&amp;numProcesso=6676" TargetMode="External"/><Relationship Id="rId37" Type="http://schemas.openxmlformats.org/officeDocument/2006/relationships/hyperlink" Target="http://www.stf.jus.br/portal/peticaoInicial/verPeticaoInicial.asp?base=ADI&amp;documento=&amp;s1=6675&amp;numProcesso=6675" TargetMode="External"/><Relationship Id="rId40" Type="http://schemas.openxmlformats.org/officeDocument/2006/relationships/hyperlink" Target="http://www.stf.jus.br/portal/peticaoInicial/verPeticaoInicial.asp?base=ADI&amp;documento=&amp;s1=6675&amp;numProcesso=6695" TargetMode="External"/><Relationship Id="rId45" Type="http://schemas.openxmlformats.org/officeDocument/2006/relationships/hyperlink" Target="http://www.planalto.gov.br/ccivil_03/_ato2019-2022/2019/decreto/D10030.htm" TargetMode="External"/><Relationship Id="rId53" Type="http://schemas.openxmlformats.org/officeDocument/2006/relationships/hyperlink" Target="http://www.planalto.gov.br/ccivil_03/LEIS/2003/L10.826.htm" TargetMode="External"/><Relationship Id="rId58" Type="http://schemas.openxmlformats.org/officeDocument/2006/relationships/hyperlink" Target="http://www.planalto.gov.br/ccivil_03/LEIS/2003/L10.826.htm" TargetMode="External"/><Relationship Id="rId66" Type="http://schemas.openxmlformats.org/officeDocument/2006/relationships/hyperlink" Target="http://www.planalto.gov.br/ccivil_03/_ato2019-2022/2019/Decreto/D9847.htm" TargetMode="External"/><Relationship Id="rId5" Type="http://schemas.openxmlformats.org/officeDocument/2006/relationships/footnotes" Target="footnotes.xml"/><Relationship Id="rId15" Type="http://schemas.openxmlformats.org/officeDocument/2006/relationships/hyperlink" Target="http://www.planalto.gov.br/ccivil_03/LEIS/2003/L10.826.htm" TargetMode="External"/><Relationship Id="rId23" Type="http://schemas.openxmlformats.org/officeDocument/2006/relationships/hyperlink" Target="http://www.stf.jus.br/portal/peticaoInicial/verPeticaoInicial.asp?base=ADI&amp;documento=&amp;s1=6675&amp;numProcesso=6676" TargetMode="External"/><Relationship Id="rId28" Type="http://schemas.openxmlformats.org/officeDocument/2006/relationships/hyperlink" Target="http://www.stf.jus.br/portal/peticaoInicial/verPeticaoInicial.asp?base=ADI&amp;documento=&amp;s1=6675&amp;numProcesso=6677" TargetMode="External"/><Relationship Id="rId36" Type="http://schemas.openxmlformats.org/officeDocument/2006/relationships/hyperlink" Target="http://www.planalto.gov.br/ccivil_03/_ato2019-2022/2021/Decreto/D10628.htm" TargetMode="External"/><Relationship Id="rId49" Type="http://schemas.openxmlformats.org/officeDocument/2006/relationships/hyperlink" Target="http://www.planalto.gov.br/ccivil_03/LEIS/2003/L10.826.htm" TargetMode="External"/><Relationship Id="rId57" Type="http://schemas.openxmlformats.org/officeDocument/2006/relationships/hyperlink" Target="http://www.planalto.gov.br/ccivil_03/_ato2019-2022/2021/Decreto/D10628.htm" TargetMode="External"/><Relationship Id="rId61" Type="http://schemas.openxmlformats.org/officeDocument/2006/relationships/hyperlink" Target="http://www.planalto.gov.br/ccivil_03/LEIS/2003/L10.826.htm" TargetMode="External"/><Relationship Id="rId10" Type="http://schemas.openxmlformats.org/officeDocument/2006/relationships/hyperlink" Target="http://www.planalto.gov.br/ccivil_03/_ato2019-2022/2021/Decreto/D10628.htm" TargetMode="External"/><Relationship Id="rId19" Type="http://schemas.openxmlformats.org/officeDocument/2006/relationships/hyperlink" Target="http://www.planalto.gov.br/ccivil_03/_ato2019-2022/2019/decreto/D10030.htm" TargetMode="External"/><Relationship Id="rId31" Type="http://schemas.openxmlformats.org/officeDocument/2006/relationships/hyperlink" Target="http://www.stf.jus.br/portal/peticaoInicial/verPeticaoInicial.asp?base=ADI&amp;documento=&amp;s1=6675&amp;numProcesso=6675" TargetMode="External"/><Relationship Id="rId44" Type="http://schemas.openxmlformats.org/officeDocument/2006/relationships/hyperlink" Target="http://www.planalto.gov.br/ccivil_03/_ato2019-2022/2019/decreto/D10030.htm" TargetMode="External"/><Relationship Id="rId52" Type="http://schemas.openxmlformats.org/officeDocument/2006/relationships/hyperlink" Target="http://www.planalto.gov.br/ccivil_03/LEIS/2003/L10.826.htm" TargetMode="External"/><Relationship Id="rId60" Type="http://schemas.openxmlformats.org/officeDocument/2006/relationships/hyperlink" Target="http://www.planalto.gov.br/ccivil_03/_ato2019-2022/2021/Decreto/D10628.htm" TargetMode="External"/><Relationship Id="rId65" Type="http://schemas.openxmlformats.org/officeDocument/2006/relationships/hyperlink" Target="http://www.planalto.gov.br/ccivil_03/_ato2019-2022/2019/Decreto/D9847.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Decreto/D10030.htm" TargetMode="External"/><Relationship Id="rId14" Type="http://schemas.openxmlformats.org/officeDocument/2006/relationships/hyperlink" Target="http://www.planalto.gov.br/ccivil_03/LEIS/2003/L10.826.htm" TargetMode="External"/><Relationship Id="rId22" Type="http://schemas.openxmlformats.org/officeDocument/2006/relationships/hyperlink" Target="http://www.stf.jus.br/portal/peticaoInicial/verPeticaoInicial.asp?base=ADI&amp;documento=&amp;s1=6675&amp;numProcesso=6675" TargetMode="External"/><Relationship Id="rId27" Type="http://schemas.openxmlformats.org/officeDocument/2006/relationships/hyperlink" Target="http://www.stf.jus.br/portal/peticaoInicial/verPeticaoInicial.asp?base=ADI&amp;documento=&amp;s1=6675&amp;numProcesso=6676" TargetMode="External"/><Relationship Id="rId30" Type="http://schemas.openxmlformats.org/officeDocument/2006/relationships/hyperlink" Target="http://www.planalto.gov.br/ccivil_03/LEIS/2003/L10.826.htm" TargetMode="External"/><Relationship Id="rId35" Type="http://schemas.openxmlformats.org/officeDocument/2006/relationships/hyperlink" Target="http://www.planalto.gov.br/ccivil_03/_ato2019-2022/2021/Decreto/D10628.htm" TargetMode="External"/><Relationship Id="rId43" Type="http://schemas.openxmlformats.org/officeDocument/2006/relationships/hyperlink" Target="http://www.planalto.gov.br/ccivil_03/_ato2019-2022/2021/Decreto/D10628.htm" TargetMode="External"/><Relationship Id="rId48" Type="http://schemas.openxmlformats.org/officeDocument/2006/relationships/hyperlink" Target="http://www.planalto.gov.br/ccivil_03/LEIS/2003/L10.826.htm" TargetMode="External"/><Relationship Id="rId56" Type="http://schemas.openxmlformats.org/officeDocument/2006/relationships/hyperlink" Target="http://www.planalto.gov.br/ccivil_03/_ato2019-2022/2021/Decreto/D10628.htm" TargetMode="External"/><Relationship Id="rId64" Type="http://schemas.openxmlformats.org/officeDocument/2006/relationships/hyperlink" Target="http://www.planalto.gov.br/ccivil_03/LEIS/2003/L10.826.htm" TargetMode="External"/><Relationship Id="rId69" Type="http://schemas.openxmlformats.org/officeDocument/2006/relationships/fontTable" Target="fontTable.xml"/><Relationship Id="rId8" Type="http://schemas.openxmlformats.org/officeDocument/2006/relationships/hyperlink" Target="http://www.planalto.gov.br/ccivil_03/LEIS/2003/L10.826.htm" TargetMode="External"/><Relationship Id="rId51" Type="http://schemas.openxmlformats.org/officeDocument/2006/relationships/hyperlink" Target="http://www.planalto.gov.br/ccivil_03/LEIS/2003/L10.826.htm" TargetMode="External"/><Relationship Id="rId3" Type="http://schemas.openxmlformats.org/officeDocument/2006/relationships/settings" Target="settings.xml"/><Relationship Id="rId12" Type="http://schemas.openxmlformats.org/officeDocument/2006/relationships/hyperlink" Target="http://www.planalto.gov.br/ccivil_03/_ato2019-2022/2021/Decreto/D10628.htm" TargetMode="External"/><Relationship Id="rId17" Type="http://schemas.openxmlformats.org/officeDocument/2006/relationships/hyperlink" Target="http://www.planalto.gov.br/ccivil_03/LEIS/2003/L10.826.htm" TargetMode="External"/><Relationship Id="rId25" Type="http://schemas.openxmlformats.org/officeDocument/2006/relationships/hyperlink" Target="http://www.stf.jus.br/portal/peticaoInicial/verPeticaoInicial.asp?base=ADI&amp;documento=&amp;s1=6675&amp;numProcesso=6695" TargetMode="External"/><Relationship Id="rId33" Type="http://schemas.openxmlformats.org/officeDocument/2006/relationships/hyperlink" Target="http://www.stf.jus.br/portal/peticaoInicial/verPeticaoInicial.asp?base=ADI&amp;documento=&amp;s1=6675&amp;numProcesso=6695" TargetMode="External"/><Relationship Id="rId38" Type="http://schemas.openxmlformats.org/officeDocument/2006/relationships/hyperlink" Target="http://www.stf.jus.br/portal/peticaoInicial/verPeticaoInicial.asp?base=ADI&amp;documento=&amp;s1=6675&amp;numProcesso=6676" TargetMode="External"/><Relationship Id="rId46" Type="http://schemas.openxmlformats.org/officeDocument/2006/relationships/hyperlink" Target="http://www.planalto.gov.br/ccivil_03/_ato2019-2022/2019/decreto/D10030.htm" TargetMode="External"/><Relationship Id="rId59" Type="http://schemas.openxmlformats.org/officeDocument/2006/relationships/hyperlink" Target="http://www.planalto.gov.br/ccivil_03/_ato2019-2022/2021/Decreto/D10628.htm" TargetMode="External"/><Relationship Id="rId67" Type="http://schemas.openxmlformats.org/officeDocument/2006/relationships/hyperlink" Target="http://www.planalto.gov.br/ccivil_03/_ato2019-2022/2019/Decreto/D9847.htm" TargetMode="External"/><Relationship Id="rId20" Type="http://schemas.openxmlformats.org/officeDocument/2006/relationships/hyperlink" Target="http://www.planalto.gov.br/ccivil_03/_ato2019-2022/2021/Decreto/D10628.htm" TargetMode="External"/><Relationship Id="rId41" Type="http://schemas.openxmlformats.org/officeDocument/2006/relationships/hyperlink" Target="http://www.planalto.gov.br/ccivil_03/LEIS/2003/L10.826.htm" TargetMode="External"/><Relationship Id="rId54" Type="http://schemas.openxmlformats.org/officeDocument/2006/relationships/hyperlink" Target="http://www.planalto.gov.br/ccivil_03/_ato2019-2022/2019/decreto/D10030.htm" TargetMode="External"/><Relationship Id="rId62" Type="http://schemas.openxmlformats.org/officeDocument/2006/relationships/hyperlink" Target="http://www.planalto.gov.br/ccivil_03/LEIS/2003/L10.826.htm" TargetMode="External"/><Relationship Id="rId7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3653</Words>
  <Characters>19731</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26</cp:revision>
  <dcterms:created xsi:type="dcterms:W3CDTF">2016-12-30T18:11:00Z</dcterms:created>
  <dcterms:modified xsi:type="dcterms:W3CDTF">2022-04-07T13:11:00Z</dcterms:modified>
</cp:coreProperties>
</file>