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77944" w14:textId="77777777" w:rsidR="00EB3A2F" w:rsidRPr="00AF3F23" w:rsidRDefault="00EB3A2F" w:rsidP="00EB3A2F">
      <w:pPr>
        <w:jc w:val="center"/>
        <w:rPr>
          <w:rFonts w:ascii="Book Antiqua" w:hAnsi="Book Antiqua" w:cs="Times New Roman"/>
          <w:b/>
          <w:sz w:val="19"/>
          <w:szCs w:val="19"/>
        </w:rPr>
      </w:pPr>
      <w:r w:rsidRPr="00AF3F23">
        <w:rPr>
          <w:rFonts w:ascii="Book Antiqua" w:hAnsi="Book Antiqua" w:cs="Times New Roman"/>
          <w:b/>
          <w:sz w:val="19"/>
          <w:szCs w:val="19"/>
        </w:rPr>
        <w:t xml:space="preserve">Regulamenta o Estatuto do Desarmamento – Decreto </w:t>
      </w:r>
      <w:r w:rsidR="00D05ACF" w:rsidRPr="00AF3F23">
        <w:rPr>
          <w:rFonts w:ascii="Book Antiqua" w:hAnsi="Book Antiqua" w:cs="Times New Roman"/>
          <w:b/>
          <w:sz w:val="19"/>
          <w:szCs w:val="19"/>
        </w:rPr>
        <w:t>9.</w:t>
      </w:r>
      <w:r w:rsidR="002E4CFB" w:rsidRPr="00AF3F23">
        <w:rPr>
          <w:rFonts w:ascii="Book Antiqua" w:hAnsi="Book Antiqua" w:cs="Times New Roman"/>
          <w:b/>
          <w:sz w:val="19"/>
          <w:szCs w:val="19"/>
        </w:rPr>
        <w:t>84</w:t>
      </w:r>
      <w:r w:rsidR="009A6955" w:rsidRPr="00AF3F23">
        <w:rPr>
          <w:rFonts w:ascii="Book Antiqua" w:hAnsi="Book Antiqua" w:cs="Times New Roman"/>
          <w:b/>
          <w:sz w:val="19"/>
          <w:szCs w:val="19"/>
        </w:rPr>
        <w:t>6</w:t>
      </w:r>
      <w:r w:rsidR="00D05ACF" w:rsidRPr="00AF3F23">
        <w:rPr>
          <w:rFonts w:ascii="Book Antiqua" w:hAnsi="Book Antiqua" w:cs="Times New Roman"/>
          <w:b/>
          <w:sz w:val="19"/>
          <w:szCs w:val="19"/>
        </w:rPr>
        <w:t>/2019</w:t>
      </w:r>
      <w:r w:rsidRPr="00AF3F23">
        <w:rPr>
          <w:rFonts w:ascii="Book Antiqua" w:hAnsi="Book Antiqua" w:cs="Times New Roman"/>
          <w:b/>
          <w:sz w:val="19"/>
          <w:szCs w:val="19"/>
        </w:rPr>
        <w:t>.</w:t>
      </w:r>
    </w:p>
    <w:p w14:paraId="41C3ED43" w14:textId="77777777" w:rsidR="00EB3A2F" w:rsidRPr="00AF3F23" w:rsidRDefault="00EB3A2F" w:rsidP="00EB3A2F">
      <w:pPr>
        <w:jc w:val="center"/>
        <w:rPr>
          <w:rFonts w:ascii="Book Antiqua" w:hAnsi="Book Antiqua" w:cs="Times New Roman"/>
          <w:b/>
          <w:color w:val="FF0000"/>
          <w:sz w:val="19"/>
          <w:szCs w:val="19"/>
        </w:rPr>
      </w:pPr>
      <w:r w:rsidRPr="00AF3F23">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EB3A2F" w:rsidRPr="009A6955" w14:paraId="42DAA831" w14:textId="77777777" w:rsidTr="00AF3F23">
        <w:trPr>
          <w:trHeight w:hRule="exact" w:val="3736"/>
        </w:trPr>
        <w:tc>
          <w:tcPr>
            <w:tcW w:w="8458" w:type="dxa"/>
            <w:shd w:val="clear" w:color="auto" w:fill="E7E6E6" w:themeFill="background2"/>
          </w:tcPr>
          <w:p w14:paraId="1471E8BA" w14:textId="77777777" w:rsidR="00EB3A2F" w:rsidRPr="00AF3F23" w:rsidRDefault="00EB3A2F" w:rsidP="00EB3A2F">
            <w:pPr>
              <w:jc w:val="both"/>
              <w:rPr>
                <w:rFonts w:ascii="Book Antiqua" w:eastAsia="Times New Roman" w:hAnsi="Book Antiqua" w:cs="Times New Roman"/>
                <w:b/>
                <w:color w:val="FF0000"/>
                <w:sz w:val="18"/>
                <w:szCs w:val="18"/>
                <w:lang w:eastAsia="pt-BR"/>
              </w:rPr>
            </w:pPr>
            <w:r w:rsidRPr="00AF3F23">
              <w:rPr>
                <w:rFonts w:ascii="Book Antiqua" w:eastAsia="Times New Roman" w:hAnsi="Book Antiqua" w:cs="Times New Roman"/>
                <w:b/>
                <w:color w:val="FFFFFF" w:themeColor="background1"/>
                <w:sz w:val="18"/>
                <w:szCs w:val="18"/>
                <w:highlight w:val="black"/>
                <w:lang w:eastAsia="pt-BR"/>
              </w:rPr>
              <w:t>Última atualização legislativa</w:t>
            </w:r>
            <w:r w:rsidRPr="00AF3F23">
              <w:rPr>
                <w:rFonts w:ascii="Book Antiqua" w:eastAsia="Times New Roman" w:hAnsi="Book Antiqua" w:cs="Times New Roman"/>
                <w:b/>
                <w:sz w:val="18"/>
                <w:szCs w:val="18"/>
                <w:lang w:eastAsia="pt-BR"/>
              </w:rPr>
              <w:t xml:space="preserve">: </w:t>
            </w:r>
          </w:p>
          <w:p w14:paraId="70F9E2B0" w14:textId="77777777" w:rsidR="00D05ACF" w:rsidRPr="00AF3F23" w:rsidRDefault="00D05ACF" w:rsidP="00EB3A2F">
            <w:pPr>
              <w:jc w:val="both"/>
              <w:rPr>
                <w:rFonts w:ascii="Book Antiqua" w:eastAsia="Times New Roman" w:hAnsi="Book Antiqua" w:cs="Times New Roman"/>
                <w:b/>
                <w:sz w:val="18"/>
                <w:szCs w:val="18"/>
                <w:lang w:eastAsia="pt-BR"/>
              </w:rPr>
            </w:pPr>
          </w:p>
          <w:p w14:paraId="3D7A5FD7" w14:textId="77777777" w:rsidR="00EB3A2F" w:rsidRPr="00AF3F23" w:rsidRDefault="00EB3A2F" w:rsidP="00EB3A2F">
            <w:pPr>
              <w:jc w:val="both"/>
              <w:rPr>
                <w:rFonts w:ascii="Book Antiqua" w:eastAsia="Times New Roman" w:hAnsi="Book Antiqua" w:cs="Times New Roman"/>
                <w:b/>
                <w:sz w:val="18"/>
                <w:szCs w:val="18"/>
                <w:lang w:eastAsia="pt-BR"/>
              </w:rPr>
            </w:pPr>
            <w:r w:rsidRPr="00AF3F23">
              <w:rPr>
                <w:rFonts w:ascii="Book Antiqua" w:eastAsia="Times New Roman" w:hAnsi="Book Antiqua" w:cs="Times New Roman"/>
                <w:b/>
                <w:color w:val="FFFFFF" w:themeColor="background1"/>
                <w:sz w:val="18"/>
                <w:szCs w:val="18"/>
                <w:highlight w:val="black"/>
                <w:lang w:eastAsia="pt-BR"/>
              </w:rPr>
              <w:t>Última atualização questões de concurso</w:t>
            </w:r>
            <w:r w:rsidRPr="00AF3F23">
              <w:rPr>
                <w:rFonts w:ascii="Book Antiqua" w:eastAsia="Times New Roman" w:hAnsi="Book Antiqua" w:cs="Times New Roman"/>
                <w:b/>
                <w:sz w:val="18"/>
                <w:szCs w:val="18"/>
                <w:lang w:eastAsia="pt-BR"/>
              </w:rPr>
              <w:t xml:space="preserve">: </w:t>
            </w:r>
            <w:r w:rsidR="00857CC5" w:rsidRPr="00AF3F23">
              <w:rPr>
                <w:rFonts w:ascii="Book Antiqua" w:eastAsia="Times New Roman" w:hAnsi="Book Antiqua" w:cs="Times New Roman"/>
                <w:b/>
                <w:color w:val="FF0000"/>
                <w:sz w:val="18"/>
                <w:szCs w:val="18"/>
                <w:lang w:eastAsia="pt-BR"/>
              </w:rPr>
              <w:t>nenhuma.</w:t>
            </w:r>
          </w:p>
          <w:p w14:paraId="1ABB9625" w14:textId="77777777" w:rsidR="00EB3A2F" w:rsidRPr="00AF3F23" w:rsidRDefault="00EB3A2F" w:rsidP="00EB3A2F">
            <w:pPr>
              <w:jc w:val="both"/>
              <w:rPr>
                <w:rFonts w:ascii="Book Antiqua" w:eastAsia="Times New Roman" w:hAnsi="Book Antiqua" w:cs="Times New Roman"/>
                <w:b/>
                <w:sz w:val="18"/>
                <w:szCs w:val="18"/>
                <w:lang w:eastAsia="pt-BR"/>
              </w:rPr>
            </w:pPr>
          </w:p>
          <w:p w14:paraId="297BD785" w14:textId="77777777" w:rsidR="00EB3A2F" w:rsidRPr="00AF3F23" w:rsidRDefault="00EB3A2F" w:rsidP="00EB3A2F">
            <w:pPr>
              <w:jc w:val="both"/>
              <w:rPr>
                <w:rFonts w:ascii="Book Antiqua" w:eastAsia="Times New Roman" w:hAnsi="Book Antiqua" w:cs="Times New Roman"/>
                <w:b/>
                <w:sz w:val="18"/>
                <w:szCs w:val="18"/>
                <w:lang w:eastAsia="pt-BR"/>
              </w:rPr>
            </w:pPr>
            <w:r w:rsidRPr="00AF3F2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F3F23">
              <w:rPr>
                <w:rFonts w:ascii="Book Antiqua" w:eastAsia="Times New Roman" w:hAnsi="Book Antiqua" w:cs="Times New Roman"/>
                <w:b/>
                <w:sz w:val="18"/>
                <w:szCs w:val="18"/>
                <w:lang w:eastAsia="pt-BR"/>
              </w:rPr>
              <w:t>:</w:t>
            </w:r>
          </w:p>
          <w:p w14:paraId="0F07C723" w14:textId="77777777" w:rsidR="00EB3A2F" w:rsidRPr="00AF3F23" w:rsidRDefault="00EB3A2F" w:rsidP="00EB3A2F">
            <w:pPr>
              <w:pStyle w:val="PargrafodaLista"/>
              <w:numPr>
                <w:ilvl w:val="0"/>
                <w:numId w:val="2"/>
              </w:numPr>
              <w:jc w:val="both"/>
              <w:rPr>
                <w:rFonts w:ascii="Book Antiqua" w:eastAsia="Times New Roman" w:hAnsi="Book Antiqua" w:cs="Times New Roman"/>
                <w:b/>
                <w:sz w:val="18"/>
                <w:szCs w:val="18"/>
                <w:lang w:eastAsia="pt-BR"/>
              </w:rPr>
            </w:pPr>
            <w:r w:rsidRPr="00AF3F23">
              <w:rPr>
                <w:rFonts w:ascii="Book Antiqua" w:eastAsia="Times New Roman" w:hAnsi="Book Antiqua" w:cs="Times New Roman"/>
                <w:b/>
                <w:color w:val="FF0000"/>
                <w:sz w:val="18"/>
                <w:szCs w:val="18"/>
                <w:lang w:eastAsia="pt-BR"/>
              </w:rPr>
              <w:t>Cores utilizadas</w:t>
            </w:r>
            <w:r w:rsidRPr="00AF3F23">
              <w:rPr>
                <w:rFonts w:ascii="Book Antiqua" w:eastAsia="Times New Roman" w:hAnsi="Book Antiqua" w:cs="Times New Roman"/>
                <w:b/>
                <w:sz w:val="18"/>
                <w:szCs w:val="18"/>
                <w:lang w:eastAsia="pt-BR"/>
              </w:rPr>
              <w:t>:</w:t>
            </w:r>
          </w:p>
          <w:p w14:paraId="386F3792" w14:textId="77777777" w:rsidR="00EB3A2F" w:rsidRPr="00AF3F23"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AF3F23">
              <w:rPr>
                <w:rFonts w:ascii="Book Antiqua" w:eastAsia="Times New Roman" w:hAnsi="Book Antiqua" w:cs="Times New Roman"/>
                <w:b/>
                <w:sz w:val="18"/>
                <w:szCs w:val="18"/>
                <w:highlight w:val="green"/>
                <w:lang w:eastAsia="pt-BR"/>
              </w:rPr>
              <w:t>EM VERDE</w:t>
            </w:r>
            <w:r w:rsidRPr="00AF3F23">
              <w:rPr>
                <w:rFonts w:ascii="Book Antiqua" w:eastAsia="Times New Roman" w:hAnsi="Book Antiqua" w:cs="Times New Roman"/>
                <w:sz w:val="18"/>
                <w:szCs w:val="18"/>
                <w:lang w:eastAsia="pt-BR"/>
              </w:rPr>
              <w:t>: destaque aos títulos, capítulos, bem como outras informações relevantes, etc.</w:t>
            </w:r>
          </w:p>
          <w:p w14:paraId="1DB3BC2D" w14:textId="77777777" w:rsidR="00EB3A2F" w:rsidRPr="00AF3F23"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AF3F23">
              <w:rPr>
                <w:rFonts w:ascii="Book Antiqua" w:eastAsia="Times New Roman" w:hAnsi="Book Antiqua" w:cs="Times New Roman"/>
                <w:b/>
                <w:sz w:val="18"/>
                <w:szCs w:val="18"/>
                <w:highlight w:val="magenta"/>
                <w:lang w:eastAsia="pt-BR"/>
              </w:rPr>
              <w:t>EM ROXO</w:t>
            </w:r>
            <w:r w:rsidRPr="00AF3F23">
              <w:rPr>
                <w:rFonts w:ascii="Book Antiqua" w:eastAsia="Times New Roman" w:hAnsi="Book Antiqua" w:cs="Times New Roman"/>
                <w:sz w:val="18"/>
                <w:szCs w:val="18"/>
                <w:lang w:eastAsia="pt-BR"/>
              </w:rPr>
              <w:t>: artigos que já foram cobrados em provas de concurso.</w:t>
            </w:r>
          </w:p>
          <w:p w14:paraId="1346BF8D" w14:textId="77777777" w:rsidR="00EB3A2F" w:rsidRPr="00AF3F23"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AF3F23">
              <w:rPr>
                <w:rFonts w:ascii="Book Antiqua" w:eastAsia="Times New Roman" w:hAnsi="Book Antiqua" w:cs="Times New Roman"/>
                <w:b/>
                <w:sz w:val="18"/>
                <w:szCs w:val="18"/>
                <w:highlight w:val="cyan"/>
                <w:lang w:eastAsia="pt-BR"/>
              </w:rPr>
              <w:t>EM AZUL</w:t>
            </w:r>
            <w:r w:rsidRPr="00AF3F2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57CC5" w:rsidRPr="00AF3F23">
              <w:rPr>
                <w:rFonts w:ascii="Book Antiqua" w:eastAsia="Times New Roman" w:hAnsi="Book Antiqua" w:cs="Times New Roman"/>
                <w:sz w:val="18"/>
                <w:szCs w:val="18"/>
                <w:lang w:eastAsia="pt-BR"/>
              </w:rPr>
              <w:t xml:space="preserve">no </w:t>
            </w:r>
            <w:r w:rsidR="00D05ACF" w:rsidRPr="00AF3F23">
              <w:rPr>
                <w:rFonts w:ascii="Book Antiqua" w:eastAsia="Times New Roman" w:hAnsi="Book Antiqua" w:cs="Times New Roman"/>
                <w:sz w:val="18"/>
                <w:szCs w:val="18"/>
                <w:lang w:eastAsia="pt-BR"/>
              </w:rPr>
              <w:t>Decreto 9.</w:t>
            </w:r>
            <w:r w:rsidR="002E4CFB" w:rsidRPr="00AF3F23">
              <w:rPr>
                <w:rFonts w:ascii="Book Antiqua" w:eastAsia="Times New Roman" w:hAnsi="Book Antiqua" w:cs="Times New Roman"/>
                <w:sz w:val="18"/>
                <w:szCs w:val="18"/>
                <w:lang w:eastAsia="pt-BR"/>
              </w:rPr>
              <w:t>84</w:t>
            </w:r>
            <w:r w:rsidR="009A6955" w:rsidRPr="00AF3F23">
              <w:rPr>
                <w:rFonts w:ascii="Book Antiqua" w:eastAsia="Times New Roman" w:hAnsi="Book Antiqua" w:cs="Times New Roman"/>
                <w:sz w:val="18"/>
                <w:szCs w:val="18"/>
                <w:lang w:eastAsia="pt-BR"/>
              </w:rPr>
              <w:t>6</w:t>
            </w:r>
            <w:r w:rsidR="00D05ACF" w:rsidRPr="00AF3F23">
              <w:rPr>
                <w:rFonts w:ascii="Book Antiqua" w:eastAsia="Times New Roman" w:hAnsi="Book Antiqua" w:cs="Times New Roman"/>
                <w:sz w:val="18"/>
                <w:szCs w:val="18"/>
                <w:lang w:eastAsia="pt-BR"/>
              </w:rPr>
              <w:t>/2019</w:t>
            </w:r>
            <w:r w:rsidRPr="00AF3F23">
              <w:rPr>
                <w:rFonts w:ascii="Book Antiqua" w:eastAsia="Times New Roman" w:hAnsi="Book Antiqua" w:cs="Times New Roman"/>
                <w:sz w:val="18"/>
                <w:szCs w:val="18"/>
                <w:lang w:eastAsia="pt-BR"/>
              </w:rPr>
              <w:t>).</w:t>
            </w:r>
          </w:p>
          <w:p w14:paraId="1C2F365A" w14:textId="77777777" w:rsidR="00EB3A2F" w:rsidRPr="00AF3F23"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AF3F23">
              <w:rPr>
                <w:rFonts w:ascii="Book Antiqua" w:eastAsia="Times New Roman" w:hAnsi="Book Antiqua" w:cs="Times New Roman"/>
                <w:b/>
                <w:sz w:val="18"/>
                <w:szCs w:val="18"/>
                <w:highlight w:val="yellow"/>
                <w:lang w:eastAsia="pt-BR"/>
              </w:rPr>
              <w:t>EM AMARELO</w:t>
            </w:r>
            <w:r w:rsidRPr="00AF3F23">
              <w:rPr>
                <w:rFonts w:ascii="Book Antiqua" w:eastAsia="Times New Roman" w:hAnsi="Book Antiqua" w:cs="Times New Roman"/>
                <w:sz w:val="18"/>
                <w:szCs w:val="18"/>
                <w:lang w:eastAsia="pt-BR"/>
              </w:rPr>
              <w:t>: destaques importantes (ex.: critério pessoal)</w:t>
            </w:r>
          </w:p>
          <w:p w14:paraId="5A44E207" w14:textId="77777777" w:rsidR="00EB3A2F" w:rsidRPr="00AF3F23" w:rsidRDefault="00EB3A2F" w:rsidP="00EB3A2F">
            <w:pPr>
              <w:jc w:val="both"/>
              <w:rPr>
                <w:rFonts w:ascii="Book Antiqua" w:eastAsia="Times New Roman" w:hAnsi="Book Antiqua" w:cs="Times New Roman"/>
                <w:sz w:val="18"/>
                <w:szCs w:val="18"/>
                <w:lang w:eastAsia="pt-BR"/>
              </w:rPr>
            </w:pPr>
          </w:p>
          <w:p w14:paraId="1F9FFD63" w14:textId="77777777" w:rsidR="00EB3A2F" w:rsidRPr="00AF3F23" w:rsidRDefault="00EB3A2F" w:rsidP="00EB3A2F">
            <w:pPr>
              <w:pStyle w:val="PargrafodaLista"/>
              <w:numPr>
                <w:ilvl w:val="0"/>
                <w:numId w:val="2"/>
              </w:numPr>
              <w:jc w:val="both"/>
              <w:rPr>
                <w:rFonts w:ascii="Book Antiqua" w:eastAsia="Times New Roman" w:hAnsi="Book Antiqua" w:cs="Times New Roman"/>
                <w:sz w:val="18"/>
                <w:szCs w:val="18"/>
                <w:lang w:eastAsia="pt-BR"/>
              </w:rPr>
            </w:pPr>
            <w:r w:rsidRPr="00AF3F23">
              <w:rPr>
                <w:rFonts w:ascii="Book Antiqua" w:eastAsia="Times New Roman" w:hAnsi="Book Antiqua" w:cs="Times New Roman"/>
                <w:b/>
                <w:color w:val="FF0000"/>
                <w:sz w:val="18"/>
                <w:szCs w:val="18"/>
                <w:lang w:eastAsia="pt-BR"/>
              </w:rPr>
              <w:t>Siglas utilizadas</w:t>
            </w:r>
            <w:r w:rsidRPr="00AF3F23">
              <w:rPr>
                <w:rFonts w:ascii="Book Antiqua" w:eastAsia="Times New Roman" w:hAnsi="Book Antiqua" w:cs="Times New Roman"/>
                <w:sz w:val="18"/>
                <w:szCs w:val="18"/>
                <w:lang w:eastAsia="pt-BR"/>
              </w:rPr>
              <w:t>:</w:t>
            </w:r>
          </w:p>
          <w:p w14:paraId="57C88672" w14:textId="77777777" w:rsidR="00EB3A2F" w:rsidRPr="009A6955" w:rsidRDefault="00EB3A2F" w:rsidP="00EB3A2F">
            <w:pPr>
              <w:pStyle w:val="PargrafodaLista"/>
              <w:numPr>
                <w:ilvl w:val="0"/>
                <w:numId w:val="3"/>
              </w:numPr>
              <w:jc w:val="both"/>
              <w:rPr>
                <w:rFonts w:ascii="Book Antiqua" w:eastAsia="Times New Roman" w:hAnsi="Book Antiqua" w:cs="Times New Roman"/>
                <w:sz w:val="20"/>
                <w:szCs w:val="20"/>
                <w:lang w:eastAsia="pt-BR"/>
              </w:rPr>
            </w:pPr>
            <w:r w:rsidRPr="00AF3F23">
              <w:rPr>
                <w:rFonts w:ascii="Book Antiqua" w:eastAsia="Times New Roman" w:hAnsi="Book Antiqua" w:cs="Times New Roman"/>
                <w:b/>
                <w:sz w:val="18"/>
                <w:szCs w:val="18"/>
                <w:lang w:eastAsia="pt-BR"/>
              </w:rPr>
              <w:t>MP (concursos do Ministério Público); M ou TJPR (concursos da Magistratura); BL (base legal), etc.</w:t>
            </w:r>
          </w:p>
        </w:tc>
      </w:tr>
    </w:tbl>
    <w:p w14:paraId="59734567" w14:textId="77777777" w:rsidR="009A6955" w:rsidRPr="00AF3F23" w:rsidRDefault="005E46C9" w:rsidP="009A6955">
      <w:pPr>
        <w:spacing w:before="300" w:after="300" w:line="240" w:lineRule="auto"/>
        <w:jc w:val="center"/>
        <w:rPr>
          <w:rFonts w:ascii="Book Antiqua" w:eastAsia="Times New Roman" w:hAnsi="Book Antiqua" w:cs="Times New Roman"/>
          <w:sz w:val="19"/>
          <w:szCs w:val="19"/>
          <w:lang w:eastAsia="pt-BR"/>
        </w:rPr>
      </w:pPr>
      <w:hyperlink r:id="rId7" w:history="1">
        <w:r w:rsidR="009A6955" w:rsidRPr="00AF3F23">
          <w:rPr>
            <w:rFonts w:ascii="Book Antiqua" w:eastAsia="Times New Roman" w:hAnsi="Book Antiqua" w:cs="Arial"/>
            <w:b/>
            <w:bCs/>
            <w:color w:val="000080"/>
            <w:sz w:val="19"/>
            <w:szCs w:val="19"/>
            <w:u w:val="single"/>
            <w:lang w:eastAsia="pt-BR"/>
          </w:rPr>
          <w:t xml:space="preserve">DECRETO Nº 9.846, DE 25 DE JUNHO DE 2019 </w:t>
        </w:r>
      </w:hyperlink>
    </w:p>
    <w:tbl>
      <w:tblPr>
        <w:tblW w:w="5001" w:type="pct"/>
        <w:jc w:val="center"/>
        <w:tblCellSpacing w:w="0" w:type="dxa"/>
        <w:tblCellMar>
          <w:left w:w="0" w:type="dxa"/>
          <w:right w:w="0" w:type="dxa"/>
        </w:tblCellMar>
        <w:tblLook w:val="04A0" w:firstRow="1" w:lastRow="0" w:firstColumn="1" w:lastColumn="0" w:noHBand="0" w:noVBand="1"/>
      </w:tblPr>
      <w:tblGrid>
        <w:gridCol w:w="2126"/>
        <w:gridCol w:w="6380"/>
      </w:tblGrid>
      <w:tr w:rsidR="009A6955" w:rsidRPr="009A6955" w14:paraId="526EABA3" w14:textId="77777777" w:rsidTr="00AF3F23">
        <w:trPr>
          <w:tblCellSpacing w:w="0" w:type="dxa"/>
          <w:jc w:val="center"/>
        </w:trPr>
        <w:tc>
          <w:tcPr>
            <w:tcW w:w="1250" w:type="pct"/>
            <w:vAlign w:val="center"/>
            <w:hideMark/>
          </w:tcPr>
          <w:p w14:paraId="363A65F2" w14:textId="77777777" w:rsidR="009A6955" w:rsidRPr="00AF3F23" w:rsidRDefault="009A6955" w:rsidP="009A6955">
            <w:pPr>
              <w:spacing w:after="0" w:line="240" w:lineRule="auto"/>
              <w:rPr>
                <w:rFonts w:ascii="Book Antiqua" w:eastAsia="Times New Roman" w:hAnsi="Book Antiqua" w:cs="Times New Roman"/>
                <w:sz w:val="18"/>
                <w:szCs w:val="18"/>
                <w:lang w:eastAsia="pt-BR"/>
              </w:rPr>
            </w:pPr>
            <w:r w:rsidRPr="00AF3F23">
              <w:rPr>
                <w:rFonts w:ascii="Book Antiqua" w:eastAsia="Times New Roman" w:hAnsi="Book Antiqua" w:cs="Times New Roman"/>
                <w:sz w:val="18"/>
                <w:szCs w:val="18"/>
                <w:lang w:eastAsia="pt-BR"/>
              </w:rPr>
              <w:t> </w:t>
            </w:r>
          </w:p>
        </w:tc>
        <w:tc>
          <w:tcPr>
            <w:tcW w:w="3750" w:type="pct"/>
            <w:vAlign w:val="center"/>
            <w:hideMark/>
          </w:tcPr>
          <w:p w14:paraId="7965D378" w14:textId="77777777" w:rsidR="009A6955" w:rsidRPr="00AF3F23" w:rsidRDefault="009A6955" w:rsidP="009A6955">
            <w:pPr>
              <w:spacing w:before="100" w:beforeAutospacing="1" w:after="100" w:afterAutospacing="1" w:line="240" w:lineRule="auto"/>
              <w:jc w:val="both"/>
              <w:rPr>
                <w:rFonts w:ascii="Book Antiqua" w:eastAsia="Times New Roman" w:hAnsi="Book Antiqua" w:cs="Times New Roman"/>
                <w:sz w:val="18"/>
                <w:szCs w:val="18"/>
                <w:lang w:eastAsia="pt-BR"/>
              </w:rPr>
            </w:pPr>
            <w:r w:rsidRPr="00AF3F23">
              <w:rPr>
                <w:rFonts w:ascii="Book Antiqua" w:eastAsia="Times New Roman" w:hAnsi="Book Antiqua" w:cs="Arial"/>
                <w:color w:val="800000"/>
                <w:sz w:val="18"/>
                <w:szCs w:val="18"/>
                <w:lang w:eastAsia="pt-BR"/>
              </w:rPr>
              <w:t>Regulamenta a Lei nº 10.826, de 22 de dezembro de 2003, para dispor sobre o registro, o cadastro e a aquisição de armas e de munições por caçadores, colecionadores e atiradores.</w:t>
            </w:r>
          </w:p>
        </w:tc>
      </w:tr>
    </w:tbl>
    <w:p w14:paraId="7ABB6E98"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b/>
          <w:bCs/>
          <w:sz w:val="19"/>
          <w:szCs w:val="19"/>
          <w:lang w:eastAsia="pt-BR"/>
        </w:rPr>
        <w:t>O PRESIDENTE DA REPÚBLICA</w:t>
      </w:r>
      <w:r w:rsidRPr="00AF3F23">
        <w:rPr>
          <w:rFonts w:ascii="Book Antiqua" w:eastAsia="Times New Roman" w:hAnsi="Book Antiqua" w:cs="Arial"/>
          <w:sz w:val="19"/>
          <w:szCs w:val="19"/>
          <w:lang w:eastAsia="pt-BR"/>
        </w:rPr>
        <w:t xml:space="preserve">, no uso da atribuição que lhe confere o art. 84, </w:t>
      </w:r>
      <w:r w:rsidRPr="00AF3F23">
        <w:rPr>
          <w:rFonts w:ascii="Book Antiqua" w:eastAsia="Times New Roman" w:hAnsi="Book Antiqua" w:cs="Arial"/>
          <w:b/>
          <w:bCs/>
          <w:sz w:val="19"/>
          <w:szCs w:val="19"/>
          <w:lang w:eastAsia="pt-BR"/>
        </w:rPr>
        <w:t>caput</w:t>
      </w:r>
      <w:r w:rsidRPr="00AF3F23">
        <w:rPr>
          <w:rFonts w:ascii="Book Antiqua" w:eastAsia="Times New Roman" w:hAnsi="Book Antiqua" w:cs="Arial"/>
          <w:sz w:val="19"/>
          <w:szCs w:val="19"/>
          <w:lang w:eastAsia="pt-BR"/>
        </w:rPr>
        <w:t>, inciso IV, da Constituição, e tendo em vista o disposto na Lei nº 10.826, de 22 de dezembro de 2003, </w:t>
      </w:r>
    </w:p>
    <w:p w14:paraId="038EAA05"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b/>
          <w:bCs/>
          <w:sz w:val="19"/>
          <w:szCs w:val="19"/>
          <w:lang w:eastAsia="pt-BR"/>
        </w:rPr>
        <w:t>DECRETA:</w:t>
      </w:r>
      <w:r w:rsidRPr="00AF3F23">
        <w:rPr>
          <w:rFonts w:ascii="Book Antiqua" w:eastAsia="Times New Roman" w:hAnsi="Book Antiqua" w:cs="Arial"/>
          <w:sz w:val="19"/>
          <w:szCs w:val="19"/>
          <w:lang w:eastAsia="pt-BR"/>
        </w:rPr>
        <w:t> </w:t>
      </w:r>
    </w:p>
    <w:p w14:paraId="131D2B68"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AF3F23">
        <w:rPr>
          <w:rFonts w:ascii="Book Antiqua" w:eastAsia="Times New Roman" w:hAnsi="Book Antiqua" w:cs="Arial"/>
          <w:sz w:val="19"/>
          <w:szCs w:val="19"/>
          <w:lang w:eastAsia="pt-BR"/>
        </w:rPr>
        <w:t xml:space="preserve">Art. 1º  Este Decreto regulamenta a </w:t>
      </w:r>
      <w:hyperlink r:id="rId8" w:history="1">
        <w:r w:rsidRPr="00AF3F23">
          <w:rPr>
            <w:rFonts w:ascii="Book Antiqua" w:eastAsia="Times New Roman" w:hAnsi="Book Antiqua" w:cs="Arial"/>
            <w:color w:val="0000FF"/>
            <w:sz w:val="19"/>
            <w:szCs w:val="19"/>
            <w:u w:val="single"/>
            <w:lang w:eastAsia="pt-BR"/>
          </w:rPr>
          <w:t>Lei nº 10.826, de 22 de dezembro de 2003</w:t>
        </w:r>
      </w:hyperlink>
      <w:r w:rsidRPr="00AF3F23">
        <w:rPr>
          <w:rFonts w:ascii="Book Antiqua" w:eastAsia="Times New Roman" w:hAnsi="Book Antiqua" w:cs="Arial"/>
          <w:sz w:val="19"/>
          <w:szCs w:val="19"/>
          <w:lang w:eastAsia="pt-BR"/>
        </w:rPr>
        <w:t>, com o objetivo de estabelecer regras e procedimentos para o registro, o cadastro e a aquisição de armas e de munições por caçadores, colecionadores e atiradores.</w:t>
      </w:r>
    </w:p>
    <w:p w14:paraId="24F5CACF" w14:textId="48D32496"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As armas de fogo dos acervos de colecionadores, atiradores e caçadores serão cadastradas no Sistema de Gerenciamento Militar de Armas - Sigma. </w:t>
      </w:r>
      <w:hyperlink r:id="rId9" w:anchor="art1" w:history="1">
        <w:r w:rsidRPr="00AF3F23">
          <w:rPr>
            <w:rStyle w:val="Hyperlink"/>
            <w:rFonts w:ascii="Book Antiqua" w:eastAsia="Times New Roman" w:hAnsi="Book Antiqua" w:cs="Arial"/>
            <w:sz w:val="19"/>
            <w:szCs w:val="19"/>
            <w:lang w:eastAsia="pt-BR"/>
          </w:rPr>
          <w:t>(Redação dada pelo Decreto nº 10.629, de 2021)</w:t>
        </w:r>
      </w:hyperlink>
    </w:p>
    <w:p w14:paraId="45C22A31"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O Certificado de Registro de Colecionador, Atirador e Caçador expedido pelo Comando do Exército, terá validade de dez anos.</w:t>
      </w:r>
    </w:p>
    <w:p w14:paraId="44D9834D"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A expedição e a renovação do Certificado de Registro de Colecionador, Atirador e Caçador e os registros de propriedade de armas de fogo, as transferências, o lançamento e a alteração de dados no Sigma serão realizados diretamente no Serviço de Fiscalização de Produtos Controlados das Organizações Militares, de forma descentralizada, em cada Região Militar, por meio de ato do responsável pelo setor, com taxas e procedimentos uniformes a serem estabelecidos em ato do Comandante do Exército.</w:t>
      </w:r>
    </w:p>
    <w:p w14:paraId="678EF138"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xml:space="preserve">§ 4º  O protocolo do pedido de renovação do Certificado de Registro de Colecionador, Atirador e Caçador, realizado no prazo legal e perante a autoridade competente, concederá provisoriamente ao seu requerente os direitos inerentes ao Certificado de Registro original </w:t>
      </w:r>
      <w:proofErr w:type="spellStart"/>
      <w:r w:rsidRPr="00AF3F23">
        <w:rPr>
          <w:rFonts w:ascii="Book Antiqua" w:eastAsia="Times New Roman" w:hAnsi="Book Antiqua" w:cs="Arial"/>
          <w:sz w:val="19"/>
          <w:szCs w:val="19"/>
          <w:lang w:eastAsia="pt-BR"/>
        </w:rPr>
        <w:t>at</w:t>
      </w:r>
      <w:proofErr w:type="spellEnd"/>
      <w:r w:rsidRPr="00AF3F23">
        <w:rPr>
          <w:rFonts w:ascii="Book Antiqua" w:eastAsia="Times New Roman" w:hAnsi="Book Antiqua" w:cs="Arial"/>
          <w:sz w:val="19"/>
          <w:szCs w:val="19"/>
          <w:lang w:val="fr-FR" w:eastAsia="pt-BR"/>
        </w:rPr>
        <w:t xml:space="preserve">é </w:t>
      </w:r>
      <w:r w:rsidRPr="00AF3F23">
        <w:rPr>
          <w:rFonts w:ascii="Book Antiqua" w:eastAsia="Times New Roman" w:hAnsi="Book Antiqua" w:cs="Arial"/>
          <w:sz w:val="19"/>
          <w:szCs w:val="19"/>
          <w:lang w:eastAsia="pt-BR"/>
        </w:rPr>
        <w:t>que o seu pedido seja apreciado.</w:t>
      </w:r>
    </w:p>
    <w:p w14:paraId="21A84C35" w14:textId="0077E9B6"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AF3F23">
        <w:rPr>
          <w:rFonts w:ascii="Book Antiqua" w:eastAsia="Times New Roman" w:hAnsi="Book Antiqua" w:cs="Arial"/>
          <w:color w:val="000000"/>
          <w:sz w:val="19"/>
          <w:szCs w:val="19"/>
          <w:lang w:eastAsia="pt-BR"/>
        </w:rPr>
        <w:t>Art. 2º Para fins do disposto neste Decreto, são adotadas as definições e classificações constantes do </w:t>
      </w:r>
      <w:hyperlink r:id="rId10" w:anchor="anexo1" w:history="1">
        <w:r w:rsidRPr="00AF3F23">
          <w:rPr>
            <w:rStyle w:val="Hyperlink"/>
            <w:rFonts w:ascii="Book Antiqua" w:eastAsia="Times New Roman" w:hAnsi="Book Antiqua" w:cs="Arial"/>
            <w:sz w:val="19"/>
            <w:szCs w:val="19"/>
            <w:lang w:eastAsia="pt-BR"/>
          </w:rPr>
          <w:t>Anexo I ao Decreto nº 10.030, de 30 de setembro de 2019 </w:t>
        </w:r>
      </w:hyperlink>
      <w:r w:rsidRPr="00AF3F23">
        <w:rPr>
          <w:rFonts w:ascii="Book Antiqua" w:eastAsia="Times New Roman" w:hAnsi="Book Antiqua" w:cs="Arial"/>
          <w:color w:val="000000"/>
          <w:sz w:val="19"/>
          <w:szCs w:val="19"/>
          <w:lang w:eastAsia="pt-BR"/>
        </w:rPr>
        <w:t>.         </w:t>
      </w:r>
      <w:hyperlink r:id="rId11" w:anchor="art1" w:history="1">
        <w:r w:rsidRPr="00AF3F23">
          <w:rPr>
            <w:rStyle w:val="Hyperlink"/>
            <w:rFonts w:ascii="Book Antiqua" w:eastAsia="Times New Roman" w:hAnsi="Book Antiqua" w:cs="Arial"/>
            <w:sz w:val="19"/>
            <w:szCs w:val="19"/>
            <w:lang w:eastAsia="pt-BR"/>
          </w:rPr>
          <w:t>(Redação dada pelo Decreto nº 10.629, de 2021)</w:t>
        </w:r>
      </w:hyperlink>
    </w:p>
    <w:p w14:paraId="1C28F2AE" w14:textId="22FC4E60"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F3F23">
        <w:rPr>
          <w:rFonts w:ascii="Book Antiqua" w:eastAsia="Times New Roman" w:hAnsi="Book Antiqua" w:cs="Arial"/>
          <w:color w:val="000000"/>
          <w:sz w:val="19"/>
          <w:szCs w:val="19"/>
          <w:lang w:eastAsia="pt-BR"/>
        </w:rPr>
        <w:t>Parágrafo único.  O Comando do Exército estabelecerá os parâmetros de aferição e a listagem dos calibres nominais que se enquadrem nos limites estabelecidos nos incisos I, II e IV do </w:t>
      </w:r>
      <w:r w:rsidRPr="00AF3F23">
        <w:rPr>
          <w:rFonts w:ascii="Book Antiqua" w:eastAsia="Times New Roman" w:hAnsi="Book Antiqua" w:cs="Arial"/>
          <w:b/>
          <w:bCs/>
          <w:color w:val="000000"/>
          <w:sz w:val="19"/>
          <w:szCs w:val="19"/>
          <w:lang w:eastAsia="pt-BR"/>
        </w:rPr>
        <w:t>caput </w:t>
      </w:r>
      <w:r w:rsidRPr="00AF3F23">
        <w:rPr>
          <w:rFonts w:ascii="Book Antiqua" w:eastAsia="Times New Roman" w:hAnsi="Book Antiqua" w:cs="Arial"/>
          <w:color w:val="000000"/>
          <w:sz w:val="19"/>
          <w:szCs w:val="19"/>
          <w:lang w:eastAsia="pt-BR"/>
        </w:rPr>
        <w:t xml:space="preserve">do </w:t>
      </w:r>
      <w:r w:rsidRPr="00AF3F23">
        <w:rPr>
          <w:rFonts w:ascii="Book Antiqua" w:eastAsia="Times New Roman" w:hAnsi="Book Antiqua" w:cs="Arial"/>
          <w:color w:val="000000"/>
          <w:sz w:val="19"/>
          <w:szCs w:val="19"/>
          <w:lang w:eastAsia="pt-BR"/>
        </w:rPr>
        <w:lastRenderedPageBreak/>
        <w:t>parágrafo único do </w:t>
      </w:r>
      <w:hyperlink r:id="rId12" w:anchor="anexo1art3" w:history="1">
        <w:r w:rsidRPr="00AF3F23">
          <w:rPr>
            <w:rStyle w:val="Hyperlink"/>
            <w:rFonts w:ascii="Book Antiqua" w:eastAsia="Times New Roman" w:hAnsi="Book Antiqua" w:cs="Arial"/>
            <w:sz w:val="19"/>
            <w:szCs w:val="19"/>
            <w:lang w:eastAsia="pt-BR"/>
          </w:rPr>
          <w:t>art. 3º do Anexo I ao Decreto 10.030, de 2019 </w:t>
        </w:r>
      </w:hyperlink>
      <w:r w:rsidRPr="00AF3F23">
        <w:rPr>
          <w:rFonts w:ascii="Book Antiqua" w:eastAsia="Times New Roman" w:hAnsi="Book Antiqua" w:cs="Arial"/>
          <w:color w:val="000000"/>
          <w:sz w:val="19"/>
          <w:szCs w:val="19"/>
          <w:lang w:eastAsia="pt-BR"/>
        </w:rPr>
        <w:t>, no prazo de sessenta dias, contado da data de publicação deste Decreto.       </w:t>
      </w:r>
      <w:hyperlink r:id="rId13" w:anchor="art1" w:history="1">
        <w:r w:rsidRPr="00AF3F23">
          <w:rPr>
            <w:rStyle w:val="Hyperlink"/>
            <w:rFonts w:ascii="Book Antiqua" w:eastAsia="Times New Roman" w:hAnsi="Book Antiqua" w:cs="Arial"/>
            <w:sz w:val="19"/>
            <w:szCs w:val="19"/>
            <w:lang w:eastAsia="pt-BR"/>
          </w:rPr>
          <w:t>(Redação dada pelo Decreto nº 10.629, de 2021)</w:t>
        </w:r>
      </w:hyperlink>
    </w:p>
    <w:p w14:paraId="17400354"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A14AE3">
        <w:rPr>
          <w:rFonts w:ascii="Book Antiqua" w:eastAsia="Times New Roman" w:hAnsi="Book Antiqua" w:cs="Arial"/>
          <w:sz w:val="19"/>
          <w:szCs w:val="19"/>
          <w:lang w:eastAsia="pt-BR"/>
        </w:rPr>
        <w:t>Art. 3 º A aquisição de arma de fogo de porte e de arma de fogo portátil por colecionadores, atiradores e caçadores estará condicionada aos seguintes limites:       </w:t>
      </w:r>
      <w:hyperlink r:id="rId14" w:anchor="art1" w:history="1">
        <w:r w:rsidRPr="00A14AE3">
          <w:rPr>
            <w:rStyle w:val="Hyperlink"/>
            <w:rFonts w:ascii="Book Antiqua" w:eastAsia="Times New Roman" w:hAnsi="Book Antiqua" w:cs="Arial"/>
            <w:sz w:val="19"/>
            <w:szCs w:val="19"/>
            <w:lang w:eastAsia="pt-BR"/>
          </w:rPr>
          <w:t>(Redação dada pelo Decreto nº 10.629, de 2021)</w:t>
        </w:r>
      </w:hyperlink>
      <w:r w:rsidRPr="00A14AE3">
        <w:rPr>
          <w:rFonts w:ascii="Book Antiqua" w:eastAsia="Times New Roman" w:hAnsi="Book Antiqua" w:cs="Arial"/>
          <w:sz w:val="19"/>
          <w:szCs w:val="19"/>
          <w:lang w:eastAsia="pt-BR"/>
        </w:rPr>
        <w:t>   </w:t>
      </w:r>
      <w:hyperlink r:id="rId15"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16"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17"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18" w:history="1">
        <w:r w:rsidRPr="00A14AE3">
          <w:rPr>
            <w:rStyle w:val="Hyperlink"/>
            <w:rFonts w:ascii="Book Antiqua" w:eastAsia="Times New Roman" w:hAnsi="Book Antiqua" w:cs="Arial"/>
            <w:sz w:val="19"/>
            <w:szCs w:val="19"/>
            <w:lang w:eastAsia="pt-BR"/>
          </w:rPr>
          <w:t>(Vide ADIN 6677)</w:t>
        </w:r>
      </w:hyperlink>
      <w:r w:rsidRPr="00A14AE3">
        <w:rPr>
          <w:rFonts w:ascii="Book Antiqua" w:eastAsia="Times New Roman" w:hAnsi="Book Antiqua" w:cs="Arial"/>
          <w:sz w:val="19"/>
          <w:szCs w:val="19"/>
          <w:lang w:eastAsia="pt-BR"/>
        </w:rPr>
        <w:t>       </w:t>
      </w:r>
      <w:hyperlink r:id="rId19" w:history="1">
        <w:r w:rsidRPr="00A14AE3">
          <w:rPr>
            <w:rStyle w:val="Hyperlink"/>
            <w:rFonts w:ascii="Book Antiqua" w:eastAsia="Times New Roman" w:hAnsi="Book Antiqua" w:cs="Arial"/>
            <w:sz w:val="19"/>
            <w:szCs w:val="19"/>
            <w:lang w:eastAsia="pt-BR"/>
          </w:rPr>
          <w:t> (Vide ADIN 6695)</w:t>
        </w:r>
      </w:hyperlink>
    </w:p>
    <w:p w14:paraId="0DCC7E71"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 w:name="art3i"/>
      <w:bookmarkEnd w:id="3"/>
      <w:r w:rsidRPr="00A14AE3">
        <w:rPr>
          <w:rFonts w:ascii="Book Antiqua" w:eastAsia="Times New Roman" w:hAnsi="Book Antiqua" w:cs="Arial"/>
          <w:sz w:val="19"/>
          <w:szCs w:val="19"/>
          <w:lang w:val="pt-PT" w:eastAsia="pt-BR"/>
        </w:rPr>
        <w:t>I - para armas de uso permitido:    </w:t>
      </w:r>
      <w:r w:rsidRPr="00A14AE3">
        <w:rPr>
          <w:rFonts w:ascii="Book Antiqua" w:eastAsia="Times New Roman" w:hAnsi="Book Antiqua" w:cs="Arial"/>
          <w:sz w:val="19"/>
          <w:szCs w:val="19"/>
          <w:lang w:eastAsia="pt-BR"/>
        </w:rPr>
        <w:fldChar w:fldCharType="begin"/>
      </w:r>
      <w:r w:rsidRPr="00A14AE3">
        <w:rPr>
          <w:rFonts w:ascii="Book Antiqua" w:eastAsia="Times New Roman" w:hAnsi="Book Antiqua" w:cs="Arial"/>
          <w:sz w:val="19"/>
          <w:szCs w:val="19"/>
          <w:lang w:eastAsia="pt-BR"/>
        </w:rPr>
        <w:instrText xml:space="preserve"> HYPERLINK "http://www.stf.jus.br/portal/peticaoInicial/verPeticaoInicial.asp?base=ADI&amp;documento=&amp;s1=6675&amp;numProcesso=6675" </w:instrText>
      </w:r>
      <w:r w:rsidRPr="00A14AE3">
        <w:rPr>
          <w:rFonts w:ascii="Book Antiqua" w:eastAsia="Times New Roman" w:hAnsi="Book Antiqua" w:cs="Arial"/>
          <w:sz w:val="19"/>
          <w:szCs w:val="19"/>
          <w:lang w:eastAsia="pt-BR"/>
        </w:rPr>
        <w:fldChar w:fldCharType="separate"/>
      </w:r>
      <w:r w:rsidRPr="00A14AE3">
        <w:rPr>
          <w:rStyle w:val="Hyperlink"/>
          <w:rFonts w:ascii="Book Antiqua" w:eastAsia="Times New Roman" w:hAnsi="Book Antiqua" w:cs="Arial"/>
          <w:sz w:val="19"/>
          <w:szCs w:val="19"/>
          <w:lang w:eastAsia="pt-BR"/>
        </w:rPr>
        <w:t>(Vide ADIN 6675)</w:t>
      </w:r>
      <w:r w:rsidRPr="00A14AE3">
        <w:rPr>
          <w:rFonts w:ascii="Book Antiqua" w:eastAsia="Times New Roman" w:hAnsi="Book Antiqua" w:cs="Arial"/>
          <w:sz w:val="19"/>
          <w:szCs w:val="19"/>
          <w:lang w:val="pt-PT" w:eastAsia="pt-BR"/>
        </w:rPr>
        <w:fldChar w:fldCharType="end"/>
      </w:r>
      <w:r w:rsidRPr="00A14AE3">
        <w:rPr>
          <w:rFonts w:ascii="Book Antiqua" w:eastAsia="Times New Roman" w:hAnsi="Book Antiqua" w:cs="Arial"/>
          <w:sz w:val="19"/>
          <w:szCs w:val="19"/>
          <w:lang w:eastAsia="pt-BR"/>
        </w:rPr>
        <w:t>   </w:t>
      </w:r>
      <w:hyperlink r:id="rId20"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val="pt-PT" w:eastAsia="pt-BR"/>
        </w:rPr>
        <w:t> </w:t>
      </w:r>
      <w:r w:rsidRPr="00A14AE3">
        <w:rPr>
          <w:rFonts w:ascii="Book Antiqua" w:eastAsia="Times New Roman" w:hAnsi="Book Antiqua" w:cs="Arial"/>
          <w:sz w:val="19"/>
          <w:szCs w:val="19"/>
          <w:lang w:eastAsia="pt-BR"/>
        </w:rPr>
        <w:fldChar w:fldCharType="begin"/>
      </w:r>
      <w:r w:rsidRPr="00A14AE3">
        <w:rPr>
          <w:rFonts w:ascii="Book Antiqua" w:eastAsia="Times New Roman" w:hAnsi="Book Antiqua" w:cs="Arial"/>
          <w:sz w:val="19"/>
          <w:szCs w:val="19"/>
          <w:lang w:eastAsia="pt-BR"/>
        </w:rPr>
        <w:instrText xml:space="preserve"> HYPERLINK "http://www.stf.jus.br/portal/peticaoInicial/verPeticaoInicial.asp?base=ADI&amp;documento=&amp;s1=6675&amp;numProcesso=6677" </w:instrText>
      </w:r>
      <w:r w:rsidRPr="00A14AE3">
        <w:rPr>
          <w:rFonts w:ascii="Book Antiqua" w:eastAsia="Times New Roman" w:hAnsi="Book Antiqua" w:cs="Arial"/>
          <w:sz w:val="19"/>
          <w:szCs w:val="19"/>
          <w:lang w:eastAsia="pt-BR"/>
        </w:rPr>
        <w:fldChar w:fldCharType="separate"/>
      </w:r>
      <w:r w:rsidRPr="00A14AE3">
        <w:rPr>
          <w:rStyle w:val="Hyperlink"/>
          <w:rFonts w:ascii="Book Antiqua" w:eastAsia="Times New Roman" w:hAnsi="Book Antiqua" w:cs="Arial"/>
          <w:sz w:val="19"/>
          <w:szCs w:val="19"/>
          <w:lang w:eastAsia="pt-BR"/>
        </w:rPr>
        <w:t>(Vide ADIN 6677)</w:t>
      </w:r>
      <w:r w:rsidRPr="00A14AE3">
        <w:rPr>
          <w:rFonts w:ascii="Book Antiqua" w:eastAsia="Times New Roman" w:hAnsi="Book Antiqua" w:cs="Arial"/>
          <w:sz w:val="19"/>
          <w:szCs w:val="19"/>
          <w:lang w:val="pt-PT" w:eastAsia="pt-BR"/>
        </w:rPr>
        <w:fldChar w:fldCharType="end"/>
      </w:r>
      <w:r w:rsidRPr="00A14AE3">
        <w:rPr>
          <w:rFonts w:ascii="Book Antiqua" w:eastAsia="Times New Roman" w:hAnsi="Book Antiqua" w:cs="Arial"/>
          <w:sz w:val="19"/>
          <w:szCs w:val="19"/>
          <w:lang w:eastAsia="pt-BR"/>
        </w:rPr>
        <w:t> </w:t>
      </w:r>
      <w:hyperlink r:id="rId21" w:history="1">
        <w:r w:rsidRPr="00A14AE3">
          <w:rPr>
            <w:rStyle w:val="Hyperlink"/>
            <w:rFonts w:ascii="Book Antiqua" w:eastAsia="Times New Roman" w:hAnsi="Book Antiqua" w:cs="Arial"/>
            <w:sz w:val="19"/>
            <w:szCs w:val="19"/>
            <w:lang w:eastAsia="pt-BR"/>
          </w:rPr>
          <w:t> (Vide ADIN 6695)</w:t>
        </w:r>
      </w:hyperlink>
    </w:p>
    <w:p w14:paraId="45447026"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 cinco armas de fogo de cada modelo, para os colecionadores;</w:t>
      </w:r>
    </w:p>
    <w:p w14:paraId="6D8F2E01"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b) quinze armas de fogo, para os caçadores; e</w:t>
      </w:r>
    </w:p>
    <w:p w14:paraId="28E4D227"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c) trinta armas de fogo, para os atiradores; e</w:t>
      </w:r>
    </w:p>
    <w:p w14:paraId="59007E28" w14:textId="3CDB0D51"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val="pt-PT" w:eastAsia="pt-BR"/>
        </w:rPr>
      </w:pPr>
      <w:r w:rsidRPr="00AF3F23">
        <w:rPr>
          <w:rFonts w:ascii="Book Antiqua" w:eastAsia="Times New Roman" w:hAnsi="Book Antiqua" w:cs="Arial"/>
          <w:sz w:val="19"/>
          <w:szCs w:val="19"/>
          <w:lang w:val="pt-PT" w:eastAsia="pt-BR"/>
        </w:rPr>
        <w:t>II - para armas de uso restrito:   </w:t>
      </w:r>
      <w:r w:rsidRPr="00AF3F23">
        <w:rPr>
          <w:rFonts w:ascii="Book Antiqua" w:eastAsia="Times New Roman" w:hAnsi="Book Antiqua" w:cs="Arial"/>
          <w:sz w:val="19"/>
          <w:szCs w:val="19"/>
          <w:lang w:eastAsia="pt-BR"/>
        </w:rPr>
        <w:fldChar w:fldCharType="begin"/>
      </w:r>
      <w:r w:rsidRPr="00AF3F23">
        <w:rPr>
          <w:rFonts w:ascii="Book Antiqua" w:eastAsia="Times New Roman" w:hAnsi="Book Antiqua" w:cs="Arial"/>
          <w:sz w:val="19"/>
          <w:szCs w:val="19"/>
          <w:lang w:eastAsia="pt-BR"/>
        </w:rPr>
        <w:instrText xml:space="preserve"> HYPERLINK "http://www.stf.jus.br/portal/peticaoInicial/verPeticaoInicial.asp?base=ADI&amp;documento=&amp;s1=6675&amp;numProcesso=6675" </w:instrText>
      </w:r>
      <w:r w:rsidRPr="00AF3F23">
        <w:rPr>
          <w:rFonts w:ascii="Book Antiqua" w:eastAsia="Times New Roman" w:hAnsi="Book Antiqua" w:cs="Arial"/>
          <w:sz w:val="19"/>
          <w:szCs w:val="19"/>
          <w:lang w:eastAsia="pt-BR"/>
        </w:rPr>
        <w:fldChar w:fldCharType="separate"/>
      </w:r>
      <w:r w:rsidRPr="00AF3F23">
        <w:rPr>
          <w:rStyle w:val="Hyperlink"/>
          <w:rFonts w:ascii="Book Antiqua" w:eastAsia="Times New Roman" w:hAnsi="Book Antiqua" w:cs="Arial"/>
          <w:sz w:val="19"/>
          <w:szCs w:val="19"/>
          <w:lang w:eastAsia="pt-BR"/>
        </w:rPr>
        <w:t>(Vide ADIN 6675)</w:t>
      </w:r>
      <w:r w:rsidRPr="00AF3F23">
        <w:rPr>
          <w:rFonts w:ascii="Book Antiqua" w:eastAsia="Times New Roman" w:hAnsi="Book Antiqua" w:cs="Arial"/>
          <w:sz w:val="19"/>
          <w:szCs w:val="19"/>
          <w:lang w:val="pt-PT" w:eastAsia="pt-BR"/>
        </w:rPr>
        <w:fldChar w:fldCharType="end"/>
      </w:r>
      <w:r w:rsidRPr="00AF3F23">
        <w:rPr>
          <w:rFonts w:ascii="Book Antiqua" w:eastAsia="Times New Roman" w:hAnsi="Book Antiqua" w:cs="Arial"/>
          <w:sz w:val="19"/>
          <w:szCs w:val="19"/>
          <w:lang w:eastAsia="pt-BR"/>
        </w:rPr>
        <w:t>   </w:t>
      </w:r>
      <w:hyperlink r:id="rId22"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val="pt-PT" w:eastAsia="pt-BR"/>
        </w:rPr>
        <w:t> </w:t>
      </w:r>
      <w:r w:rsidRPr="00AF3F23">
        <w:rPr>
          <w:rFonts w:ascii="Book Antiqua" w:eastAsia="Times New Roman" w:hAnsi="Book Antiqua" w:cs="Arial"/>
          <w:sz w:val="19"/>
          <w:szCs w:val="19"/>
          <w:lang w:eastAsia="pt-BR"/>
        </w:rPr>
        <w:fldChar w:fldCharType="begin"/>
      </w:r>
      <w:r w:rsidRPr="00AF3F23">
        <w:rPr>
          <w:rFonts w:ascii="Book Antiqua" w:eastAsia="Times New Roman" w:hAnsi="Book Antiqua" w:cs="Arial"/>
          <w:sz w:val="19"/>
          <w:szCs w:val="19"/>
          <w:lang w:eastAsia="pt-BR"/>
        </w:rPr>
        <w:instrText xml:space="preserve"> HYPERLINK "http://www.stf.jus.br/portal/peticaoInicial/verPeticaoInicial.asp?base=ADI&amp;documento=&amp;s1=6675&amp;numProcesso=6677" </w:instrText>
      </w:r>
      <w:r w:rsidRPr="00AF3F23">
        <w:rPr>
          <w:rFonts w:ascii="Book Antiqua" w:eastAsia="Times New Roman" w:hAnsi="Book Antiqua" w:cs="Arial"/>
          <w:sz w:val="19"/>
          <w:szCs w:val="19"/>
          <w:lang w:eastAsia="pt-BR"/>
        </w:rPr>
        <w:fldChar w:fldCharType="separate"/>
      </w:r>
      <w:r w:rsidRPr="00AF3F23">
        <w:rPr>
          <w:rStyle w:val="Hyperlink"/>
          <w:rFonts w:ascii="Book Antiqua" w:eastAsia="Times New Roman" w:hAnsi="Book Antiqua" w:cs="Arial"/>
          <w:sz w:val="19"/>
          <w:szCs w:val="19"/>
          <w:lang w:eastAsia="pt-BR"/>
        </w:rPr>
        <w:t>(Vide ADIN 6677)</w:t>
      </w:r>
      <w:r w:rsidRPr="00AF3F23">
        <w:rPr>
          <w:rFonts w:ascii="Book Antiqua" w:eastAsia="Times New Roman" w:hAnsi="Book Antiqua" w:cs="Arial"/>
          <w:sz w:val="19"/>
          <w:szCs w:val="19"/>
          <w:lang w:val="pt-PT" w:eastAsia="pt-BR"/>
        </w:rPr>
        <w:fldChar w:fldCharType="end"/>
      </w:r>
      <w:r w:rsidRPr="00AF3F23">
        <w:rPr>
          <w:rFonts w:ascii="Book Antiqua" w:eastAsia="Times New Roman" w:hAnsi="Book Antiqua" w:cs="Arial"/>
          <w:sz w:val="19"/>
          <w:szCs w:val="19"/>
          <w:lang w:val="pt-PT" w:eastAsia="pt-BR"/>
        </w:rPr>
        <w:t>  </w:t>
      </w:r>
      <w:r w:rsidRPr="00AF3F23">
        <w:rPr>
          <w:rFonts w:ascii="Book Antiqua" w:eastAsia="Times New Roman" w:hAnsi="Book Antiqua" w:cs="Arial"/>
          <w:sz w:val="19"/>
          <w:szCs w:val="19"/>
          <w:lang w:eastAsia="pt-BR"/>
        </w:rPr>
        <w:t> </w:t>
      </w:r>
      <w:hyperlink r:id="rId23" w:history="1">
        <w:r w:rsidRPr="00AF3F23">
          <w:rPr>
            <w:rStyle w:val="Hyperlink"/>
            <w:rFonts w:ascii="Book Antiqua" w:eastAsia="Times New Roman" w:hAnsi="Book Antiqua" w:cs="Arial"/>
            <w:sz w:val="19"/>
            <w:szCs w:val="19"/>
            <w:lang w:eastAsia="pt-BR"/>
          </w:rPr>
          <w:t> (Vide ADIN 6695)</w:t>
        </w:r>
      </w:hyperlink>
    </w:p>
    <w:p w14:paraId="6D5048EB"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val="pt-PT" w:eastAsia="pt-BR"/>
        </w:rPr>
        <w:t>a)</w:t>
      </w:r>
      <w:r w:rsidRPr="00AF3F23">
        <w:rPr>
          <w:rFonts w:ascii="Book Antiqua" w:eastAsia="Times New Roman" w:hAnsi="Book Antiqua" w:cs="Arial"/>
          <w:sz w:val="19"/>
          <w:szCs w:val="19"/>
          <w:lang w:eastAsia="pt-BR"/>
        </w:rPr>
        <w:t xml:space="preserve"> cinco armas de cada modelo, para os colecionadores;</w:t>
      </w:r>
    </w:p>
    <w:p w14:paraId="3C0A4666"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b) quinze armas, para os caçadores; e</w:t>
      </w:r>
    </w:p>
    <w:p w14:paraId="713B879A"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c) trinta armas, para os atiradores.</w:t>
      </w:r>
    </w:p>
    <w:p w14:paraId="11CA2AF2" w14:textId="324569E8"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Poderão ser concedidas autorizações para aquisição de arma de fogo de uso permitido em quantidade superior aos limites estabelecidos no inciso I do </w:t>
      </w:r>
      <w:r w:rsidRPr="00AF3F23">
        <w:rPr>
          <w:rFonts w:ascii="Book Antiqua" w:eastAsia="Times New Roman" w:hAnsi="Book Antiqua" w:cs="Arial"/>
          <w:b/>
          <w:bCs/>
          <w:sz w:val="19"/>
          <w:szCs w:val="19"/>
          <w:lang w:eastAsia="pt-BR"/>
        </w:rPr>
        <w:t>caput</w:t>
      </w:r>
      <w:r w:rsidRPr="00AF3F23">
        <w:rPr>
          <w:rFonts w:ascii="Book Antiqua" w:eastAsia="Times New Roman" w:hAnsi="Book Antiqua" w:cs="Arial"/>
          <w:sz w:val="19"/>
          <w:szCs w:val="19"/>
          <w:lang w:eastAsia="pt-BR"/>
        </w:rPr>
        <w:t>, a critério do Comando do Exército.   </w:t>
      </w:r>
      <w:hyperlink r:id="rId24" w:anchor="art4" w:history="1">
        <w:r w:rsidRPr="00AF3F23">
          <w:rPr>
            <w:rStyle w:val="Hyperlink"/>
            <w:rFonts w:ascii="Book Antiqua" w:eastAsia="Times New Roman" w:hAnsi="Book Antiqua" w:cs="Arial"/>
            <w:sz w:val="19"/>
            <w:szCs w:val="19"/>
            <w:lang w:eastAsia="pt-BR"/>
          </w:rPr>
          <w:t>(Redação dada pelo Decreto nº 10.030, de 2019)</w:t>
        </w:r>
      </w:hyperlink>
      <w:r w:rsidRPr="00AF3F23">
        <w:rPr>
          <w:rFonts w:ascii="Book Antiqua" w:eastAsia="Times New Roman" w:hAnsi="Book Antiqua" w:cs="Arial"/>
          <w:sz w:val="19"/>
          <w:szCs w:val="19"/>
          <w:lang w:eastAsia="pt-BR"/>
        </w:rPr>
        <w:t>   </w:t>
      </w:r>
      <w:hyperlink r:id="rId25" w:history="1">
        <w:r w:rsidRPr="00AF3F23">
          <w:rPr>
            <w:rStyle w:val="Hyperlink"/>
            <w:rFonts w:ascii="Book Antiqua" w:eastAsia="Times New Roman" w:hAnsi="Book Antiqua" w:cs="Arial"/>
            <w:sz w:val="19"/>
            <w:szCs w:val="19"/>
            <w:lang w:eastAsia="pt-BR"/>
          </w:rPr>
          <w:t>(Vide ADIN 6675)</w:t>
        </w:r>
      </w:hyperlink>
      <w:r w:rsidRPr="00AF3F23">
        <w:rPr>
          <w:rFonts w:ascii="Book Antiqua" w:eastAsia="Times New Roman" w:hAnsi="Book Antiqua" w:cs="Arial"/>
          <w:sz w:val="19"/>
          <w:szCs w:val="19"/>
          <w:lang w:eastAsia="pt-BR"/>
        </w:rPr>
        <w:t>   </w:t>
      </w:r>
      <w:hyperlink r:id="rId26"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eastAsia="pt-BR"/>
        </w:rPr>
        <w:t> </w:t>
      </w:r>
      <w:hyperlink r:id="rId27" w:history="1">
        <w:r w:rsidRPr="00AF3F23">
          <w:rPr>
            <w:rStyle w:val="Hyperlink"/>
            <w:rFonts w:ascii="Book Antiqua" w:eastAsia="Times New Roman" w:hAnsi="Book Antiqua" w:cs="Arial"/>
            <w:sz w:val="19"/>
            <w:szCs w:val="19"/>
            <w:lang w:eastAsia="pt-BR"/>
          </w:rPr>
          <w:t>(Vide ADIN 6677)</w:t>
        </w:r>
      </w:hyperlink>
      <w:hyperlink r:id="rId28" w:history="1">
        <w:r w:rsidRPr="00AF3F23">
          <w:rPr>
            <w:rStyle w:val="Hyperlink"/>
            <w:rFonts w:ascii="Book Antiqua" w:eastAsia="Times New Roman" w:hAnsi="Book Antiqua" w:cs="Arial"/>
            <w:sz w:val="19"/>
            <w:szCs w:val="19"/>
            <w:lang w:eastAsia="pt-BR"/>
          </w:rPr>
          <w:t> (Vide ADIN 6695)</w:t>
        </w:r>
      </w:hyperlink>
    </w:p>
    <w:p w14:paraId="55AE4EC3"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 2º  Para fins de registro de colecionadores, atiradores e caçadores no Comando do Exército, o interessado deverá:   </w:t>
      </w:r>
      <w:hyperlink r:id="rId29" w:anchor="art4" w:history="1">
        <w:r w:rsidRPr="00A14AE3">
          <w:rPr>
            <w:rStyle w:val="Hyperlink"/>
            <w:rFonts w:ascii="Book Antiqua" w:eastAsia="Times New Roman" w:hAnsi="Book Antiqua" w:cs="Arial"/>
            <w:sz w:val="19"/>
            <w:szCs w:val="19"/>
            <w:lang w:eastAsia="pt-BR"/>
          </w:rPr>
          <w:t>(Redação dada pelo Decreto nº 10.030, de 2019)</w:t>
        </w:r>
      </w:hyperlink>
    </w:p>
    <w:p w14:paraId="601C666A"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 w:name="art3§2i"/>
      <w:bookmarkStart w:id="5" w:name="art3§2i.0"/>
      <w:bookmarkEnd w:id="4"/>
      <w:bookmarkEnd w:id="5"/>
      <w:r w:rsidRPr="00A14AE3">
        <w:rPr>
          <w:rFonts w:ascii="Book Antiqua" w:eastAsia="Times New Roman" w:hAnsi="Book Antiqua" w:cs="Arial"/>
          <w:sz w:val="19"/>
          <w:szCs w:val="19"/>
          <w:lang w:eastAsia="pt-BR"/>
        </w:rPr>
        <w:t>I - ter, no mínimo, vinte e cinco anos de idade para adquirir e apostilar armas de fogo em seus acervos;     </w:t>
      </w:r>
      <w:hyperlink r:id="rId30" w:anchor="art1" w:history="1">
        <w:r w:rsidRPr="00A14AE3">
          <w:rPr>
            <w:rStyle w:val="Hyperlink"/>
            <w:rFonts w:ascii="Book Antiqua" w:eastAsia="Times New Roman" w:hAnsi="Book Antiqua" w:cs="Arial"/>
            <w:sz w:val="19"/>
            <w:szCs w:val="19"/>
            <w:lang w:eastAsia="pt-BR"/>
          </w:rPr>
          <w:t>(Redação dada pelo Decreto nº 10.629, de 2021)</w:t>
        </w:r>
      </w:hyperlink>
      <w:r w:rsidRPr="00A14AE3">
        <w:rPr>
          <w:rFonts w:ascii="Book Antiqua" w:eastAsia="Times New Roman" w:hAnsi="Book Antiqua" w:cs="Arial"/>
          <w:sz w:val="19"/>
          <w:szCs w:val="19"/>
          <w:lang w:eastAsia="pt-BR"/>
        </w:rPr>
        <w:t>   </w:t>
      </w:r>
      <w:hyperlink r:id="rId31"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32"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33"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34" w:history="1">
        <w:r w:rsidRPr="00A14AE3">
          <w:rPr>
            <w:rStyle w:val="Hyperlink"/>
            <w:rFonts w:ascii="Book Antiqua" w:eastAsia="Times New Roman" w:hAnsi="Book Antiqua" w:cs="Arial"/>
            <w:sz w:val="19"/>
            <w:szCs w:val="19"/>
            <w:lang w:eastAsia="pt-BR"/>
          </w:rPr>
          <w:t>(Vide ADIN 6677)</w:t>
        </w:r>
      </w:hyperlink>
      <w:r w:rsidRPr="00A14AE3">
        <w:rPr>
          <w:rFonts w:ascii="Book Antiqua" w:eastAsia="Times New Roman" w:hAnsi="Book Antiqua" w:cs="Arial"/>
          <w:sz w:val="19"/>
          <w:szCs w:val="19"/>
          <w:lang w:eastAsia="pt-BR"/>
        </w:rPr>
        <w:t>  </w:t>
      </w:r>
      <w:hyperlink r:id="rId35" w:history="1">
        <w:r w:rsidRPr="00A14AE3">
          <w:rPr>
            <w:rStyle w:val="Hyperlink"/>
            <w:rFonts w:ascii="Book Antiqua" w:eastAsia="Times New Roman" w:hAnsi="Book Antiqua" w:cs="Arial"/>
            <w:sz w:val="19"/>
            <w:szCs w:val="19"/>
            <w:lang w:eastAsia="pt-BR"/>
          </w:rPr>
          <w:t> (Vide ADIN 6695)</w:t>
        </w:r>
      </w:hyperlink>
    </w:p>
    <w:p w14:paraId="61521761" w14:textId="18390666"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xml:space="preserve">§ 2º  Para fins de aquisição de arma de fogo e de emissão do Certificado de Registro de Arma de Fogo para colecionadores, atiradores e caçadores, o interessado deverá: </w:t>
      </w:r>
    </w:p>
    <w:p w14:paraId="2557DEAC"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ter, no mínimo, vinte e cinco anos de idade;</w:t>
      </w:r>
    </w:p>
    <w:p w14:paraId="37063EAE"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pacing w:val="-4"/>
          <w:sz w:val="19"/>
          <w:szCs w:val="19"/>
          <w:lang w:eastAsia="pt-BR"/>
        </w:rPr>
        <w:t>II - apresentar original e cópia de documento de identificação pessoal;</w:t>
      </w:r>
    </w:p>
    <w:p w14:paraId="059F7D05"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III - comprovar a idoneidade moral e a inexistência de inquérito policial ou de processo criminal, por meio de certidões de antecedentes criminais das Justiças Federal, Estadual, Militar e Eleitoral;</w:t>
      </w:r>
    </w:p>
    <w:p w14:paraId="528BDA31"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IV - apresentar documento comprobatório de ocupação lícita e de residência fixa;</w:t>
      </w:r>
    </w:p>
    <w:p w14:paraId="04552B9F" w14:textId="37F1EDE2"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V - comprovar, periodicamente, a capacidade técnica para o manuseio da arma de fogo, por meio de laudo expedido por instrutor de tiro desportivo ou instrutor de armamento e tiro credenciado junto à Polícia Federal; e      </w:t>
      </w:r>
      <w:hyperlink r:id="rId36" w:history="1">
        <w:r w:rsidRPr="00AF3F23">
          <w:rPr>
            <w:rStyle w:val="Hyperlink"/>
            <w:rFonts w:ascii="Book Antiqua" w:eastAsia="Times New Roman" w:hAnsi="Book Antiqua" w:cs="Arial"/>
            <w:sz w:val="19"/>
            <w:szCs w:val="19"/>
            <w:lang w:eastAsia="pt-BR"/>
          </w:rPr>
          <w:t> </w:t>
        </w:r>
      </w:hyperlink>
      <w:r w:rsidRPr="00AF3F23">
        <w:rPr>
          <w:rFonts w:ascii="Book Antiqua" w:eastAsia="Times New Roman" w:hAnsi="Book Antiqua" w:cs="Arial"/>
          <w:sz w:val="19"/>
          <w:szCs w:val="19"/>
          <w:lang w:eastAsia="pt-BR"/>
        </w:rPr>
        <w:t> </w:t>
      </w:r>
      <w:hyperlink r:id="rId37"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38"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39" w:history="1">
        <w:r w:rsidRPr="00AF3F23">
          <w:rPr>
            <w:rStyle w:val="Hyperlink"/>
            <w:rFonts w:ascii="Book Antiqua" w:eastAsia="Times New Roman" w:hAnsi="Book Antiqua" w:cs="Arial"/>
            <w:sz w:val="19"/>
            <w:szCs w:val="19"/>
            <w:lang w:eastAsia="pt-BR"/>
          </w:rPr>
          <w:t>(Vide ADIN 6675)</w:t>
        </w:r>
      </w:hyperlink>
      <w:r w:rsidRPr="00AF3F23">
        <w:rPr>
          <w:rFonts w:ascii="Book Antiqua" w:eastAsia="Times New Roman" w:hAnsi="Book Antiqua" w:cs="Arial"/>
          <w:sz w:val="19"/>
          <w:szCs w:val="19"/>
          <w:lang w:eastAsia="pt-BR"/>
        </w:rPr>
        <w:t>   </w:t>
      </w:r>
      <w:hyperlink r:id="rId40"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eastAsia="pt-BR"/>
        </w:rPr>
        <w:t> </w:t>
      </w:r>
      <w:hyperlink r:id="rId41" w:history="1">
        <w:r w:rsidRPr="00AF3F23">
          <w:rPr>
            <w:rStyle w:val="Hyperlink"/>
            <w:rFonts w:ascii="Book Antiqua" w:eastAsia="Times New Roman" w:hAnsi="Book Antiqua" w:cs="Arial"/>
            <w:sz w:val="19"/>
            <w:szCs w:val="19"/>
            <w:lang w:eastAsia="pt-BR"/>
          </w:rPr>
          <w:t>(Vide ADIN 6677)</w:t>
        </w:r>
      </w:hyperlink>
      <w:r w:rsidRPr="00AF3F23">
        <w:rPr>
          <w:rFonts w:ascii="Book Antiqua" w:eastAsia="Times New Roman" w:hAnsi="Book Antiqua" w:cs="Arial"/>
          <w:sz w:val="19"/>
          <w:szCs w:val="19"/>
          <w:lang w:eastAsia="pt-BR"/>
        </w:rPr>
        <w:t> </w:t>
      </w:r>
      <w:hyperlink r:id="rId42" w:history="1">
        <w:r w:rsidRPr="00AF3F23">
          <w:rPr>
            <w:rStyle w:val="Hyperlink"/>
            <w:rFonts w:ascii="Book Antiqua" w:eastAsia="Times New Roman" w:hAnsi="Book Antiqua" w:cs="Arial"/>
            <w:sz w:val="19"/>
            <w:szCs w:val="19"/>
            <w:lang w:eastAsia="pt-BR"/>
          </w:rPr>
          <w:t>(Vide ADIN 6695)</w:t>
        </w:r>
      </w:hyperlink>
    </w:p>
    <w:p w14:paraId="1A6783F8" w14:textId="4C0BC223"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VI - comprovar a aptidão psicológica para o manuseio da arma de fogo, atestada em laudo conclusivo fornecido por psicólogo com registro profissional ativo em Conselho Regional de Psicologia.    </w:t>
      </w:r>
      <w:hyperlink r:id="rId43"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44"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45" w:history="1">
        <w:r w:rsidRPr="00AF3F23">
          <w:rPr>
            <w:rStyle w:val="Hyperlink"/>
            <w:rFonts w:ascii="Book Antiqua" w:eastAsia="Times New Roman" w:hAnsi="Book Antiqua" w:cs="Arial"/>
            <w:sz w:val="19"/>
            <w:szCs w:val="19"/>
            <w:lang w:eastAsia="pt-BR"/>
          </w:rPr>
          <w:t>(Vide ADIN 6675)</w:t>
        </w:r>
      </w:hyperlink>
      <w:r w:rsidRPr="00AF3F23">
        <w:rPr>
          <w:rFonts w:ascii="Book Antiqua" w:eastAsia="Times New Roman" w:hAnsi="Book Antiqua" w:cs="Arial"/>
          <w:sz w:val="19"/>
          <w:szCs w:val="19"/>
          <w:lang w:eastAsia="pt-BR"/>
        </w:rPr>
        <w:t>  </w:t>
      </w:r>
      <w:hyperlink r:id="rId46"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eastAsia="pt-BR"/>
        </w:rPr>
        <w:t>  </w:t>
      </w:r>
      <w:hyperlink r:id="rId47" w:history="1">
        <w:r w:rsidRPr="00AF3F23">
          <w:rPr>
            <w:rStyle w:val="Hyperlink"/>
            <w:rFonts w:ascii="Book Antiqua" w:eastAsia="Times New Roman" w:hAnsi="Book Antiqua" w:cs="Arial"/>
            <w:sz w:val="19"/>
            <w:szCs w:val="19"/>
            <w:lang w:eastAsia="pt-BR"/>
          </w:rPr>
          <w:t>(Vide ADIN 6677)</w:t>
        </w:r>
      </w:hyperlink>
      <w:r w:rsidRPr="00AF3F23">
        <w:rPr>
          <w:rFonts w:ascii="Book Antiqua" w:eastAsia="Times New Roman" w:hAnsi="Book Antiqua" w:cs="Arial"/>
          <w:sz w:val="19"/>
          <w:szCs w:val="19"/>
          <w:lang w:eastAsia="pt-BR"/>
        </w:rPr>
        <w:t>  </w:t>
      </w:r>
      <w:hyperlink r:id="rId48" w:history="1">
        <w:r w:rsidRPr="00AF3F23">
          <w:rPr>
            <w:rStyle w:val="Hyperlink"/>
            <w:rFonts w:ascii="Book Antiqua" w:eastAsia="Times New Roman" w:hAnsi="Book Antiqua" w:cs="Arial"/>
            <w:sz w:val="19"/>
            <w:szCs w:val="19"/>
            <w:lang w:eastAsia="pt-BR"/>
          </w:rPr>
          <w:t> (Vide ADIN 6695)</w:t>
        </w:r>
      </w:hyperlink>
    </w:p>
    <w:p w14:paraId="707B5B63"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lastRenderedPageBreak/>
        <w:t xml:space="preserve">§ 3º  O cumprimento dos requisitos de que tratam os incisos III, IV, V, VI do </w:t>
      </w:r>
      <w:r w:rsidRPr="00AF3F23">
        <w:rPr>
          <w:rFonts w:ascii="Book Antiqua" w:eastAsia="Times New Roman" w:hAnsi="Book Antiqua" w:cs="Arial"/>
          <w:b/>
          <w:bCs/>
          <w:sz w:val="19"/>
          <w:szCs w:val="19"/>
          <w:lang w:eastAsia="pt-BR"/>
        </w:rPr>
        <w:t xml:space="preserve">caput </w:t>
      </w:r>
      <w:r w:rsidRPr="00AF3F23">
        <w:rPr>
          <w:rFonts w:ascii="Book Antiqua" w:eastAsia="Times New Roman" w:hAnsi="Book Antiqua" w:cs="Arial"/>
          <w:sz w:val="19"/>
          <w:szCs w:val="19"/>
          <w:lang w:eastAsia="pt-BR"/>
        </w:rPr>
        <w:t>do § 2º deverá ser comprovado, a cada dez anos, junto ao Comando do Exército, para fins de renovação do Certificado de Registro de Colecionador, Atirador e Caçador.</w:t>
      </w:r>
    </w:p>
    <w:p w14:paraId="476DC699"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color w:val="000000"/>
          <w:sz w:val="19"/>
          <w:szCs w:val="19"/>
          <w:lang w:eastAsia="pt-BR"/>
        </w:rPr>
        <w:t>§ 4º  Ato do Comandante do Exército regulamentará a aquisição de armas de fogo não portáteis por colecionadores registrados no Comando do Exército.</w:t>
      </w:r>
    </w:p>
    <w:p w14:paraId="45764B02"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 w:name="art4"/>
      <w:bookmarkEnd w:id="6"/>
      <w:r w:rsidRPr="00A14AE3">
        <w:rPr>
          <w:rFonts w:ascii="Book Antiqua" w:eastAsia="Times New Roman" w:hAnsi="Book Antiqua" w:cs="Arial"/>
          <w:sz w:val="19"/>
          <w:szCs w:val="19"/>
          <w:lang w:eastAsia="pt-BR"/>
        </w:rPr>
        <w:t>§ 5º  </w:t>
      </w:r>
      <w:r w:rsidRPr="00A14AE3">
        <w:rPr>
          <w:rFonts w:ascii="Book Antiqua" w:eastAsia="Times New Roman" w:hAnsi="Book Antiqua" w:cs="Arial"/>
          <w:sz w:val="19"/>
          <w:szCs w:val="19"/>
          <w:lang w:val="pt-PT" w:eastAsia="pt-BR"/>
        </w:rPr>
        <w:t>A aquisição de armas de fogo por colecionadores, atiradores e caçadores ficará condicionada à apresentação:</w:t>
      </w:r>
      <w:r w:rsidRPr="00A14AE3">
        <w:rPr>
          <w:rFonts w:ascii="Book Antiqua" w:eastAsia="Times New Roman" w:hAnsi="Book Antiqua" w:cs="Arial"/>
          <w:sz w:val="19"/>
          <w:szCs w:val="19"/>
          <w:lang w:eastAsia="pt-BR"/>
        </w:rPr>
        <w:t>   </w:t>
      </w:r>
      <w:hyperlink r:id="rId49" w:anchor="art4" w:history="1">
        <w:r w:rsidRPr="00A14AE3">
          <w:rPr>
            <w:rStyle w:val="Hyperlink"/>
            <w:rFonts w:ascii="Book Antiqua" w:eastAsia="Times New Roman" w:hAnsi="Book Antiqua" w:cs="Arial"/>
            <w:sz w:val="19"/>
            <w:szCs w:val="19"/>
            <w:lang w:eastAsia="pt-BR"/>
          </w:rPr>
          <w:t>(Incluído pelo Decreto nº 10.030, de 2019)</w:t>
        </w:r>
      </w:hyperlink>
    </w:p>
    <w:p w14:paraId="662864D0"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7" w:name="art3§5i"/>
      <w:bookmarkEnd w:id="7"/>
      <w:r w:rsidRPr="00A14AE3">
        <w:rPr>
          <w:rFonts w:ascii="Book Antiqua" w:eastAsia="Times New Roman" w:hAnsi="Book Antiqua" w:cs="Arial"/>
          <w:sz w:val="19"/>
          <w:szCs w:val="19"/>
          <w:lang w:eastAsia="pt-BR"/>
        </w:rPr>
        <w:t>I </w:t>
      </w:r>
      <w:r w:rsidRPr="00A14AE3">
        <w:rPr>
          <w:rFonts w:ascii="Book Antiqua" w:eastAsia="Times New Roman" w:hAnsi="Book Antiqua" w:cs="Arial"/>
          <w:sz w:val="19"/>
          <w:szCs w:val="19"/>
          <w:lang w:val="pt-PT" w:eastAsia="pt-BR"/>
        </w:rPr>
        <w:t>- de documento de identificação e Certificado de Registro válidos; e</w:t>
      </w:r>
      <w:r w:rsidRPr="00A14AE3">
        <w:rPr>
          <w:rFonts w:ascii="Book Antiqua" w:eastAsia="Times New Roman" w:hAnsi="Book Antiqua" w:cs="Arial"/>
          <w:sz w:val="19"/>
          <w:szCs w:val="19"/>
          <w:lang w:eastAsia="pt-BR"/>
        </w:rPr>
        <w:t>   </w:t>
      </w:r>
      <w:hyperlink r:id="rId50" w:anchor="art4" w:history="1">
        <w:r w:rsidRPr="00A14AE3">
          <w:rPr>
            <w:rStyle w:val="Hyperlink"/>
            <w:rFonts w:ascii="Book Antiqua" w:eastAsia="Times New Roman" w:hAnsi="Book Antiqua" w:cs="Arial"/>
            <w:sz w:val="19"/>
            <w:szCs w:val="19"/>
            <w:lang w:eastAsia="pt-BR"/>
          </w:rPr>
          <w:t>(Incluído pelo Decreto nº 10.030, de 2019)</w:t>
        </w:r>
      </w:hyperlink>
      <w:r w:rsidRPr="00A14AE3">
        <w:rPr>
          <w:rFonts w:ascii="Book Antiqua" w:eastAsia="Times New Roman" w:hAnsi="Book Antiqua" w:cs="Arial"/>
          <w:sz w:val="19"/>
          <w:szCs w:val="19"/>
          <w:lang w:eastAsia="pt-BR"/>
        </w:rPr>
        <w:t>    </w:t>
      </w:r>
      <w:hyperlink r:id="rId51"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52"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53" w:history="1">
        <w:r w:rsidRPr="00A14AE3">
          <w:rPr>
            <w:rStyle w:val="Hyperlink"/>
            <w:rFonts w:ascii="Book Antiqua" w:eastAsia="Times New Roman" w:hAnsi="Book Antiqua" w:cs="Arial"/>
            <w:sz w:val="19"/>
            <w:szCs w:val="19"/>
            <w:lang w:eastAsia="pt-BR"/>
          </w:rPr>
          <w:t>(Vide ADIN 6695)</w:t>
        </w:r>
      </w:hyperlink>
    </w:p>
    <w:p w14:paraId="2BF735D1"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 w:name="art3§5ii"/>
      <w:bookmarkStart w:id="9" w:name="art3§5ii.0"/>
      <w:bookmarkEnd w:id="8"/>
      <w:bookmarkEnd w:id="9"/>
      <w:r w:rsidRPr="00A14AE3">
        <w:rPr>
          <w:rFonts w:ascii="Book Antiqua" w:eastAsia="Times New Roman" w:hAnsi="Book Antiqua" w:cs="Arial"/>
          <w:sz w:val="19"/>
          <w:szCs w:val="19"/>
          <w:lang w:eastAsia="pt-BR"/>
        </w:rPr>
        <w:t>II - da autorização de aquisição expedida pelo Comando do Exército, quando as quantidades excederem os limites estabelecidos nos incisos I e II do </w:t>
      </w:r>
      <w:r w:rsidRPr="00A14AE3">
        <w:rPr>
          <w:rFonts w:ascii="Book Antiqua" w:eastAsia="Times New Roman" w:hAnsi="Book Antiqua" w:cs="Arial"/>
          <w:b/>
          <w:bCs/>
          <w:sz w:val="19"/>
          <w:szCs w:val="19"/>
          <w:lang w:eastAsia="pt-BR"/>
        </w:rPr>
        <w:t>caput </w:t>
      </w:r>
      <w:r w:rsidRPr="00A14AE3">
        <w:rPr>
          <w:rFonts w:ascii="Book Antiqua" w:eastAsia="Times New Roman" w:hAnsi="Book Antiqua" w:cs="Arial"/>
          <w:sz w:val="19"/>
          <w:szCs w:val="19"/>
          <w:lang w:eastAsia="pt-BR"/>
        </w:rPr>
        <w:t>.       </w:t>
      </w:r>
      <w:hyperlink r:id="rId54" w:anchor="art1" w:history="1">
        <w:r w:rsidRPr="00A14AE3">
          <w:rPr>
            <w:rStyle w:val="Hyperlink"/>
            <w:rFonts w:ascii="Book Antiqua" w:eastAsia="Times New Roman" w:hAnsi="Book Antiqua" w:cs="Arial"/>
            <w:sz w:val="19"/>
            <w:szCs w:val="19"/>
            <w:lang w:eastAsia="pt-BR"/>
          </w:rPr>
          <w:t>(Redação dada pelo Decreto nº 10.629, de 2021)</w:t>
        </w:r>
      </w:hyperlink>
      <w:r w:rsidRPr="00A14AE3">
        <w:rPr>
          <w:rFonts w:ascii="Book Antiqua" w:eastAsia="Times New Roman" w:hAnsi="Book Antiqua" w:cs="Arial"/>
          <w:sz w:val="19"/>
          <w:szCs w:val="19"/>
          <w:lang w:eastAsia="pt-BR"/>
        </w:rPr>
        <w:t>   </w:t>
      </w:r>
      <w:hyperlink r:id="rId55"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56"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57" w:history="1">
        <w:r w:rsidRPr="00A14AE3">
          <w:rPr>
            <w:rStyle w:val="Hyperlink"/>
            <w:rFonts w:ascii="Book Antiqua" w:eastAsia="Times New Roman" w:hAnsi="Book Antiqua" w:cs="Arial"/>
            <w:sz w:val="19"/>
            <w:szCs w:val="19"/>
            <w:lang w:eastAsia="pt-BR"/>
          </w:rPr>
          <w:t>(Vide ADIN 6695)</w:t>
        </w:r>
      </w:hyperlink>
    </w:p>
    <w:p w14:paraId="45D85D68"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3§6"/>
      <w:bookmarkEnd w:id="10"/>
      <w:r w:rsidRPr="00A14AE3">
        <w:rPr>
          <w:rFonts w:ascii="Book Antiqua" w:eastAsia="Times New Roman" w:hAnsi="Book Antiqua" w:cs="Arial"/>
          <w:sz w:val="19"/>
          <w:szCs w:val="19"/>
          <w:lang w:eastAsia="pt-BR"/>
        </w:rPr>
        <w:t>§ 6º Para a renovação da atividade de atirador, deverá ser apresentado atestado de habitualidade emitido pela entidade de tiro ou agremiação que confirme frequência mínima de seis jornadas em estande de tiro, em dias alternados, para treinamento ou participação em competições, no período de doze meses.       </w:t>
      </w:r>
      <w:hyperlink r:id="rId58"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59" w:anchor="art3" w:history="1">
        <w:r w:rsidRPr="00A14AE3">
          <w:rPr>
            <w:rStyle w:val="Hyperlink"/>
            <w:rFonts w:ascii="Book Antiqua" w:eastAsia="Times New Roman" w:hAnsi="Book Antiqua" w:cs="Arial"/>
            <w:sz w:val="19"/>
            <w:szCs w:val="19"/>
            <w:lang w:eastAsia="pt-BR"/>
          </w:rPr>
          <w:t>Vigência</w:t>
        </w:r>
      </w:hyperlink>
    </w:p>
    <w:p w14:paraId="18842764"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 7º  O laudo de capacidade técnica para o manuseio da arma de fogo, expedido por instrutor de tiro desportivo ou instrutor de armamento e tiro credenciado junto à Polícia Federal, para atiradores poderá ser substituído pela declaração de habitualidade fornecida por associação, clube, federação ou confederação a que estiverem filiados, referente ao ano anterior ao pedido de aquisição, comprovada a sua participação em treinamentos e competições, no período e nas quantidades mínimas exigidas.       </w:t>
      </w:r>
      <w:hyperlink r:id="rId60"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61" w:anchor="art3" w:history="1">
        <w:r w:rsidRPr="00A14AE3">
          <w:rPr>
            <w:rStyle w:val="Hyperlink"/>
            <w:rFonts w:ascii="Book Antiqua" w:eastAsia="Times New Roman" w:hAnsi="Book Antiqua" w:cs="Arial"/>
            <w:sz w:val="19"/>
            <w:szCs w:val="19"/>
            <w:lang w:eastAsia="pt-BR"/>
          </w:rPr>
          <w:t>Vigência</w:t>
        </w:r>
      </w:hyperlink>
    </w:p>
    <w:p w14:paraId="20E7DB2E"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 8º  A pessoa jurídica registrada no Comando do Exército com a atividade de capacitação com arma de fogo apostilada ao Certificado de Registro que possua, em seu quadro societário empregado que seja instrutor de tiro desportivo ou instrutor de armamento e tiro credenciado junto à Polícia Federal, poderá fornecer laudo de capacidade técnica para o manuseio de arma de fogo, que deverá ser assinado pelo instrutor.      </w:t>
      </w:r>
      <w:hyperlink r:id="rId62"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63" w:anchor="art3" w:history="1">
        <w:r w:rsidRPr="00A14AE3">
          <w:rPr>
            <w:rStyle w:val="Hyperlink"/>
            <w:rFonts w:ascii="Book Antiqua" w:eastAsia="Times New Roman" w:hAnsi="Book Antiqua" w:cs="Arial"/>
            <w:sz w:val="19"/>
            <w:szCs w:val="19"/>
            <w:lang w:eastAsia="pt-BR"/>
          </w:rPr>
          <w:t>Vigência</w:t>
        </w:r>
      </w:hyperlink>
    </w:p>
    <w:p w14:paraId="79D041DC"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 9º  Nas hipóteses de inobservância aos limites estabelecidos nos incisos I e II do </w:t>
      </w:r>
      <w:r w:rsidRPr="00A14AE3">
        <w:rPr>
          <w:rFonts w:ascii="Book Antiqua" w:eastAsia="Times New Roman" w:hAnsi="Book Antiqua" w:cs="Arial"/>
          <w:b/>
          <w:bCs/>
          <w:sz w:val="19"/>
          <w:szCs w:val="19"/>
          <w:lang w:eastAsia="pt-BR"/>
        </w:rPr>
        <w:t>caput </w:t>
      </w:r>
      <w:r w:rsidRPr="00A14AE3">
        <w:rPr>
          <w:rFonts w:ascii="Book Antiqua" w:eastAsia="Times New Roman" w:hAnsi="Book Antiqua" w:cs="Arial"/>
          <w:sz w:val="19"/>
          <w:szCs w:val="19"/>
          <w:lang w:eastAsia="pt-BR"/>
        </w:rPr>
        <w:t>ou de inexistência da autorização de que trata o § 1º, as armas de fogo de porte e as armas de fogo portáteis adquiridas por colecionadores, atiradores e caçadores não poderão ser registradas e deverão ser apreendidas e doadas ao Comando do Exército.       </w:t>
      </w:r>
      <w:hyperlink r:id="rId64"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65" w:anchor="art3" w:history="1">
        <w:r w:rsidRPr="00A14AE3">
          <w:rPr>
            <w:rStyle w:val="Hyperlink"/>
            <w:rFonts w:ascii="Book Antiqua" w:eastAsia="Times New Roman" w:hAnsi="Book Antiqua" w:cs="Arial"/>
            <w:sz w:val="19"/>
            <w:szCs w:val="19"/>
            <w:lang w:eastAsia="pt-BR"/>
          </w:rPr>
          <w:t>Vigência</w:t>
        </w:r>
      </w:hyperlink>
    </w:p>
    <w:p w14:paraId="0C1FABF5" w14:textId="3DE7EFBB" w:rsidR="00A14AE3" w:rsidRPr="00AF3F2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Art. 4º  </w:t>
      </w:r>
      <w:r w:rsidRPr="00AF3F23">
        <w:rPr>
          <w:rFonts w:ascii="Book Antiqua" w:eastAsia="Times New Roman" w:hAnsi="Book Antiqua" w:cs="Arial"/>
          <w:sz w:val="19"/>
          <w:szCs w:val="19"/>
          <w:lang w:val="pt-PT" w:eastAsia="pt-BR"/>
        </w:rPr>
        <w:t>A aquisição de munição ou insumos para recarga por </w:t>
      </w:r>
      <w:r w:rsidRPr="00AF3F23">
        <w:rPr>
          <w:rFonts w:ascii="Book Antiqua" w:eastAsia="Times New Roman" w:hAnsi="Book Antiqua" w:cs="Arial"/>
          <w:sz w:val="19"/>
          <w:szCs w:val="19"/>
          <w:lang w:eastAsia="pt-BR"/>
        </w:rPr>
        <w:t>colecionadores, atiradores e caçadores</w:t>
      </w:r>
      <w:r w:rsidRPr="00AF3F23">
        <w:rPr>
          <w:rFonts w:ascii="Book Antiqua" w:eastAsia="Times New Roman" w:hAnsi="Book Antiqua" w:cs="Arial"/>
          <w:sz w:val="19"/>
          <w:szCs w:val="19"/>
          <w:lang w:val="pt-PT" w:eastAsia="pt-BR"/>
        </w:rPr>
        <w:t> ficará condicionada apenas </w:t>
      </w:r>
      <w:r w:rsidRPr="00AF3F23">
        <w:rPr>
          <w:rFonts w:ascii="Book Antiqua" w:eastAsia="Times New Roman" w:hAnsi="Book Antiqua" w:cs="Arial"/>
          <w:sz w:val="19"/>
          <w:szCs w:val="19"/>
          <w:lang w:val="fr-FR" w:eastAsia="pt-BR"/>
        </w:rPr>
        <w:t>à </w:t>
      </w:r>
      <w:r w:rsidRPr="00AF3F23">
        <w:rPr>
          <w:rFonts w:ascii="Book Antiqua" w:eastAsia="Times New Roman" w:hAnsi="Book Antiqua" w:cs="Arial"/>
          <w:sz w:val="19"/>
          <w:szCs w:val="19"/>
          <w:lang w:val="pt-PT" w:eastAsia="pt-BR"/>
        </w:rPr>
        <w:t>apresentação pelo adquirente de documento de identificação válido e do Certificado de Registro de Arma de Fogo no Sinarm ou no Sigma, conforme o caso, e ficará restrita ao calibre correspondente </w:t>
      </w:r>
      <w:r w:rsidRPr="00AF3F23">
        <w:rPr>
          <w:rFonts w:ascii="Book Antiqua" w:eastAsia="Times New Roman" w:hAnsi="Book Antiqua" w:cs="Arial"/>
          <w:sz w:val="19"/>
          <w:szCs w:val="19"/>
          <w:lang w:val="fr-FR" w:eastAsia="pt-BR"/>
        </w:rPr>
        <w:t>à </w:t>
      </w:r>
      <w:r w:rsidRPr="00AF3F23">
        <w:rPr>
          <w:rFonts w:ascii="Book Antiqua" w:eastAsia="Times New Roman" w:hAnsi="Book Antiqua" w:cs="Arial"/>
          <w:sz w:val="19"/>
          <w:szCs w:val="19"/>
          <w:lang w:val="pt-PT" w:eastAsia="pt-BR"/>
        </w:rPr>
        <w:t>arma de fogo registrada.   </w:t>
      </w:r>
      <w:r w:rsidRPr="00AF3F23">
        <w:rPr>
          <w:rFonts w:ascii="Book Antiqua" w:eastAsia="Times New Roman" w:hAnsi="Book Antiqua" w:cs="Arial"/>
          <w:sz w:val="19"/>
          <w:szCs w:val="19"/>
          <w:lang w:eastAsia="pt-BR"/>
        </w:rPr>
        <w:t> </w:t>
      </w:r>
      <w:hyperlink r:id="rId66" w:history="1">
        <w:r w:rsidRPr="00AF3F23">
          <w:rPr>
            <w:rStyle w:val="Hyperlink"/>
            <w:rFonts w:ascii="Book Antiqua" w:eastAsia="Times New Roman" w:hAnsi="Book Antiqua" w:cs="Arial"/>
            <w:sz w:val="19"/>
            <w:szCs w:val="19"/>
            <w:lang w:eastAsia="pt-BR"/>
          </w:rPr>
          <w:t>(Vide ADIN 6675)</w:t>
        </w:r>
      </w:hyperlink>
      <w:r w:rsidRPr="00AF3F23">
        <w:rPr>
          <w:rFonts w:ascii="Book Antiqua" w:eastAsia="Times New Roman" w:hAnsi="Book Antiqua" w:cs="Arial"/>
          <w:sz w:val="19"/>
          <w:szCs w:val="19"/>
          <w:lang w:eastAsia="pt-BR"/>
        </w:rPr>
        <w:t>  </w:t>
      </w:r>
      <w:hyperlink r:id="rId67"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val="pt-PT" w:eastAsia="pt-BR"/>
        </w:rPr>
        <w:t>  </w:t>
      </w:r>
      <w:r w:rsidRPr="00AF3F23">
        <w:rPr>
          <w:rFonts w:ascii="Book Antiqua" w:eastAsia="Times New Roman" w:hAnsi="Book Antiqua" w:cs="Arial"/>
          <w:sz w:val="19"/>
          <w:szCs w:val="19"/>
          <w:lang w:eastAsia="pt-BR"/>
        </w:rPr>
        <w:fldChar w:fldCharType="begin"/>
      </w:r>
      <w:r w:rsidRPr="00AF3F23">
        <w:rPr>
          <w:rFonts w:ascii="Book Antiqua" w:eastAsia="Times New Roman" w:hAnsi="Book Antiqua" w:cs="Arial"/>
          <w:sz w:val="19"/>
          <w:szCs w:val="19"/>
          <w:lang w:eastAsia="pt-BR"/>
        </w:rPr>
        <w:instrText xml:space="preserve"> HYPERLINK "http://www.stf.jus.br/portal/peticaoInicial/verPeticaoInicial.asp?base=ADI&amp;documento=&amp;s1=6675&amp;numProcesso=6695" </w:instrText>
      </w:r>
      <w:r w:rsidRPr="00AF3F23">
        <w:rPr>
          <w:rFonts w:ascii="Book Antiqua" w:eastAsia="Times New Roman" w:hAnsi="Book Antiqua" w:cs="Arial"/>
          <w:sz w:val="19"/>
          <w:szCs w:val="19"/>
          <w:lang w:eastAsia="pt-BR"/>
        </w:rPr>
        <w:fldChar w:fldCharType="separate"/>
      </w:r>
      <w:r w:rsidRPr="00AF3F23">
        <w:rPr>
          <w:rStyle w:val="Hyperlink"/>
          <w:rFonts w:ascii="Book Antiqua" w:eastAsia="Times New Roman" w:hAnsi="Book Antiqua" w:cs="Arial"/>
          <w:sz w:val="19"/>
          <w:szCs w:val="19"/>
          <w:lang w:eastAsia="pt-BR"/>
        </w:rPr>
        <w:t>(Vide ADIN 6695)</w:t>
      </w:r>
      <w:r w:rsidRPr="00AF3F23">
        <w:rPr>
          <w:rFonts w:ascii="Book Antiqua" w:eastAsia="Times New Roman" w:hAnsi="Book Antiqua" w:cs="Arial"/>
          <w:sz w:val="19"/>
          <w:szCs w:val="19"/>
          <w:lang w:eastAsia="pt-BR"/>
        </w:rPr>
        <w:fldChar w:fldCharType="end"/>
      </w:r>
    </w:p>
    <w:p w14:paraId="1D0AACE9"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 1º Os atiradores e os caçadores proprietários de arma de fogo poderão adquirir, no período de um ano:       </w:t>
      </w:r>
      <w:hyperlink r:id="rId68" w:anchor="art1" w:history="1">
        <w:r w:rsidRPr="00A14AE3">
          <w:rPr>
            <w:rStyle w:val="Hyperlink"/>
            <w:rFonts w:ascii="Book Antiqua" w:eastAsia="Times New Roman" w:hAnsi="Book Antiqua" w:cs="Arial"/>
            <w:sz w:val="19"/>
            <w:szCs w:val="19"/>
            <w:lang w:eastAsia="pt-BR"/>
          </w:rPr>
          <w:t>(Redação dada pelo Decreto nº 10.629, de 2021)</w:t>
        </w:r>
      </w:hyperlink>
      <w:r w:rsidRPr="00A14AE3">
        <w:rPr>
          <w:rFonts w:ascii="Book Antiqua" w:eastAsia="Times New Roman" w:hAnsi="Book Antiqua" w:cs="Arial"/>
          <w:sz w:val="19"/>
          <w:szCs w:val="19"/>
          <w:lang w:eastAsia="pt-BR"/>
        </w:rPr>
        <w:t>   </w:t>
      </w:r>
      <w:hyperlink r:id="rId69"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70"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71"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72" w:history="1">
        <w:r w:rsidRPr="00A14AE3">
          <w:rPr>
            <w:rStyle w:val="Hyperlink"/>
            <w:rFonts w:ascii="Book Antiqua" w:eastAsia="Times New Roman" w:hAnsi="Book Antiqua" w:cs="Arial"/>
            <w:sz w:val="19"/>
            <w:szCs w:val="19"/>
            <w:lang w:eastAsia="pt-BR"/>
          </w:rPr>
          <w:t>(Vide ADIN 6677)</w:t>
        </w:r>
      </w:hyperlink>
      <w:r w:rsidRPr="00A14AE3">
        <w:rPr>
          <w:rFonts w:ascii="Book Antiqua" w:eastAsia="Times New Roman" w:hAnsi="Book Antiqua" w:cs="Arial"/>
          <w:sz w:val="19"/>
          <w:szCs w:val="19"/>
          <w:lang w:eastAsia="pt-BR"/>
        </w:rPr>
        <w:t>  </w:t>
      </w:r>
      <w:hyperlink r:id="rId73" w:history="1">
        <w:r w:rsidRPr="00A14AE3">
          <w:rPr>
            <w:rStyle w:val="Hyperlink"/>
            <w:rFonts w:ascii="Book Antiqua" w:eastAsia="Times New Roman" w:hAnsi="Book Antiqua" w:cs="Arial"/>
            <w:sz w:val="19"/>
            <w:szCs w:val="19"/>
            <w:lang w:eastAsia="pt-BR"/>
          </w:rPr>
          <w:t>(Vide ADIN 6695)</w:t>
        </w:r>
      </w:hyperlink>
    </w:p>
    <w:p w14:paraId="3D981985"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I - até mil unidades de munição e insumos para recarga de até dois mil cartuchos para cada arma de fogo de uso restrito; e       </w:t>
      </w:r>
      <w:hyperlink r:id="rId74"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75"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76"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77"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78" w:history="1">
        <w:r w:rsidRPr="00A14AE3">
          <w:rPr>
            <w:rStyle w:val="Hyperlink"/>
            <w:rFonts w:ascii="Book Antiqua" w:eastAsia="Times New Roman" w:hAnsi="Book Antiqua" w:cs="Arial"/>
            <w:sz w:val="19"/>
            <w:szCs w:val="19"/>
            <w:lang w:eastAsia="pt-BR"/>
          </w:rPr>
          <w:t>(Vide ADIN 6677)</w:t>
        </w:r>
      </w:hyperlink>
      <w:r w:rsidRPr="00A14AE3">
        <w:rPr>
          <w:rFonts w:ascii="Book Antiqua" w:eastAsia="Times New Roman" w:hAnsi="Book Antiqua" w:cs="Arial"/>
          <w:sz w:val="19"/>
          <w:szCs w:val="19"/>
          <w:lang w:eastAsia="pt-BR"/>
        </w:rPr>
        <w:t>   </w:t>
      </w:r>
      <w:hyperlink r:id="rId79" w:history="1">
        <w:r w:rsidRPr="00A14AE3">
          <w:rPr>
            <w:rStyle w:val="Hyperlink"/>
            <w:rFonts w:ascii="Book Antiqua" w:eastAsia="Times New Roman" w:hAnsi="Book Antiqua" w:cs="Arial"/>
            <w:sz w:val="19"/>
            <w:szCs w:val="19"/>
            <w:lang w:eastAsia="pt-BR"/>
          </w:rPr>
          <w:t>(Vide ADIN 6695)</w:t>
        </w:r>
      </w:hyperlink>
    </w:p>
    <w:p w14:paraId="0F17E9F9"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14AE3">
        <w:rPr>
          <w:rFonts w:ascii="Book Antiqua" w:eastAsia="Times New Roman" w:hAnsi="Book Antiqua" w:cs="Arial"/>
          <w:sz w:val="19"/>
          <w:szCs w:val="19"/>
          <w:lang w:eastAsia="pt-BR"/>
        </w:rPr>
        <w:t>II - até cinco mil unidades de munição e insumos para recarga de até cinco mil cartuchos para cada arma de uso permitido registradas em seu nome.       </w:t>
      </w:r>
      <w:hyperlink r:id="rId80" w:anchor="art1" w:history="1">
        <w:r w:rsidRPr="00A14AE3">
          <w:rPr>
            <w:rStyle w:val="Hyperlink"/>
            <w:rFonts w:ascii="Book Antiqua" w:eastAsia="Times New Roman" w:hAnsi="Book Antiqua" w:cs="Arial"/>
            <w:sz w:val="19"/>
            <w:szCs w:val="19"/>
            <w:lang w:eastAsia="pt-BR"/>
          </w:rPr>
          <w:t>(Incluído pelo Decreto nº 10.629, de 2021)</w:t>
        </w:r>
      </w:hyperlink>
      <w:r w:rsidRPr="00A14AE3">
        <w:rPr>
          <w:rFonts w:ascii="Book Antiqua" w:eastAsia="Times New Roman" w:hAnsi="Book Antiqua" w:cs="Arial"/>
          <w:sz w:val="19"/>
          <w:szCs w:val="19"/>
          <w:lang w:eastAsia="pt-BR"/>
        </w:rPr>
        <w:t>   </w:t>
      </w:r>
      <w:hyperlink r:id="rId81" w:anchor="art3" w:history="1">
        <w:r w:rsidRPr="00A14AE3">
          <w:rPr>
            <w:rStyle w:val="Hyperlink"/>
            <w:rFonts w:ascii="Book Antiqua" w:eastAsia="Times New Roman" w:hAnsi="Book Antiqua" w:cs="Arial"/>
            <w:sz w:val="19"/>
            <w:szCs w:val="19"/>
            <w:lang w:eastAsia="pt-BR"/>
          </w:rPr>
          <w:t>Vigência </w:t>
        </w:r>
      </w:hyperlink>
      <w:r w:rsidRPr="00A14AE3">
        <w:rPr>
          <w:rFonts w:ascii="Book Antiqua" w:eastAsia="Times New Roman" w:hAnsi="Book Antiqua" w:cs="Arial"/>
          <w:sz w:val="19"/>
          <w:szCs w:val="19"/>
          <w:lang w:eastAsia="pt-BR"/>
        </w:rPr>
        <w:t>   </w:t>
      </w:r>
      <w:hyperlink r:id="rId82" w:history="1">
        <w:r w:rsidRPr="00A14AE3">
          <w:rPr>
            <w:rStyle w:val="Hyperlink"/>
            <w:rFonts w:ascii="Book Antiqua" w:eastAsia="Times New Roman" w:hAnsi="Book Antiqua" w:cs="Arial"/>
            <w:sz w:val="19"/>
            <w:szCs w:val="19"/>
            <w:lang w:eastAsia="pt-BR"/>
          </w:rPr>
          <w:t>(Vide ADIN 6675)</w:t>
        </w:r>
      </w:hyperlink>
      <w:r w:rsidRPr="00A14AE3">
        <w:rPr>
          <w:rFonts w:ascii="Book Antiqua" w:eastAsia="Times New Roman" w:hAnsi="Book Antiqua" w:cs="Arial"/>
          <w:sz w:val="19"/>
          <w:szCs w:val="19"/>
          <w:lang w:eastAsia="pt-BR"/>
        </w:rPr>
        <w:t>  </w:t>
      </w:r>
      <w:hyperlink r:id="rId83" w:history="1">
        <w:r w:rsidRPr="00A14AE3">
          <w:rPr>
            <w:rStyle w:val="Hyperlink"/>
            <w:rFonts w:ascii="Book Antiqua" w:eastAsia="Times New Roman" w:hAnsi="Book Antiqua" w:cs="Arial"/>
            <w:sz w:val="19"/>
            <w:szCs w:val="19"/>
            <w:lang w:eastAsia="pt-BR"/>
          </w:rPr>
          <w:t>(Vide ADIN 6676)</w:t>
        </w:r>
      </w:hyperlink>
      <w:r w:rsidRPr="00A14AE3">
        <w:rPr>
          <w:rFonts w:ascii="Book Antiqua" w:eastAsia="Times New Roman" w:hAnsi="Book Antiqua" w:cs="Arial"/>
          <w:sz w:val="19"/>
          <w:szCs w:val="19"/>
          <w:lang w:eastAsia="pt-BR"/>
        </w:rPr>
        <w:t> </w:t>
      </w:r>
      <w:hyperlink r:id="rId84" w:history="1">
        <w:r w:rsidRPr="00A14AE3">
          <w:rPr>
            <w:rStyle w:val="Hyperlink"/>
            <w:rFonts w:ascii="Book Antiqua" w:eastAsia="Times New Roman" w:hAnsi="Book Antiqua" w:cs="Arial"/>
            <w:sz w:val="19"/>
            <w:szCs w:val="19"/>
            <w:lang w:eastAsia="pt-BR"/>
          </w:rPr>
          <w:t>(Vide ADIN 6677)</w:t>
        </w:r>
      </w:hyperlink>
      <w:r w:rsidRPr="00A14AE3">
        <w:rPr>
          <w:rFonts w:ascii="Book Antiqua" w:eastAsia="Times New Roman" w:hAnsi="Book Antiqua" w:cs="Arial"/>
          <w:sz w:val="19"/>
          <w:szCs w:val="19"/>
          <w:lang w:eastAsia="pt-BR"/>
        </w:rPr>
        <w:t>  </w:t>
      </w:r>
      <w:hyperlink r:id="rId85" w:history="1">
        <w:r w:rsidRPr="00A14AE3">
          <w:rPr>
            <w:rStyle w:val="Hyperlink"/>
            <w:rFonts w:ascii="Book Antiqua" w:eastAsia="Times New Roman" w:hAnsi="Book Antiqua" w:cs="Arial"/>
            <w:sz w:val="19"/>
            <w:szCs w:val="19"/>
            <w:lang w:eastAsia="pt-BR"/>
          </w:rPr>
          <w:t>(Vide ADIN 6695)</w:t>
        </w:r>
      </w:hyperlink>
    </w:p>
    <w:p w14:paraId="2377A317" w14:textId="77777777" w:rsidR="00A14AE3" w:rsidRPr="00A14AE3" w:rsidRDefault="00A14AE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4§1a"/>
      <w:bookmarkEnd w:id="11"/>
      <w:r w:rsidRPr="00A14AE3">
        <w:rPr>
          <w:rFonts w:ascii="Book Antiqua" w:eastAsia="Times New Roman" w:hAnsi="Book Antiqua" w:cs="Arial"/>
          <w:sz w:val="19"/>
          <w:szCs w:val="19"/>
          <w:lang w:eastAsia="pt-BR"/>
        </w:rPr>
        <w:lastRenderedPageBreak/>
        <w:t>§ 1º-A Os caçadores e os atiradores comunicarão a aquisição de munições e insumos ao Comando do Exército no prazo de setenta e duas horas, contado da data de efetivação da compra, e o endereço do local em que serão armazenados.        </w:t>
      </w:r>
      <w:hyperlink r:id="rId86" w:anchor="art1" w:history="1">
        <w:r w:rsidRPr="00A14AE3">
          <w:rPr>
            <w:rStyle w:val="Hyperlink"/>
            <w:rFonts w:ascii="Book Antiqua" w:eastAsia="Times New Roman" w:hAnsi="Book Antiqua" w:cs="Arial"/>
            <w:sz w:val="19"/>
            <w:szCs w:val="19"/>
            <w:lang w:eastAsia="pt-BR"/>
          </w:rPr>
          <w:t>(Incluído pelo Decreto nº 10.629, de 2021)</w:t>
        </w:r>
      </w:hyperlink>
    </w:p>
    <w:p w14:paraId="3001C36E" w14:textId="7D06CCD2"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Não estão sujeitas ao limite de que trata o § 1º as munições adquiridas por entidades e escolas de tiro devidamente credenciadas para fornecimento aos seus membros, associados, integrantes ou clientes, para realização de treinamentos, cursos, instruções, aulas, provas, competições e testes de capacidade técnica para o manuseio de arma de fogo.      </w:t>
      </w:r>
      <w:hyperlink r:id="rId87"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88"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89" w:history="1">
        <w:r w:rsidRPr="00AF3F23">
          <w:rPr>
            <w:rStyle w:val="Hyperlink"/>
            <w:rFonts w:ascii="Book Antiqua" w:eastAsia="Times New Roman" w:hAnsi="Book Antiqua" w:cs="Arial"/>
            <w:sz w:val="19"/>
            <w:szCs w:val="19"/>
            <w:lang w:eastAsia="pt-BR"/>
          </w:rPr>
          <w:t>(Vide ADIN 6675)</w:t>
        </w:r>
      </w:hyperlink>
      <w:r w:rsidRPr="00AF3F23">
        <w:rPr>
          <w:rFonts w:ascii="Book Antiqua" w:eastAsia="Times New Roman" w:hAnsi="Book Antiqua" w:cs="Arial"/>
          <w:sz w:val="19"/>
          <w:szCs w:val="19"/>
          <w:lang w:eastAsia="pt-BR"/>
        </w:rPr>
        <w:t>  </w:t>
      </w:r>
      <w:hyperlink r:id="rId90" w:history="1">
        <w:r w:rsidRPr="00AF3F23">
          <w:rPr>
            <w:rStyle w:val="Hyperlink"/>
            <w:rFonts w:ascii="Book Antiqua" w:eastAsia="Times New Roman" w:hAnsi="Book Antiqua" w:cs="Arial"/>
            <w:sz w:val="19"/>
            <w:szCs w:val="19"/>
            <w:lang w:eastAsia="pt-BR"/>
          </w:rPr>
          <w:t>(Vide ADIN 6676)</w:t>
        </w:r>
      </w:hyperlink>
      <w:r w:rsidRPr="00AF3F23">
        <w:rPr>
          <w:rFonts w:ascii="Book Antiqua" w:eastAsia="Times New Roman" w:hAnsi="Book Antiqua" w:cs="Arial"/>
          <w:sz w:val="19"/>
          <w:szCs w:val="19"/>
          <w:lang w:eastAsia="pt-BR"/>
        </w:rPr>
        <w:t>   </w:t>
      </w:r>
      <w:hyperlink r:id="rId91" w:history="1">
        <w:r w:rsidRPr="00AF3F23">
          <w:rPr>
            <w:rStyle w:val="Hyperlink"/>
            <w:rFonts w:ascii="Book Antiqua" w:eastAsia="Times New Roman" w:hAnsi="Book Antiqua" w:cs="Arial"/>
            <w:sz w:val="19"/>
            <w:szCs w:val="19"/>
            <w:lang w:eastAsia="pt-BR"/>
          </w:rPr>
          <w:t>(Vide ADIN 6677)</w:t>
        </w:r>
      </w:hyperlink>
      <w:r w:rsidRPr="00AF3F23">
        <w:rPr>
          <w:rFonts w:ascii="Book Antiqua" w:eastAsia="Times New Roman" w:hAnsi="Book Antiqua" w:cs="Arial"/>
          <w:sz w:val="19"/>
          <w:szCs w:val="19"/>
          <w:lang w:eastAsia="pt-BR"/>
        </w:rPr>
        <w:t>     </w:t>
      </w:r>
      <w:hyperlink r:id="rId92" w:history="1">
        <w:r w:rsidRPr="00AF3F23">
          <w:rPr>
            <w:rStyle w:val="Hyperlink"/>
            <w:rFonts w:ascii="Book Antiqua" w:eastAsia="Times New Roman" w:hAnsi="Book Antiqua" w:cs="Arial"/>
            <w:sz w:val="19"/>
            <w:szCs w:val="19"/>
            <w:lang w:eastAsia="pt-BR"/>
          </w:rPr>
          <w:t>(Vide ADIN 6695)</w:t>
        </w:r>
      </w:hyperlink>
    </w:p>
    <w:p w14:paraId="5E15C574"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As armas pertencentes ao acervo de colecionador não podem ser consideradas para a aquisição de munições a que se refere o § 1º.</w:t>
      </w:r>
    </w:p>
    <w:p w14:paraId="01A6E137"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4º Os caçadores e os atiradores poderão ser autorizados a adquirir munições em quantidade superior ao limite estabelecido no § 1º, a critério do Comando do Exército e por meio de requerimento, desde que respeitados os seguintes quantitativos:       </w:t>
      </w:r>
      <w:hyperlink r:id="rId93"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94"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95" w:history="1">
        <w:r w:rsidRPr="00AF3F23">
          <w:rPr>
            <w:rStyle w:val="Hyperlink"/>
            <w:rFonts w:ascii="Book Antiqua" w:eastAsia="Times New Roman" w:hAnsi="Book Antiqua" w:cs="Arial"/>
            <w:sz w:val="19"/>
            <w:szCs w:val="19"/>
            <w:lang w:eastAsia="pt-BR"/>
          </w:rPr>
          <w:t>(Vide ADIN 6695)</w:t>
        </w:r>
      </w:hyperlink>
    </w:p>
    <w:p w14:paraId="7A1AA7DC"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para caçadores, até duas vezes o limite estabelecido no §1º; e        </w:t>
      </w:r>
      <w:hyperlink r:id="rId9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97"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98" w:history="1">
        <w:r w:rsidRPr="00AF3F23">
          <w:rPr>
            <w:rStyle w:val="Hyperlink"/>
            <w:rFonts w:ascii="Book Antiqua" w:eastAsia="Times New Roman" w:hAnsi="Book Antiqua" w:cs="Arial"/>
            <w:sz w:val="19"/>
            <w:szCs w:val="19"/>
            <w:lang w:eastAsia="pt-BR"/>
          </w:rPr>
          <w:t>(Vide ADIN 6695)</w:t>
        </w:r>
      </w:hyperlink>
    </w:p>
    <w:p w14:paraId="6BA69B8E"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 - para atiradores desportivos, até cinco vezes o limite estabelecido no § 1º.        </w:t>
      </w:r>
      <w:hyperlink r:id="rId99"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00"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101" w:history="1">
        <w:r w:rsidRPr="00AF3F23">
          <w:rPr>
            <w:rStyle w:val="Hyperlink"/>
            <w:rFonts w:ascii="Book Antiqua" w:eastAsia="Times New Roman" w:hAnsi="Book Antiqua" w:cs="Arial"/>
            <w:sz w:val="19"/>
            <w:szCs w:val="19"/>
            <w:lang w:eastAsia="pt-BR"/>
          </w:rPr>
          <w:t>(Vide ADIN 6695)</w:t>
        </w:r>
      </w:hyperlink>
    </w:p>
    <w:p w14:paraId="626C5D55"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 w:name="art5"/>
      <w:bookmarkEnd w:id="12"/>
      <w:r w:rsidRPr="00AF3F23">
        <w:rPr>
          <w:rFonts w:ascii="Book Antiqua" w:eastAsia="Times New Roman" w:hAnsi="Book Antiqua" w:cs="Arial"/>
          <w:sz w:val="19"/>
          <w:szCs w:val="19"/>
          <w:lang w:eastAsia="pt-BR"/>
        </w:rPr>
        <w:t xml:space="preserve">Art. 5º  Os clubes e as escolas de tiro e os colecionadores, os atiradores e os caçadores serão registrados no Comando do </w:t>
      </w:r>
      <w:proofErr w:type="spellStart"/>
      <w:r w:rsidRPr="00AF3F23">
        <w:rPr>
          <w:rFonts w:ascii="Book Antiqua" w:eastAsia="Times New Roman" w:hAnsi="Book Antiqua" w:cs="Arial"/>
          <w:sz w:val="19"/>
          <w:szCs w:val="19"/>
          <w:lang w:eastAsia="pt-BR"/>
        </w:rPr>
        <w:t>Ex</w:t>
      </w:r>
      <w:proofErr w:type="spellEnd"/>
      <w:r w:rsidRPr="00AF3F23">
        <w:rPr>
          <w:rFonts w:ascii="Book Antiqua" w:eastAsia="Times New Roman" w:hAnsi="Book Antiqua" w:cs="Arial"/>
          <w:sz w:val="19"/>
          <w:szCs w:val="19"/>
          <w:lang w:val="fr-FR" w:eastAsia="pt-BR"/>
        </w:rPr>
        <w:t>é</w:t>
      </w:r>
      <w:proofErr w:type="spellStart"/>
      <w:r w:rsidRPr="00AF3F23">
        <w:rPr>
          <w:rFonts w:ascii="Book Antiqua" w:eastAsia="Times New Roman" w:hAnsi="Book Antiqua" w:cs="Arial"/>
          <w:sz w:val="19"/>
          <w:szCs w:val="19"/>
          <w:lang w:eastAsia="pt-BR"/>
        </w:rPr>
        <w:t>rcito</w:t>
      </w:r>
      <w:proofErr w:type="spellEnd"/>
      <w:r w:rsidRPr="00AF3F23">
        <w:rPr>
          <w:rFonts w:ascii="Book Antiqua" w:eastAsia="Times New Roman" w:hAnsi="Book Antiqua" w:cs="Arial"/>
          <w:sz w:val="19"/>
          <w:szCs w:val="19"/>
          <w:lang w:eastAsia="pt-BR"/>
        </w:rPr>
        <w:t xml:space="preserve">. </w:t>
      </w:r>
    </w:p>
    <w:p w14:paraId="72456675"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O Comando do Exército fiscalizará o cumprimento das normas e das condições de segurança dos depósitos de armas de fogo, munições e equipamentos de recarga.</w:t>
      </w:r>
    </w:p>
    <w:p w14:paraId="0745E7DD" w14:textId="567C6C7F"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Fica garantido , no território nacional, o direito de transporte desmuniciado das armas dos clubes e das escolas de tiro e de seus integrantes e dos colecionadores, dos atiradores e dos caçadores, por meio da apresentação do Certificado de Registro de Colecionador, Atirador e Caçador ou do Certificado de Registro de Arma de Fogo válido, desde que a munição transportada seja acondicionada em recipiente próprio, separado das armas.         </w:t>
      </w:r>
      <w:hyperlink r:id="rId102" w:anchor="art1" w:history="1">
        <w:r w:rsidRPr="00AF3F23">
          <w:rPr>
            <w:rStyle w:val="Hyperlink"/>
            <w:rFonts w:ascii="Book Antiqua" w:eastAsia="Times New Roman" w:hAnsi="Book Antiqua" w:cs="Arial"/>
            <w:sz w:val="19"/>
            <w:szCs w:val="19"/>
            <w:lang w:eastAsia="pt-BR"/>
          </w:rPr>
          <w:t>(Redação dada pelo Decreto nº 10.629, de 2021)</w:t>
        </w:r>
      </w:hyperlink>
    </w:p>
    <w:p w14:paraId="2531ECBB" w14:textId="766FD619"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Os colecionadores, os atiradores e os caçadores poderão portar uma arma de fogo de porte municiada, alimentada e carregada, pertencente a seu acervo cadastrado no Sigma, no trajeto entre o local de guarda autorizado e os de treinamento, instrução, competição, manutenção, exposição, caça ou abate, por meio da apresentação do Certificado de Registro de Arma de Fogo e da Guia de Tráfego válida, expedida pelo Comando do Exército.        </w:t>
      </w:r>
      <w:hyperlink r:id="rId103" w:anchor="art1" w:history="1">
        <w:r w:rsidRPr="00AF3F23">
          <w:rPr>
            <w:rStyle w:val="Hyperlink"/>
            <w:rFonts w:ascii="Book Antiqua" w:eastAsia="Times New Roman" w:hAnsi="Book Antiqua" w:cs="Arial"/>
            <w:sz w:val="19"/>
            <w:szCs w:val="19"/>
            <w:lang w:eastAsia="pt-BR"/>
          </w:rPr>
          <w:t>(Redação dada pelo Decreto nº 10.629, de 2021)</w:t>
        </w:r>
      </w:hyperlink>
    </w:p>
    <w:p w14:paraId="71CC0C84"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4º  A Guia de Tráfego é o documento que confere a autorização para o tráfego de armas, acessórios e munições no território nacional e corresponde ao porte de trânsito previsto no </w:t>
      </w:r>
      <w:hyperlink r:id="rId104" w:anchor="art24" w:history="1">
        <w:r w:rsidRPr="00AF3F23">
          <w:rPr>
            <w:rFonts w:ascii="Book Antiqua" w:eastAsia="Times New Roman" w:hAnsi="Book Antiqua" w:cs="Arial"/>
            <w:color w:val="0000FF"/>
            <w:sz w:val="19"/>
            <w:szCs w:val="19"/>
            <w:u w:val="single"/>
            <w:lang w:eastAsia="pt-BR"/>
          </w:rPr>
          <w:t xml:space="preserve">art. 24 da Lei nº 10.826, </w:t>
        </w:r>
      </w:hyperlink>
      <w:hyperlink r:id="rId105" w:anchor="art24" w:history="1">
        <w:r w:rsidRPr="00AF3F23">
          <w:rPr>
            <w:rFonts w:ascii="Book Antiqua" w:eastAsia="Times New Roman" w:hAnsi="Book Antiqua" w:cs="Arial"/>
            <w:color w:val="0000FF"/>
            <w:sz w:val="19"/>
            <w:szCs w:val="19"/>
            <w:u w:val="single"/>
            <w:lang w:eastAsia="pt-BR"/>
          </w:rPr>
          <w:t>de 22 de dezembro de 2003</w:t>
        </w:r>
      </w:hyperlink>
      <w:r w:rsidRPr="00AF3F23">
        <w:rPr>
          <w:rFonts w:ascii="Book Antiqua" w:eastAsia="Times New Roman" w:hAnsi="Book Antiqua" w:cs="Arial"/>
          <w:sz w:val="19"/>
          <w:szCs w:val="19"/>
          <w:lang w:eastAsia="pt-BR"/>
        </w:rPr>
        <w:t>.</w:t>
      </w:r>
    </w:p>
    <w:p w14:paraId="227898B4"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3" w:name="art6"/>
      <w:bookmarkEnd w:id="13"/>
      <w:r w:rsidRPr="00AF3F23">
        <w:rPr>
          <w:rFonts w:ascii="Book Antiqua" w:eastAsia="Times New Roman" w:hAnsi="Book Antiqua" w:cs="Arial"/>
          <w:sz w:val="19"/>
          <w:szCs w:val="19"/>
          <w:lang w:eastAsia="pt-BR"/>
        </w:rPr>
        <w:t>§ 5º  A Guia de Tráfego a que refere o § 4º poderá ser emitida no sítio eletrônico do Comando do Exército.   </w:t>
      </w:r>
      <w:hyperlink r:id="rId106" w:anchor="art4" w:history="1">
        <w:r w:rsidRPr="00AF3F23">
          <w:rPr>
            <w:rStyle w:val="Hyperlink"/>
            <w:rFonts w:ascii="Book Antiqua" w:eastAsia="Times New Roman" w:hAnsi="Book Antiqua" w:cs="Arial"/>
            <w:sz w:val="19"/>
            <w:szCs w:val="19"/>
            <w:lang w:eastAsia="pt-BR"/>
          </w:rPr>
          <w:t>(Redação dada pelo Decreto nº 10.030, de 2019)</w:t>
        </w:r>
      </w:hyperlink>
    </w:p>
    <w:p w14:paraId="0786EF0F"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4" w:name="art5§6"/>
      <w:bookmarkEnd w:id="14"/>
      <w:r w:rsidRPr="00AF3F23">
        <w:rPr>
          <w:rFonts w:ascii="Book Antiqua" w:eastAsia="Times New Roman" w:hAnsi="Book Antiqua" w:cs="Arial"/>
          <w:sz w:val="19"/>
          <w:szCs w:val="19"/>
          <w:lang w:eastAsia="pt-BR"/>
        </w:rPr>
        <w:t>§ 6º Para fins do disposto no § 3º, considera-se trajeto qualquer itinerário realizado entre o local de guarda autorizado e os de treinamento, instrução, competição, manutenção, exposição, caça ou abate, independentemente do horário, assegurado o direito de retorno ao local de guarda do acervo.        </w:t>
      </w:r>
      <w:hyperlink r:id="rId107"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08" w:anchor="art3" w:history="1">
        <w:r w:rsidRPr="00AF3F23">
          <w:rPr>
            <w:rStyle w:val="Hyperlink"/>
            <w:rFonts w:ascii="Book Antiqua" w:eastAsia="Times New Roman" w:hAnsi="Book Antiqua" w:cs="Arial"/>
            <w:sz w:val="19"/>
            <w:szCs w:val="19"/>
            <w:lang w:eastAsia="pt-BR"/>
          </w:rPr>
          <w:t>Vigência</w:t>
        </w:r>
      </w:hyperlink>
    </w:p>
    <w:p w14:paraId="5E8DD8BB"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 w:name="art5§7"/>
      <w:bookmarkEnd w:id="15"/>
      <w:r w:rsidRPr="00AF3F23">
        <w:rPr>
          <w:rFonts w:ascii="Book Antiqua" w:eastAsia="Times New Roman" w:hAnsi="Book Antiqua" w:cs="Arial"/>
          <w:sz w:val="19"/>
          <w:szCs w:val="19"/>
          <w:lang w:eastAsia="pt-BR"/>
        </w:rPr>
        <w:t>§ 7º  Os atiradores desportivos poderão:         </w:t>
      </w:r>
      <w:hyperlink r:id="rId109"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10" w:anchor="art3" w:history="1">
        <w:r w:rsidRPr="00AF3F23">
          <w:rPr>
            <w:rStyle w:val="Hyperlink"/>
            <w:rFonts w:ascii="Book Antiqua" w:eastAsia="Times New Roman" w:hAnsi="Book Antiqua" w:cs="Arial"/>
            <w:sz w:val="19"/>
            <w:szCs w:val="19"/>
            <w:lang w:eastAsia="pt-BR"/>
          </w:rPr>
          <w:t>Vigência</w:t>
        </w:r>
      </w:hyperlink>
    </w:p>
    <w:p w14:paraId="02C06650"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apostilar armas de pressão utilizadas em competições de tiro nas modalidades de ar comprimido ao seu acervo de atirador; e         </w:t>
      </w:r>
      <w:hyperlink r:id="rId111"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12" w:anchor="art3" w:history="1">
        <w:r w:rsidRPr="00AF3F23">
          <w:rPr>
            <w:rStyle w:val="Hyperlink"/>
            <w:rFonts w:ascii="Book Antiqua" w:eastAsia="Times New Roman" w:hAnsi="Book Antiqua" w:cs="Arial"/>
            <w:sz w:val="19"/>
            <w:szCs w:val="19"/>
            <w:lang w:eastAsia="pt-BR"/>
          </w:rPr>
          <w:t>Vigência</w:t>
        </w:r>
      </w:hyperlink>
    </w:p>
    <w:p w14:paraId="2A21BF84"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lastRenderedPageBreak/>
        <w:t>II - solicitar Guia de Tráfego para transportar as armas a que se refere o inciso I para os locais de provas e competições.        </w:t>
      </w:r>
      <w:hyperlink r:id="rId113" w:anchor="art1" w:history="1">
        <w:r w:rsidRPr="00AF3F23">
          <w:rPr>
            <w:rStyle w:val="Hyperlink"/>
            <w:rFonts w:ascii="Book Antiqua" w:eastAsia="Times New Roman" w:hAnsi="Book Antiqua" w:cs="Arial"/>
            <w:sz w:val="19"/>
            <w:szCs w:val="19"/>
            <w:lang w:eastAsia="pt-BR"/>
          </w:rPr>
          <w:t>(Incluído pelo Decreto nº 10.629, de 2021)</w:t>
        </w:r>
      </w:hyperlink>
    </w:p>
    <w:p w14:paraId="073E8556"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Art. 6º Os clubes e as escolas de tiro poderão fornecer a seus associados e clientes munição original e recarregada para uso exclusivo nas dependências da agremiação em treinamentos, cursos, instruções, aulas, provas, competições e testes de capacidade técnica para o manuseio de arma de fogo.       </w:t>
      </w:r>
      <w:hyperlink r:id="rId114"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115" w:anchor="art3" w:history="1">
        <w:r w:rsidRPr="00AF3F23">
          <w:rPr>
            <w:rStyle w:val="Hyperlink"/>
            <w:rFonts w:ascii="Book Antiqua" w:eastAsia="Times New Roman" w:hAnsi="Book Antiqua" w:cs="Arial"/>
            <w:sz w:val="19"/>
            <w:szCs w:val="19"/>
            <w:lang w:eastAsia="pt-BR"/>
          </w:rPr>
          <w:t>Vigência</w:t>
        </w:r>
      </w:hyperlink>
    </w:p>
    <w:p w14:paraId="048DE6D3"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O limite de que trata o § 1º do art. 3º não se aplica aos clubes e às escolas de tiro com registro válido no Comando do Exército.        </w:t>
      </w:r>
      <w:hyperlink r:id="rId11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17" w:anchor="art3" w:history="1">
        <w:r w:rsidRPr="00AF3F23">
          <w:rPr>
            <w:rStyle w:val="Hyperlink"/>
            <w:rFonts w:ascii="Book Antiqua" w:eastAsia="Times New Roman" w:hAnsi="Book Antiqua" w:cs="Arial"/>
            <w:sz w:val="19"/>
            <w:szCs w:val="19"/>
            <w:lang w:eastAsia="pt-BR"/>
          </w:rPr>
          <w:t>Vigência</w:t>
        </w:r>
      </w:hyperlink>
    </w:p>
    <w:p w14:paraId="52DCD111"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Os clubes e as escolas de tiro poderão fornecer, nas mesmas condições, munição para os cidadãos que tiverem iniciado os procedimentos para aquisição de arma de fogo para defesa pessoal ou para obtenção do Certificado de Registro de Colecionador, Atirador e Caçador para uso exclusivo dentro das agremiações.       </w:t>
      </w:r>
      <w:hyperlink r:id="rId118"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19" w:anchor="art3" w:history="1">
        <w:r w:rsidRPr="00AF3F23">
          <w:rPr>
            <w:rStyle w:val="Hyperlink"/>
            <w:rFonts w:ascii="Book Antiqua" w:eastAsia="Times New Roman" w:hAnsi="Book Antiqua" w:cs="Arial"/>
            <w:sz w:val="19"/>
            <w:szCs w:val="19"/>
            <w:lang w:eastAsia="pt-BR"/>
          </w:rPr>
          <w:t>Vigência</w:t>
        </w:r>
      </w:hyperlink>
    </w:p>
    <w:p w14:paraId="7C4D5DA7"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xml:space="preserve">§ 3º  Na hipótese prevista no § 2º, as munições serão controladas pelo Sistema de Controle de Venda e Estoque de Munições - </w:t>
      </w:r>
      <w:proofErr w:type="spellStart"/>
      <w:r w:rsidRPr="00AF3F23">
        <w:rPr>
          <w:rFonts w:ascii="Book Antiqua" w:eastAsia="Times New Roman" w:hAnsi="Book Antiqua" w:cs="Arial"/>
          <w:sz w:val="19"/>
          <w:szCs w:val="19"/>
          <w:lang w:eastAsia="pt-BR"/>
        </w:rPr>
        <w:t>Sicovem</w:t>
      </w:r>
      <w:proofErr w:type="spellEnd"/>
      <w:r w:rsidRPr="00AF3F23">
        <w:rPr>
          <w:rFonts w:ascii="Book Antiqua" w:eastAsia="Times New Roman" w:hAnsi="Book Antiqua" w:cs="Arial"/>
          <w:sz w:val="19"/>
          <w:szCs w:val="19"/>
          <w:lang w:eastAsia="pt-BR"/>
        </w:rPr>
        <w:t>.       </w:t>
      </w:r>
      <w:hyperlink r:id="rId120"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21" w:anchor="art3" w:history="1">
        <w:r w:rsidRPr="00AF3F23">
          <w:rPr>
            <w:rStyle w:val="Hyperlink"/>
            <w:rFonts w:ascii="Book Antiqua" w:eastAsia="Times New Roman" w:hAnsi="Book Antiqua" w:cs="Arial"/>
            <w:sz w:val="19"/>
            <w:szCs w:val="19"/>
            <w:lang w:eastAsia="pt-BR"/>
          </w:rPr>
          <w:t>Vigência</w:t>
        </w:r>
      </w:hyperlink>
    </w:p>
    <w:p w14:paraId="3F0EBFC3"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Art. 7º  A prática de tiro desportivo, nas modalidades aceitas pelas entidades nacionais de administração do tiro, por pessoas com idade entre quatorze e dezoito anos:        </w:t>
      </w:r>
      <w:hyperlink r:id="rId122" w:history="1">
        <w:r w:rsidRPr="00AF3F23">
          <w:rPr>
            <w:rStyle w:val="Hyperlink"/>
            <w:rFonts w:ascii="Book Antiqua" w:eastAsia="Times New Roman" w:hAnsi="Book Antiqua" w:cs="Arial"/>
            <w:sz w:val="19"/>
            <w:szCs w:val="19"/>
            <w:lang w:eastAsia="pt-BR"/>
          </w:rPr>
          <w:t>(Vide ADIN 6695)</w:t>
        </w:r>
      </w:hyperlink>
    </w:p>
    <w:p w14:paraId="430EE442"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será previamente autorizada conjuntamente por seus responsáveis legais, ou por apenas um deles, na falta do outro;</w:t>
      </w:r>
    </w:p>
    <w:p w14:paraId="2D57A333"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 - se restringirá tão somente aos locais autorizados pelo Comando do Exército; e</w:t>
      </w:r>
    </w:p>
    <w:p w14:paraId="39631774"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III - quando o menor estiver acompanhado de seu responsável legal, poderá ser feita com a utilização de:       </w:t>
      </w:r>
      <w:hyperlink r:id="rId123"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124"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125" w:history="1">
        <w:r w:rsidRPr="00AF3F23">
          <w:rPr>
            <w:rStyle w:val="Hyperlink"/>
            <w:rFonts w:ascii="Book Antiqua" w:eastAsia="Times New Roman" w:hAnsi="Book Antiqua" w:cs="Arial"/>
            <w:sz w:val="19"/>
            <w:szCs w:val="19"/>
            <w:lang w:eastAsia="pt-BR"/>
          </w:rPr>
          <w:t>(Vide ADIN 6695)</w:t>
        </w:r>
      </w:hyperlink>
    </w:p>
    <w:p w14:paraId="29879748"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 arma de fogo e munição da entidade de tiro ou da agremiação;        </w:t>
      </w:r>
      <w:hyperlink r:id="rId12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27" w:anchor="art3" w:history="1">
        <w:r w:rsidRPr="00AF3F23">
          <w:rPr>
            <w:rStyle w:val="Hyperlink"/>
            <w:rFonts w:ascii="Book Antiqua" w:eastAsia="Times New Roman" w:hAnsi="Book Antiqua" w:cs="Arial"/>
            <w:sz w:val="19"/>
            <w:szCs w:val="19"/>
            <w:lang w:eastAsia="pt-BR"/>
          </w:rPr>
          <w:t>Vigência</w:t>
        </w:r>
      </w:hyperlink>
    </w:p>
    <w:p w14:paraId="51C36C56"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b) arma de fogo registrada e cedida por outro desportista; ou          </w:t>
      </w:r>
      <w:hyperlink r:id="rId128"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29" w:anchor="art3" w:history="1">
        <w:r w:rsidRPr="00AF3F23">
          <w:rPr>
            <w:rStyle w:val="Hyperlink"/>
            <w:rFonts w:ascii="Book Antiqua" w:eastAsia="Times New Roman" w:hAnsi="Book Antiqua" w:cs="Arial"/>
            <w:sz w:val="19"/>
            <w:szCs w:val="19"/>
            <w:lang w:eastAsia="pt-BR"/>
          </w:rPr>
          <w:t>Vigência </w:t>
        </w:r>
      </w:hyperlink>
      <w:r w:rsidRPr="00AF3F23">
        <w:rPr>
          <w:rFonts w:ascii="Book Antiqua" w:eastAsia="Times New Roman" w:hAnsi="Book Antiqua" w:cs="Arial"/>
          <w:sz w:val="19"/>
          <w:szCs w:val="19"/>
          <w:lang w:eastAsia="pt-BR"/>
        </w:rPr>
        <w:t>        </w:t>
      </w:r>
      <w:hyperlink r:id="rId130" w:history="1">
        <w:r w:rsidRPr="00AF3F23">
          <w:rPr>
            <w:rStyle w:val="Hyperlink"/>
            <w:rFonts w:ascii="Book Antiqua" w:eastAsia="Times New Roman" w:hAnsi="Book Antiqua" w:cs="Arial"/>
            <w:sz w:val="19"/>
            <w:szCs w:val="19"/>
            <w:lang w:eastAsia="pt-BR"/>
          </w:rPr>
          <w:t>(Vide ADIN 6695)</w:t>
        </w:r>
      </w:hyperlink>
    </w:p>
    <w:p w14:paraId="51200E83"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c) arma de fogo do responsável legal.        </w:t>
      </w:r>
      <w:hyperlink r:id="rId131" w:anchor="art1" w:history="1">
        <w:r w:rsidRPr="00AF3F23">
          <w:rPr>
            <w:rStyle w:val="Hyperlink"/>
            <w:rFonts w:ascii="Book Antiqua" w:eastAsia="Times New Roman" w:hAnsi="Book Antiqua" w:cs="Arial"/>
            <w:sz w:val="19"/>
            <w:szCs w:val="19"/>
            <w:lang w:eastAsia="pt-BR"/>
          </w:rPr>
          <w:t>(Incluído pelo Decreto nº 10.629, de 2021)</w:t>
        </w:r>
      </w:hyperlink>
    </w:p>
    <w:p w14:paraId="5DB2F438"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 w:name="art8"/>
      <w:bookmarkEnd w:id="16"/>
      <w:r w:rsidRPr="00AF3F23">
        <w:rPr>
          <w:rFonts w:ascii="Book Antiqua" w:eastAsia="Times New Roman" w:hAnsi="Book Antiqua" w:cs="Arial"/>
          <w:sz w:val="19"/>
          <w:szCs w:val="19"/>
          <w:lang w:eastAsia="pt-BR"/>
        </w:rPr>
        <w:t>§ 1º As pessoas com idade entre quatorze e dezoito anos deverão apresentar os documentos a que se referem os incisos II, III, V e VI do § 2º do art. 3º à entidade de tiro ou à agremiação, que serão arquivados pela referida entidade pelo prazo de sessenta meses.        </w:t>
      </w:r>
      <w:hyperlink r:id="rId132"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33" w:anchor="art3" w:history="1">
        <w:r w:rsidRPr="00AF3F23">
          <w:rPr>
            <w:rStyle w:val="Hyperlink"/>
            <w:rFonts w:ascii="Book Antiqua" w:eastAsia="Times New Roman" w:hAnsi="Book Antiqua" w:cs="Arial"/>
            <w:sz w:val="19"/>
            <w:szCs w:val="19"/>
            <w:lang w:eastAsia="pt-BR"/>
          </w:rPr>
          <w:t>Vigência</w:t>
        </w:r>
      </w:hyperlink>
    </w:p>
    <w:p w14:paraId="35500241"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Poderá ser emitida autorização exclusivamente para despacho de munição, vinculada ao dependente cujo responsável legal também seja atleta de tiro, quando comprovada a sua inscrição em evento desportivo que demande transporte aéreo.        </w:t>
      </w:r>
      <w:hyperlink r:id="rId134"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35" w:anchor="art3" w:history="1">
        <w:r w:rsidRPr="00AF3F23">
          <w:rPr>
            <w:rStyle w:val="Hyperlink"/>
            <w:rFonts w:ascii="Book Antiqua" w:eastAsia="Times New Roman" w:hAnsi="Book Antiqua" w:cs="Arial"/>
            <w:sz w:val="19"/>
            <w:szCs w:val="19"/>
            <w:lang w:eastAsia="pt-BR"/>
          </w:rPr>
          <w:t>Vigência</w:t>
        </w:r>
      </w:hyperlink>
    </w:p>
    <w:p w14:paraId="59733F65"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Os documentos referidos no § 1º poderão ser dispensados, por decisão da entidade de tiro ou da agremiação, para as pessoas que pratiquem apenas atividades esportivas de tiro com armas de pressão nas modalidades de ar comprimido .       </w:t>
      </w:r>
      <w:hyperlink r:id="rId13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37" w:anchor="art3" w:history="1">
        <w:r w:rsidRPr="00AF3F23">
          <w:rPr>
            <w:rStyle w:val="Hyperlink"/>
            <w:rFonts w:ascii="Book Antiqua" w:eastAsia="Times New Roman" w:hAnsi="Book Antiqua" w:cs="Arial"/>
            <w:sz w:val="19"/>
            <w:szCs w:val="19"/>
            <w:lang w:eastAsia="pt-BR"/>
          </w:rPr>
          <w:t>Vigência</w:t>
        </w:r>
      </w:hyperlink>
    </w:p>
    <w:p w14:paraId="3553DFFB"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7a"/>
      <w:bookmarkEnd w:id="17"/>
      <w:r w:rsidRPr="00AF3F23">
        <w:rPr>
          <w:rFonts w:ascii="Book Antiqua" w:eastAsia="Times New Roman" w:hAnsi="Book Antiqua" w:cs="Arial"/>
          <w:sz w:val="19"/>
          <w:szCs w:val="19"/>
          <w:lang w:eastAsia="pt-BR"/>
        </w:rPr>
        <w:t>Art. 7º-A A prática de tiro desportivo, nas modalidades aceitas pelas entidades nacionais de administração do tiro, por pessoas com idade entre dezoito e vinte e cinco anos:      </w:t>
      </w:r>
      <w:hyperlink r:id="rId138"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39" w:anchor="art3" w:history="1">
        <w:r w:rsidRPr="00AF3F23">
          <w:rPr>
            <w:rStyle w:val="Hyperlink"/>
            <w:rFonts w:ascii="Book Antiqua" w:eastAsia="Times New Roman" w:hAnsi="Book Antiqua" w:cs="Arial"/>
            <w:sz w:val="19"/>
            <w:szCs w:val="19"/>
            <w:lang w:eastAsia="pt-BR"/>
          </w:rPr>
          <w:t>Vigência</w:t>
        </w:r>
      </w:hyperlink>
    </w:p>
    <w:p w14:paraId="6DC4754D"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se restringirá aos locais autorizados pelo Comando do Exército; e        </w:t>
      </w:r>
      <w:hyperlink r:id="rId140"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41" w:anchor="art3" w:history="1">
        <w:r w:rsidRPr="00AF3F23">
          <w:rPr>
            <w:rStyle w:val="Hyperlink"/>
            <w:rFonts w:ascii="Book Antiqua" w:eastAsia="Times New Roman" w:hAnsi="Book Antiqua" w:cs="Arial"/>
            <w:sz w:val="19"/>
            <w:szCs w:val="19"/>
            <w:lang w:eastAsia="pt-BR"/>
          </w:rPr>
          <w:t>Vigência</w:t>
        </w:r>
      </w:hyperlink>
    </w:p>
    <w:p w14:paraId="24D4F200"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lastRenderedPageBreak/>
        <w:t>II - poderá ser feita com a utilização de arma de fogo e munição da entidade de tiro, da agremiação ou cedida por outro desportista.        </w:t>
      </w:r>
      <w:hyperlink r:id="rId142"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43" w:anchor="art3" w:history="1">
        <w:r w:rsidRPr="00AF3F23">
          <w:rPr>
            <w:rStyle w:val="Hyperlink"/>
            <w:rFonts w:ascii="Book Antiqua" w:eastAsia="Times New Roman" w:hAnsi="Book Antiqua" w:cs="Arial"/>
            <w:sz w:val="19"/>
            <w:szCs w:val="19"/>
            <w:lang w:eastAsia="pt-BR"/>
          </w:rPr>
          <w:t>Vigência</w:t>
        </w:r>
      </w:hyperlink>
    </w:p>
    <w:p w14:paraId="1854BA8D"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A pessoa com idade entre dezoito e vinte e cinco anos fará jus à concessão de Certificado de Registro de Colecionador, Atirador e Caçador, contudo não poderá adquirir arma de fogo para compor os seus acervos.  </w:t>
      </w:r>
      <w:hyperlink r:id="rId144"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45" w:anchor="art3" w:history="1">
        <w:r w:rsidRPr="00AF3F23">
          <w:rPr>
            <w:rStyle w:val="Hyperlink"/>
            <w:rFonts w:ascii="Book Antiqua" w:eastAsia="Times New Roman" w:hAnsi="Book Antiqua" w:cs="Arial"/>
            <w:sz w:val="19"/>
            <w:szCs w:val="19"/>
            <w:lang w:eastAsia="pt-BR"/>
          </w:rPr>
          <w:t>Vigência</w:t>
        </w:r>
      </w:hyperlink>
    </w:p>
    <w:p w14:paraId="058570D1"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O disposto no § 1º não se aplica às pessoas e às entidades a que se referem os incisos I, II, III, IV, V, VI, VII e X do </w:t>
      </w:r>
      <w:r w:rsidRPr="00AF3F23">
        <w:rPr>
          <w:rFonts w:ascii="Book Antiqua" w:eastAsia="Times New Roman" w:hAnsi="Book Antiqua" w:cs="Arial"/>
          <w:b/>
          <w:bCs/>
          <w:sz w:val="19"/>
          <w:szCs w:val="19"/>
          <w:lang w:eastAsia="pt-BR"/>
        </w:rPr>
        <w:t>caput </w:t>
      </w:r>
      <w:r w:rsidRPr="00AF3F23">
        <w:rPr>
          <w:rFonts w:ascii="Book Antiqua" w:eastAsia="Times New Roman" w:hAnsi="Book Antiqua" w:cs="Arial"/>
          <w:sz w:val="19"/>
          <w:szCs w:val="19"/>
          <w:lang w:eastAsia="pt-BR"/>
        </w:rPr>
        <w:t>do </w:t>
      </w:r>
      <w:hyperlink r:id="rId146" w:anchor="art6" w:history="1">
        <w:r w:rsidRPr="00AF3F23">
          <w:rPr>
            <w:rStyle w:val="Hyperlink"/>
            <w:rFonts w:ascii="Book Antiqua" w:eastAsia="Times New Roman" w:hAnsi="Book Antiqua" w:cs="Arial"/>
            <w:sz w:val="19"/>
            <w:szCs w:val="19"/>
            <w:lang w:eastAsia="pt-BR"/>
          </w:rPr>
          <w:t>art. 6º da Lei nº 10.826, de 2003. </w:t>
        </w:r>
      </w:hyperlink>
      <w:r w:rsidRPr="00AF3F23">
        <w:rPr>
          <w:rFonts w:ascii="Book Antiqua" w:eastAsia="Times New Roman" w:hAnsi="Book Antiqua" w:cs="Arial"/>
          <w:sz w:val="19"/>
          <w:szCs w:val="19"/>
          <w:lang w:eastAsia="pt-BR"/>
        </w:rPr>
        <w:t>        </w:t>
      </w:r>
      <w:hyperlink r:id="rId147" w:anchor="art1" w:history="1">
        <w:r w:rsidRPr="00AF3F23">
          <w:rPr>
            <w:rStyle w:val="Hyperlink"/>
            <w:rFonts w:ascii="Book Antiqua" w:eastAsia="Times New Roman" w:hAnsi="Book Antiqua" w:cs="Arial"/>
            <w:sz w:val="19"/>
            <w:szCs w:val="19"/>
            <w:lang w:eastAsia="pt-BR"/>
          </w:rPr>
          <w:t>(Incluído pelo Decreto nº 10.629, de 2021)</w:t>
        </w:r>
      </w:hyperlink>
    </w:p>
    <w:p w14:paraId="3F24AF4E"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Art. 8º Os caçadores registrados no Comando do Exército poderão portar armas portáteis e de porte do seu acervo de armas de caçador durante a realização do abate controlado, observado o disposto na legislação ambiental.         </w:t>
      </w:r>
      <w:hyperlink r:id="rId148" w:anchor="art1" w:history="1">
        <w:r w:rsidRPr="00AF3F23">
          <w:rPr>
            <w:rStyle w:val="Hyperlink"/>
            <w:rFonts w:ascii="Book Antiqua" w:eastAsia="Times New Roman" w:hAnsi="Book Antiqua" w:cs="Arial"/>
            <w:sz w:val="19"/>
            <w:szCs w:val="19"/>
            <w:lang w:eastAsia="pt-BR"/>
          </w:rPr>
          <w:t>(Redação dada pelo Decreto nº 10.629, de 2021)</w:t>
        </w:r>
      </w:hyperlink>
      <w:r w:rsidRPr="00AF3F23">
        <w:rPr>
          <w:rFonts w:ascii="Book Antiqua" w:eastAsia="Times New Roman" w:hAnsi="Book Antiqua" w:cs="Arial"/>
          <w:sz w:val="19"/>
          <w:szCs w:val="19"/>
          <w:lang w:eastAsia="pt-BR"/>
        </w:rPr>
        <w:t>   </w:t>
      </w:r>
      <w:hyperlink r:id="rId149" w:anchor="art3" w:history="1">
        <w:r w:rsidRPr="00AF3F23">
          <w:rPr>
            <w:rStyle w:val="Hyperlink"/>
            <w:rFonts w:ascii="Book Antiqua" w:eastAsia="Times New Roman" w:hAnsi="Book Antiqua" w:cs="Arial"/>
            <w:sz w:val="19"/>
            <w:szCs w:val="19"/>
            <w:lang w:eastAsia="pt-BR"/>
          </w:rPr>
          <w:t>Vigência</w:t>
        </w:r>
      </w:hyperlink>
    </w:p>
    <w:p w14:paraId="7D6611A2"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Fica garantido o porte de trânsito de uma arma de porte municiada, apostilada ao acervo de armas de caçador ou atirador desportivo, para defesa de seu acervo no trajeto entre o local de guarda autorizado e o da prática do abate, por meio da apresentação do Certificado de Registro de Arma de Fogo, da Guia de Tráfego e do Certificado de Regularidade emitido pelo órgão ambiental.        </w:t>
      </w:r>
      <w:hyperlink r:id="rId150"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51" w:anchor="art3" w:history="1">
        <w:r w:rsidRPr="00AF3F23">
          <w:rPr>
            <w:rStyle w:val="Hyperlink"/>
            <w:rFonts w:ascii="Book Antiqua" w:eastAsia="Times New Roman" w:hAnsi="Book Antiqua" w:cs="Arial"/>
            <w:sz w:val="19"/>
            <w:szCs w:val="19"/>
            <w:lang w:eastAsia="pt-BR"/>
          </w:rPr>
          <w:t>Vigência</w:t>
        </w:r>
      </w:hyperlink>
    </w:p>
    <w:p w14:paraId="4FBF6CEF"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Para fins do disposto no § 1º, considera-se trajeto qualquer itinerário realizado entre o local de guarda autorizado e o da prática do abate, independentemente do horário, assegurado o direito de retorno ao local de guarda do acervo.      </w:t>
      </w:r>
      <w:hyperlink r:id="rId152"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53" w:anchor="art3" w:history="1">
        <w:r w:rsidRPr="00AF3F23">
          <w:rPr>
            <w:rStyle w:val="Hyperlink"/>
            <w:rFonts w:ascii="Book Antiqua" w:eastAsia="Times New Roman" w:hAnsi="Book Antiqua" w:cs="Arial"/>
            <w:sz w:val="19"/>
            <w:szCs w:val="19"/>
            <w:lang w:eastAsia="pt-BR"/>
          </w:rPr>
          <w:t>Vigência</w:t>
        </w:r>
      </w:hyperlink>
    </w:p>
    <w:p w14:paraId="7DC2FB0A"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As armas deverão estar acompanhadas do Certificado de Registro de Arma de Fogo e da Guia de Tráfego.       </w:t>
      </w:r>
      <w:hyperlink r:id="rId154"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55" w:anchor="art3" w:history="1">
        <w:r w:rsidRPr="00AF3F23">
          <w:rPr>
            <w:rStyle w:val="Hyperlink"/>
            <w:rFonts w:ascii="Book Antiqua" w:eastAsia="Times New Roman" w:hAnsi="Book Antiqua" w:cs="Arial"/>
            <w:sz w:val="19"/>
            <w:szCs w:val="19"/>
            <w:lang w:eastAsia="pt-BR"/>
          </w:rPr>
          <w:t>Vigência</w:t>
        </w:r>
      </w:hyperlink>
    </w:p>
    <w:p w14:paraId="3C25B641"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8" w:name="art8a"/>
      <w:bookmarkEnd w:id="18"/>
      <w:r w:rsidRPr="00AF3F23">
        <w:rPr>
          <w:rFonts w:ascii="Book Antiqua" w:eastAsia="Times New Roman" w:hAnsi="Book Antiqua" w:cs="Arial"/>
          <w:sz w:val="19"/>
          <w:szCs w:val="19"/>
          <w:lang w:eastAsia="pt-BR"/>
        </w:rPr>
        <w:t>Art. 8º-A É facultado, nas solicitações e nos requerimentos, o agrupamento de atos administrativos no mesmo processo, desde que o interessado tenha realizado o recolhimento das taxas devidas, previstas em Lei.   </w:t>
      </w:r>
      <w:hyperlink r:id="rId15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57" w:anchor="art3" w:history="1">
        <w:r w:rsidRPr="00AF3F23">
          <w:rPr>
            <w:rStyle w:val="Hyperlink"/>
            <w:rFonts w:ascii="Book Antiqua" w:eastAsia="Times New Roman" w:hAnsi="Book Antiqua" w:cs="Arial"/>
            <w:sz w:val="19"/>
            <w:szCs w:val="19"/>
            <w:lang w:eastAsia="pt-BR"/>
          </w:rPr>
          <w:t>Vigência</w:t>
        </w:r>
      </w:hyperlink>
    </w:p>
    <w:p w14:paraId="0DCDACC4"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1º  Poderão ser requeridos, eletronicamente, no mesmo processo:        </w:t>
      </w:r>
      <w:hyperlink r:id="rId158"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59" w:anchor="art3" w:history="1">
        <w:r w:rsidRPr="00AF3F23">
          <w:rPr>
            <w:rStyle w:val="Hyperlink"/>
            <w:rFonts w:ascii="Book Antiqua" w:eastAsia="Times New Roman" w:hAnsi="Book Antiqua" w:cs="Arial"/>
            <w:sz w:val="19"/>
            <w:szCs w:val="19"/>
            <w:lang w:eastAsia="pt-BR"/>
          </w:rPr>
          <w:t>Vigência</w:t>
        </w:r>
      </w:hyperlink>
    </w:p>
    <w:p w14:paraId="266983D1"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 - a concessão do Certificado de Registro de Colecionador, Atirador e Caçador de pessoa física e a autorização de compra de arma de fogo, quando as quantidades excederem os limites estabelecidos nos incisos I e II do </w:t>
      </w:r>
      <w:r w:rsidRPr="00AF3F23">
        <w:rPr>
          <w:rFonts w:ascii="Book Antiqua" w:eastAsia="Times New Roman" w:hAnsi="Book Antiqua" w:cs="Arial"/>
          <w:b/>
          <w:bCs/>
          <w:sz w:val="19"/>
          <w:szCs w:val="19"/>
          <w:lang w:eastAsia="pt-BR"/>
        </w:rPr>
        <w:t>caput </w:t>
      </w:r>
      <w:r w:rsidRPr="00AF3F23">
        <w:rPr>
          <w:rFonts w:ascii="Book Antiqua" w:eastAsia="Times New Roman" w:hAnsi="Book Antiqua" w:cs="Arial"/>
          <w:sz w:val="19"/>
          <w:szCs w:val="19"/>
          <w:lang w:eastAsia="pt-BR"/>
        </w:rPr>
        <w:t>do art. 3º;        </w:t>
      </w:r>
      <w:hyperlink r:id="rId160"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61" w:anchor="art3" w:history="1">
        <w:r w:rsidRPr="00AF3F23">
          <w:rPr>
            <w:rStyle w:val="Hyperlink"/>
            <w:rFonts w:ascii="Book Antiqua" w:eastAsia="Times New Roman" w:hAnsi="Book Antiqua" w:cs="Arial"/>
            <w:sz w:val="19"/>
            <w:szCs w:val="19"/>
            <w:lang w:eastAsia="pt-BR"/>
          </w:rPr>
          <w:t>Vigência</w:t>
        </w:r>
      </w:hyperlink>
    </w:p>
    <w:p w14:paraId="38F2ADA3"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 - o apostilamento e o registro de arma de fogo; e        </w:t>
      </w:r>
      <w:hyperlink r:id="rId162"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63" w:anchor="art3" w:history="1">
        <w:r w:rsidRPr="00AF3F23">
          <w:rPr>
            <w:rStyle w:val="Hyperlink"/>
            <w:rFonts w:ascii="Book Antiqua" w:eastAsia="Times New Roman" w:hAnsi="Book Antiqua" w:cs="Arial"/>
            <w:sz w:val="19"/>
            <w:szCs w:val="19"/>
            <w:lang w:eastAsia="pt-BR"/>
          </w:rPr>
          <w:t>Vigência</w:t>
        </w:r>
      </w:hyperlink>
    </w:p>
    <w:p w14:paraId="50FC0F58"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III - a emissão do Certificado de Registro de Arma de Fogo e da Guia de Tráfego.        </w:t>
      </w:r>
      <w:hyperlink r:id="rId164"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65" w:anchor="art3" w:history="1">
        <w:r w:rsidRPr="00AF3F23">
          <w:rPr>
            <w:rStyle w:val="Hyperlink"/>
            <w:rFonts w:ascii="Book Antiqua" w:eastAsia="Times New Roman" w:hAnsi="Book Antiqua" w:cs="Arial"/>
            <w:sz w:val="19"/>
            <w:szCs w:val="19"/>
            <w:lang w:eastAsia="pt-BR"/>
          </w:rPr>
          <w:t>Vigência</w:t>
        </w:r>
      </w:hyperlink>
    </w:p>
    <w:p w14:paraId="70E58798"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2º  Os Certificados de Registro de Armas de Fogo de armas que compõem o acervo de colecionador poderão ser substituídos por um mapa de armas, por meio de requerimento, independentemente da quantidade de armas que componham a hoploteca.        </w:t>
      </w:r>
      <w:hyperlink r:id="rId166"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67" w:anchor="art3" w:history="1">
        <w:r w:rsidRPr="00AF3F23">
          <w:rPr>
            <w:rStyle w:val="Hyperlink"/>
            <w:rFonts w:ascii="Book Antiqua" w:eastAsia="Times New Roman" w:hAnsi="Book Antiqua" w:cs="Arial"/>
            <w:sz w:val="19"/>
            <w:szCs w:val="19"/>
            <w:lang w:eastAsia="pt-BR"/>
          </w:rPr>
          <w:t>Vigência</w:t>
        </w:r>
      </w:hyperlink>
    </w:p>
    <w:p w14:paraId="308FD040"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3º  Os usuários ou os seus procuradores poderão protocolar os requerimentos a que se referem os incisos I e II do § 1º presencialmente.       </w:t>
      </w:r>
      <w:hyperlink r:id="rId168"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69" w:anchor="art3" w:history="1">
        <w:r w:rsidRPr="00AF3F23">
          <w:rPr>
            <w:rStyle w:val="Hyperlink"/>
            <w:rFonts w:ascii="Book Antiqua" w:eastAsia="Times New Roman" w:hAnsi="Book Antiqua" w:cs="Arial"/>
            <w:sz w:val="19"/>
            <w:szCs w:val="19"/>
            <w:lang w:eastAsia="pt-BR"/>
          </w:rPr>
          <w:t>Vigência</w:t>
        </w:r>
      </w:hyperlink>
    </w:p>
    <w:p w14:paraId="1834EECF"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4º  Na hipótese prevista no § 3º, o atendimento aos usuários ou aos seus procuradores será realizado durante todos os dias e horários de funcionamento da repartição recebedora, vedado qualquer tipo de restrição quanto à quantidade de requerimentos por usuário.      </w:t>
      </w:r>
      <w:hyperlink r:id="rId170"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71" w:anchor="art3" w:history="1">
        <w:r w:rsidRPr="00AF3F23">
          <w:rPr>
            <w:rStyle w:val="Hyperlink"/>
            <w:rFonts w:ascii="Book Antiqua" w:eastAsia="Times New Roman" w:hAnsi="Book Antiqua" w:cs="Arial"/>
            <w:sz w:val="19"/>
            <w:szCs w:val="19"/>
            <w:lang w:eastAsia="pt-BR"/>
          </w:rPr>
          <w:t>Vigência</w:t>
        </w:r>
      </w:hyperlink>
    </w:p>
    <w:p w14:paraId="41BA4095"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xml:space="preserve">§ 5º  Para exercer a função de procurador a que se refere o § 4º, não será requerido o apostilamento ao Certificado de Registro de Arma de Fogo, hipótese em que será considerada </w:t>
      </w:r>
      <w:r w:rsidRPr="00AF3F23">
        <w:rPr>
          <w:rFonts w:ascii="Book Antiqua" w:eastAsia="Times New Roman" w:hAnsi="Book Antiqua" w:cs="Arial"/>
          <w:sz w:val="19"/>
          <w:szCs w:val="19"/>
          <w:lang w:eastAsia="pt-BR"/>
        </w:rPr>
        <w:lastRenderedPageBreak/>
        <w:t>suficiente a apresentação de procuração destinada a essa finalidade.       </w:t>
      </w:r>
      <w:hyperlink r:id="rId172" w:anchor="art1" w:history="1">
        <w:r w:rsidRPr="00AF3F23">
          <w:rPr>
            <w:rStyle w:val="Hyperlink"/>
            <w:rFonts w:ascii="Book Antiqua" w:eastAsia="Times New Roman" w:hAnsi="Book Antiqua" w:cs="Arial"/>
            <w:sz w:val="19"/>
            <w:szCs w:val="19"/>
            <w:lang w:eastAsia="pt-BR"/>
          </w:rPr>
          <w:t>(Incluído pelo Decreto nº 10.629, de 2021)</w:t>
        </w:r>
      </w:hyperlink>
      <w:r w:rsidRPr="00AF3F23">
        <w:rPr>
          <w:rFonts w:ascii="Book Antiqua" w:eastAsia="Times New Roman" w:hAnsi="Book Antiqua" w:cs="Arial"/>
          <w:sz w:val="19"/>
          <w:szCs w:val="19"/>
          <w:lang w:eastAsia="pt-BR"/>
        </w:rPr>
        <w:t>   </w:t>
      </w:r>
      <w:hyperlink r:id="rId173" w:anchor="art3" w:history="1">
        <w:r w:rsidRPr="00AF3F23">
          <w:rPr>
            <w:rStyle w:val="Hyperlink"/>
            <w:rFonts w:ascii="Book Antiqua" w:eastAsia="Times New Roman" w:hAnsi="Book Antiqua" w:cs="Arial"/>
            <w:sz w:val="19"/>
            <w:szCs w:val="19"/>
            <w:lang w:eastAsia="pt-BR"/>
          </w:rPr>
          <w:t>Vigência</w:t>
        </w:r>
      </w:hyperlink>
    </w:p>
    <w:p w14:paraId="214C759D" w14:textId="77777777" w:rsidR="00AF3F23" w:rsidRPr="00AF3F23" w:rsidRDefault="00AF3F23"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 6º A procuração a que se refere o § 5º poderá ser assinada em meio eletrônico, nos termos do disposto no § 1º do </w:t>
      </w:r>
      <w:hyperlink r:id="rId174" w:anchor="art105" w:history="1">
        <w:r w:rsidRPr="00AF3F23">
          <w:rPr>
            <w:rStyle w:val="Hyperlink"/>
            <w:rFonts w:ascii="Book Antiqua" w:eastAsia="Times New Roman" w:hAnsi="Book Antiqua" w:cs="Arial"/>
            <w:sz w:val="19"/>
            <w:szCs w:val="19"/>
            <w:lang w:eastAsia="pt-BR"/>
          </w:rPr>
          <w:t>art. 105 da Lei nº 13.105, de 16 de março de 2015 - Código de Processo Civil </w:t>
        </w:r>
      </w:hyperlink>
      <w:r w:rsidRPr="00AF3F23">
        <w:rPr>
          <w:rFonts w:ascii="Book Antiqua" w:eastAsia="Times New Roman" w:hAnsi="Book Antiqua" w:cs="Arial"/>
          <w:sz w:val="19"/>
          <w:szCs w:val="19"/>
          <w:lang w:eastAsia="pt-BR"/>
        </w:rPr>
        <w:t>.        </w:t>
      </w:r>
      <w:hyperlink r:id="rId175" w:anchor="art1" w:history="1">
        <w:r w:rsidRPr="00AF3F23">
          <w:rPr>
            <w:rStyle w:val="Hyperlink"/>
            <w:rFonts w:ascii="Book Antiqua" w:eastAsia="Times New Roman" w:hAnsi="Book Antiqua" w:cs="Arial"/>
            <w:sz w:val="19"/>
            <w:szCs w:val="19"/>
            <w:lang w:eastAsia="pt-BR"/>
          </w:rPr>
          <w:t>(Incluído pelo Decreto nº 10.629, de 2021)</w:t>
        </w:r>
      </w:hyperlink>
    </w:p>
    <w:p w14:paraId="1CE09EF0"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9" w:name="art9"/>
      <w:bookmarkEnd w:id="19"/>
      <w:r w:rsidRPr="00AF3F23">
        <w:rPr>
          <w:rFonts w:ascii="Book Antiqua" w:eastAsia="Times New Roman" w:hAnsi="Book Antiqua" w:cs="Arial"/>
          <w:sz w:val="19"/>
          <w:szCs w:val="19"/>
          <w:lang w:eastAsia="pt-BR"/>
        </w:rPr>
        <w:t xml:space="preserve">Art. 9º  Este Decreto entra em vigor na data de sua publicação. </w:t>
      </w:r>
    </w:p>
    <w:p w14:paraId="703E11C9" w14:textId="77777777" w:rsidR="009A6955" w:rsidRPr="00AF3F23" w:rsidRDefault="009A6955" w:rsidP="00AF3F2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Brasília, 25 de junho de 2019; 198º da Independência e 131º da República. </w:t>
      </w:r>
    </w:p>
    <w:p w14:paraId="183D397E" w14:textId="77777777" w:rsidR="009A6955" w:rsidRPr="00AF3F23" w:rsidRDefault="009A6955" w:rsidP="00AF3F23">
      <w:pPr>
        <w:spacing w:before="100" w:beforeAutospacing="1" w:after="100" w:afterAutospacing="1" w:line="240" w:lineRule="auto"/>
        <w:rPr>
          <w:rFonts w:ascii="Book Antiqua" w:eastAsia="Times New Roman" w:hAnsi="Book Antiqua" w:cs="Arial"/>
          <w:sz w:val="19"/>
          <w:szCs w:val="19"/>
          <w:lang w:eastAsia="pt-BR"/>
        </w:rPr>
      </w:pPr>
      <w:r w:rsidRPr="00AF3F23">
        <w:rPr>
          <w:rFonts w:ascii="Book Antiqua" w:eastAsia="Times New Roman" w:hAnsi="Book Antiqua" w:cs="Arial"/>
          <w:sz w:val="19"/>
          <w:szCs w:val="19"/>
          <w:lang w:eastAsia="pt-BR"/>
        </w:rPr>
        <w:t>JAIR MESSIAS BOLSONARO</w:t>
      </w:r>
      <w:r w:rsidRPr="00AF3F23">
        <w:rPr>
          <w:rFonts w:ascii="Book Antiqua" w:eastAsia="Times New Roman" w:hAnsi="Book Antiqua" w:cs="Arial"/>
          <w:sz w:val="19"/>
          <w:szCs w:val="19"/>
          <w:lang w:eastAsia="pt-BR"/>
        </w:rPr>
        <w:br/>
        <w:t>Onyx Lorenzoni</w:t>
      </w:r>
    </w:p>
    <w:p w14:paraId="7FD358C8" w14:textId="77777777" w:rsidR="002E4CFB" w:rsidRPr="009A6955" w:rsidRDefault="009A6955" w:rsidP="00AF3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Book Antiqua" w:eastAsia="Times New Roman" w:hAnsi="Book Antiqua" w:cs="Courier New"/>
          <w:sz w:val="20"/>
          <w:szCs w:val="20"/>
          <w:lang w:eastAsia="pt-BR"/>
        </w:rPr>
      </w:pPr>
      <w:r w:rsidRPr="00AF3F23">
        <w:rPr>
          <w:rFonts w:ascii="Book Antiqua" w:eastAsia="Times New Roman" w:hAnsi="Book Antiqua" w:cs="Arial"/>
          <w:color w:val="FF0000"/>
          <w:sz w:val="19"/>
          <w:szCs w:val="19"/>
          <w:lang w:eastAsia="pt-BR"/>
        </w:rPr>
        <w:t>Este texto não substitui o publicado no DOU de 25.6.2019 - Edição extra - A</w:t>
      </w:r>
      <w:r w:rsidRPr="009A6955">
        <w:rPr>
          <w:rFonts w:ascii="Book Antiqua" w:eastAsia="Times New Roman" w:hAnsi="Book Antiqua" w:cs="Arial"/>
          <w:sz w:val="20"/>
          <w:szCs w:val="20"/>
          <w:lang w:eastAsia="pt-BR"/>
        </w:rPr>
        <w:t> </w:t>
      </w:r>
    </w:p>
    <w:sectPr w:rsidR="002E4CFB" w:rsidRPr="009A6955" w:rsidSect="00D05AC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9A2D7" w14:textId="77777777" w:rsidR="005E46C9" w:rsidRDefault="005E46C9" w:rsidP="00D8746D">
      <w:pPr>
        <w:spacing w:after="0" w:line="240" w:lineRule="auto"/>
      </w:pPr>
      <w:r>
        <w:separator/>
      </w:r>
    </w:p>
  </w:endnote>
  <w:endnote w:type="continuationSeparator" w:id="0">
    <w:p w14:paraId="6721A795" w14:textId="77777777" w:rsidR="005E46C9" w:rsidRDefault="005E46C9" w:rsidP="00D8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Franklin Gothic Medium Cond">
    <w:charset w:val="00"/>
    <w:family w:val="swiss"/>
    <w:pitch w:val="variable"/>
    <w:sig w:usb0="00000287" w:usb1="00000000" w:usb2="00000000" w:usb3="00000000" w:csb0="0000009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C0E3D" w14:textId="77777777" w:rsidR="005E46C9" w:rsidRDefault="005E46C9" w:rsidP="00D8746D">
      <w:pPr>
        <w:spacing w:after="0" w:line="240" w:lineRule="auto"/>
      </w:pPr>
      <w:r>
        <w:separator/>
      </w:r>
    </w:p>
  </w:footnote>
  <w:footnote w:type="continuationSeparator" w:id="0">
    <w:p w14:paraId="27A9139B" w14:textId="77777777" w:rsidR="005E46C9" w:rsidRDefault="005E46C9" w:rsidP="00D8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52"/>
    <w:rsid w:val="001B2F6E"/>
    <w:rsid w:val="001D491B"/>
    <w:rsid w:val="002E4CFB"/>
    <w:rsid w:val="003A7852"/>
    <w:rsid w:val="004B1DB2"/>
    <w:rsid w:val="00500E2F"/>
    <w:rsid w:val="005E46C9"/>
    <w:rsid w:val="00857CC5"/>
    <w:rsid w:val="008B3681"/>
    <w:rsid w:val="0090167B"/>
    <w:rsid w:val="00930763"/>
    <w:rsid w:val="009A6955"/>
    <w:rsid w:val="00A14AE3"/>
    <w:rsid w:val="00AF3F23"/>
    <w:rsid w:val="00D05ACF"/>
    <w:rsid w:val="00D8746D"/>
    <w:rsid w:val="00DF053D"/>
    <w:rsid w:val="00EB3A2F"/>
    <w:rsid w:val="00ED4FA9"/>
    <w:rsid w:val="00F31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C4584"/>
  <w15:chartTrackingRefBased/>
  <w15:docId w15:val="{83849A10-66DC-4C86-822E-1B3CB72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05AC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D05AC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D05AC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D05AC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05AC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D05AC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D491B"/>
  </w:style>
  <w:style w:type="paragraph" w:styleId="NormalWeb">
    <w:name w:val="Normal (Web)"/>
    <w:basedOn w:val="Normal"/>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491B"/>
    <w:rPr>
      <w:b/>
      <w:bCs/>
    </w:rPr>
  </w:style>
  <w:style w:type="character" w:styleId="Hyperlink">
    <w:name w:val="Hyperlink"/>
    <w:basedOn w:val="Fontepargpadro"/>
    <w:uiPriority w:val="99"/>
    <w:unhideWhenUsed/>
    <w:rsid w:val="001D491B"/>
    <w:rPr>
      <w:color w:val="0000FF"/>
      <w:u w:val="single"/>
    </w:rPr>
  </w:style>
  <w:style w:type="character" w:styleId="HiperlinkVisitado">
    <w:name w:val="FollowedHyperlink"/>
    <w:basedOn w:val="Fontepargpadro"/>
    <w:uiPriority w:val="99"/>
    <w:semiHidden/>
    <w:unhideWhenUsed/>
    <w:rsid w:val="001D491B"/>
    <w:rPr>
      <w:color w:val="800080"/>
      <w:u w:val="single"/>
    </w:rPr>
  </w:style>
  <w:style w:type="paragraph" w:customStyle="1" w:styleId="textbody">
    <w:name w:val="textbody"/>
    <w:basedOn w:val="Normal"/>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1D491B"/>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1D491B"/>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D491B"/>
    <w:rPr>
      <w:i/>
      <w:iCs/>
    </w:rPr>
  </w:style>
  <w:style w:type="paragraph" w:styleId="Cabealho">
    <w:name w:val="header"/>
    <w:basedOn w:val="Normal"/>
    <w:link w:val="CabealhoChar"/>
    <w:uiPriority w:val="99"/>
    <w:unhideWhenUsed/>
    <w:rsid w:val="00D874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8746D"/>
  </w:style>
  <w:style w:type="paragraph" w:styleId="Rodap">
    <w:name w:val="footer"/>
    <w:basedOn w:val="Normal"/>
    <w:link w:val="RodapChar"/>
    <w:uiPriority w:val="99"/>
    <w:unhideWhenUsed/>
    <w:rsid w:val="00D8746D"/>
    <w:pPr>
      <w:tabs>
        <w:tab w:val="center" w:pos="4252"/>
        <w:tab w:val="right" w:pos="8504"/>
      </w:tabs>
      <w:spacing w:after="0" w:line="240" w:lineRule="auto"/>
    </w:pPr>
  </w:style>
  <w:style w:type="character" w:customStyle="1" w:styleId="RodapChar">
    <w:name w:val="Rodapé Char"/>
    <w:basedOn w:val="Fontepargpadro"/>
    <w:link w:val="Rodap"/>
    <w:uiPriority w:val="99"/>
    <w:rsid w:val="00D8746D"/>
  </w:style>
  <w:style w:type="character" w:styleId="MenoPendente">
    <w:name w:val="Unresolved Mention"/>
    <w:basedOn w:val="Fontepargpadro"/>
    <w:uiPriority w:val="99"/>
    <w:semiHidden/>
    <w:unhideWhenUsed/>
    <w:rsid w:val="0090167B"/>
    <w:rPr>
      <w:color w:val="605E5C"/>
      <w:shd w:val="clear" w:color="auto" w:fill="E1DFDD"/>
    </w:rPr>
  </w:style>
  <w:style w:type="table" w:styleId="Tabelacomgrade">
    <w:name w:val="Table Grid"/>
    <w:basedOn w:val="Tabelanormal"/>
    <w:uiPriority w:val="39"/>
    <w:rsid w:val="00EB3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B3A2F"/>
    <w:pPr>
      <w:ind w:left="720"/>
      <w:contextualSpacing/>
    </w:pPr>
  </w:style>
  <w:style w:type="character" w:customStyle="1" w:styleId="Ttulo1Char">
    <w:name w:val="Título 1 Char"/>
    <w:basedOn w:val="Fontepargpadro"/>
    <w:link w:val="Ttulo1"/>
    <w:uiPriority w:val="9"/>
    <w:rsid w:val="00D05AC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D05AC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D05AC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D05AC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05AC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D05ACF"/>
    <w:rPr>
      <w:rFonts w:ascii="CG Times" w:eastAsia="Times New Roman" w:hAnsi="CG Times" w:cs="Times New Roman"/>
      <w:b/>
      <w:bCs/>
      <w:sz w:val="24"/>
      <w:szCs w:val="24"/>
      <w:lang w:eastAsia="pt-BR"/>
    </w:rPr>
  </w:style>
  <w:style w:type="numbering" w:customStyle="1" w:styleId="Semlista2">
    <w:name w:val="Sem lista2"/>
    <w:next w:val="Semlista"/>
    <w:uiPriority w:val="99"/>
    <w:semiHidden/>
    <w:unhideWhenUsed/>
    <w:rsid w:val="00D05ACF"/>
  </w:style>
  <w:style w:type="paragraph" w:customStyle="1" w:styleId="msonormal0">
    <w:name w:val="msonormal"/>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D05ACF"/>
    <w:rPr>
      <w:rFonts w:ascii="Arial" w:hAnsi="Arial" w:cs="Arial" w:hint="default"/>
      <w:b/>
      <w:bCs/>
    </w:rPr>
  </w:style>
  <w:style w:type="character" w:customStyle="1" w:styleId="caracteresdenotaderodap">
    <w:name w:val="caracteresdenotaderodap"/>
    <w:basedOn w:val="Fontepargpadro"/>
    <w:rsid w:val="00D05ACF"/>
    <w:rPr>
      <w:vertAlign w:val="superscript"/>
    </w:rPr>
  </w:style>
  <w:style w:type="character" w:customStyle="1" w:styleId="ww-refdenotaderodap1234">
    <w:name w:val="ww-refdenotaderodap1234"/>
    <w:rsid w:val="00D05ACF"/>
    <w:rPr>
      <w:vertAlign w:val="superscript"/>
    </w:rPr>
  </w:style>
  <w:style w:type="character" w:styleId="Refdenotaderodap">
    <w:name w:val="footnote reference"/>
    <w:basedOn w:val="Fontepargpadro"/>
    <w:uiPriority w:val="99"/>
    <w:semiHidden/>
    <w:unhideWhenUsed/>
    <w:rsid w:val="00D05ACF"/>
    <w:rPr>
      <w:vertAlign w:val="superscript"/>
    </w:rPr>
  </w:style>
  <w:style w:type="character" w:customStyle="1" w:styleId="hiperlink">
    <w:name w:val="hiperlink"/>
    <w:rsid w:val="00D05ACF"/>
    <w:rPr>
      <w:color w:val="0000FF"/>
      <w:u w:val="single"/>
    </w:rPr>
  </w:style>
  <w:style w:type="character" w:customStyle="1" w:styleId="txtterm1">
    <w:name w:val="txtterm1"/>
    <w:basedOn w:val="Fontepargpadro"/>
    <w:rsid w:val="00D05ACF"/>
    <w:rPr>
      <w:rFonts w:ascii="Times New Roman" w:hAnsi="Times New Roman" w:cs="Times New Roman" w:hint="default"/>
      <w:b/>
      <w:bCs/>
      <w:color w:val="000000"/>
    </w:rPr>
  </w:style>
  <w:style w:type="character" w:customStyle="1" w:styleId="internetlink">
    <w:name w:val="internetlink"/>
    <w:rsid w:val="00D05ACF"/>
    <w:rPr>
      <w:color w:val="000080"/>
      <w:u w:val="single" w:color="000000"/>
    </w:rPr>
  </w:style>
  <w:style w:type="character" w:customStyle="1" w:styleId="font0020style31char">
    <w:name w:val="font0020style31char"/>
    <w:basedOn w:val="Fontepargpadro"/>
    <w:rsid w:val="00D05ACF"/>
    <w:rPr>
      <w:rFonts w:ascii="Times New Roman" w:hAnsi="Times New Roman" w:cs="Times New Roman" w:hint="default"/>
    </w:rPr>
  </w:style>
  <w:style w:type="character" w:customStyle="1" w:styleId="style10char">
    <w:name w:val="style10char"/>
    <w:basedOn w:val="Fontepargpadro"/>
    <w:rsid w:val="00D05ACF"/>
    <w:rPr>
      <w:rFonts w:ascii="Times New Roman" w:hAnsi="Times New Roman" w:cs="Times New Roman" w:hint="default"/>
    </w:rPr>
  </w:style>
  <w:style w:type="character" w:customStyle="1" w:styleId="centralizadochar">
    <w:name w:val="centralizadochar"/>
    <w:basedOn w:val="Fontepargpadro"/>
    <w:rsid w:val="00D05ACF"/>
    <w:rPr>
      <w:rFonts w:ascii="Times New Roman" w:hAnsi="Times New Roman" w:cs="Times New Roman" w:hint="default"/>
    </w:rPr>
  </w:style>
  <w:style w:type="character" w:customStyle="1" w:styleId="texto0020normalchar">
    <w:name w:val="texto0020normalchar"/>
    <w:basedOn w:val="Fontepargpadro"/>
    <w:rsid w:val="00D05ACF"/>
    <w:rPr>
      <w:rFonts w:ascii="Times New Roman" w:hAnsi="Times New Roman" w:cs="Times New Roman" w:hint="default"/>
    </w:rPr>
  </w:style>
  <w:style w:type="character" w:customStyle="1" w:styleId="normalchar">
    <w:name w:val="normalchar"/>
    <w:basedOn w:val="Fontepargpadro"/>
    <w:rsid w:val="00D05ACF"/>
    <w:rPr>
      <w:rFonts w:ascii="Times New Roman" w:hAnsi="Times New Roman" w:cs="Times New Roman" w:hint="default"/>
    </w:rPr>
  </w:style>
  <w:style w:type="character" w:customStyle="1" w:styleId="estilochar">
    <w:name w:val="estilochar"/>
    <w:basedOn w:val="Fontepargpadro"/>
    <w:rsid w:val="00D05ACF"/>
    <w:rPr>
      <w:rFonts w:ascii="Times New Roman" w:hAnsi="Times New Roman" w:cs="Times New Roman" w:hint="default"/>
    </w:rPr>
  </w:style>
  <w:style w:type="character" w:customStyle="1" w:styleId="style21char">
    <w:name w:val="style21char"/>
    <w:basedOn w:val="Fontepargpadro"/>
    <w:rsid w:val="00D05ACF"/>
    <w:rPr>
      <w:rFonts w:ascii="Times New Roman" w:hAnsi="Times New Roman" w:cs="Times New Roman" w:hint="default"/>
    </w:rPr>
  </w:style>
  <w:style w:type="character" w:customStyle="1" w:styleId="style18char">
    <w:name w:val="style18char"/>
    <w:basedOn w:val="Fontepargpadro"/>
    <w:rsid w:val="00D05ACF"/>
    <w:rPr>
      <w:rFonts w:ascii="Times New Roman" w:hAnsi="Times New Roman" w:cs="Times New Roman" w:hint="default"/>
    </w:rPr>
  </w:style>
  <w:style w:type="character" w:customStyle="1" w:styleId="style15char">
    <w:name w:val="style15char"/>
    <w:basedOn w:val="Fontepargpadro"/>
    <w:rsid w:val="00D05ACF"/>
    <w:rPr>
      <w:rFonts w:ascii="Times New Roman" w:hAnsi="Times New Roman" w:cs="Times New Roman" w:hint="default"/>
    </w:rPr>
  </w:style>
  <w:style w:type="character" w:customStyle="1" w:styleId="field1">
    <w:name w:val="field1"/>
    <w:rsid w:val="00D05ACF"/>
    <w:rPr>
      <w:rFonts w:ascii="Verdana" w:hAnsi="Verdana" w:hint="default"/>
      <w:color w:val="000000"/>
      <w:bdr w:val="single" w:sz="8" w:space="0" w:color="auto" w:frame="1"/>
      <w:shd w:val="clear" w:color="auto" w:fill="FFFFFF"/>
    </w:rPr>
  </w:style>
  <w:style w:type="character" w:customStyle="1" w:styleId="hps">
    <w:name w:val="hps"/>
    <w:basedOn w:val="Fontepargpadro"/>
    <w:rsid w:val="00D05ACF"/>
    <w:rPr>
      <w:rFonts w:ascii="Times New Roman" w:hAnsi="Times New Roman" w:cs="Times New Roman" w:hint="default"/>
    </w:rPr>
  </w:style>
  <w:style w:type="character" w:customStyle="1" w:styleId="themebody">
    <w:name w:val="themebody"/>
    <w:basedOn w:val="Fontepargpadro"/>
    <w:rsid w:val="00D05ACF"/>
    <w:rPr>
      <w:rFonts w:ascii="Times New Roman" w:hAnsi="Times New Roman" w:cs="Times New Roman" w:hint="default"/>
    </w:rPr>
  </w:style>
  <w:style w:type="character" w:customStyle="1" w:styleId="footnotesymbol">
    <w:name w:val="footnotesymbol"/>
    <w:basedOn w:val="Fontepargpadro"/>
    <w:rsid w:val="00D05ACF"/>
    <w:rPr>
      <w:rFonts w:ascii="Times New Roman" w:hAnsi="Times New Roman" w:cs="Times New Roman" w:hint="default"/>
      <w:vertAlign w:val="superscript"/>
    </w:rPr>
  </w:style>
  <w:style w:type="character" w:customStyle="1" w:styleId="nfase1">
    <w:name w:val="nfase1"/>
    <w:rsid w:val="00D05ACF"/>
    <w:rPr>
      <w:rFonts w:ascii="Times New Roman" w:hAnsi="Times New Roman" w:cs="Times New Roman" w:hint="default"/>
      <w:color w:val="000000"/>
    </w:rPr>
  </w:style>
  <w:style w:type="character" w:customStyle="1" w:styleId="forte1">
    <w:name w:val="forte1"/>
    <w:rsid w:val="00D05ACF"/>
    <w:rPr>
      <w:rFonts w:ascii="Times New Roman" w:hAnsi="Times New Roman" w:cs="Times New Roman" w:hint="default"/>
      <w:b/>
      <w:bCs/>
      <w:color w:val="000000"/>
    </w:rPr>
  </w:style>
  <w:style w:type="character" w:customStyle="1" w:styleId="texto8">
    <w:name w:val="texto8"/>
    <w:basedOn w:val="Fontepargpadro"/>
    <w:rsid w:val="00D05ACF"/>
    <w:rPr>
      <w:rFonts w:ascii="Times New Roman" w:hAnsi="Times New Roman" w:cs="Times New Roman" w:hint="default"/>
    </w:rPr>
  </w:style>
  <w:style w:type="character" w:customStyle="1" w:styleId="bumpedfont15">
    <w:name w:val="bumpedfont15"/>
    <w:rsid w:val="00D05ACF"/>
    <w:rPr>
      <w:color w:val="000000"/>
    </w:rPr>
  </w:style>
  <w:style w:type="character" w:customStyle="1" w:styleId="heading4char">
    <w:name w:val="heading4char"/>
    <w:rsid w:val="00D05ACF"/>
    <w:rPr>
      <w:rFonts w:ascii="Verdana" w:hAnsi="Verdana" w:hint="default"/>
      <w:b/>
      <w:bCs/>
    </w:rPr>
  </w:style>
  <w:style w:type="character" w:customStyle="1" w:styleId="atn">
    <w:name w:val="atn"/>
    <w:rsid w:val="00D05ACF"/>
    <w:rPr>
      <w:rFonts w:ascii="Times New Roman" w:hAnsi="Times New Roman" w:cs="Times New Roman" w:hint="default"/>
    </w:rPr>
  </w:style>
  <w:style w:type="character" w:customStyle="1" w:styleId="longtext">
    <w:name w:val="longtext"/>
    <w:rsid w:val="00D05ACF"/>
    <w:rPr>
      <w:rFonts w:ascii="Times New Roman" w:hAnsi="Times New Roman" w:cs="Times New Roman" w:hint="default"/>
    </w:rPr>
  </w:style>
  <w:style w:type="character" w:customStyle="1" w:styleId="ttulo1char0">
    <w:name w:val="ttulo1char"/>
    <w:basedOn w:val="Fontepargpadro"/>
    <w:rsid w:val="00D05ACF"/>
    <w:rPr>
      <w:rFonts w:ascii="Cambria" w:hAnsi="Cambria" w:hint="default"/>
      <w:b/>
      <w:bCs/>
    </w:rPr>
  </w:style>
  <w:style w:type="character" w:styleId="TtulodoLivro">
    <w:name w:val="Book Title"/>
    <w:basedOn w:val="Fontepargpadro"/>
    <w:uiPriority w:val="33"/>
    <w:qFormat/>
    <w:rsid w:val="00D05ACF"/>
    <w:rPr>
      <w:b/>
      <w:bCs/>
      <w:smallCaps/>
      <w:spacing w:val="5"/>
    </w:rPr>
  </w:style>
  <w:style w:type="character" w:customStyle="1" w:styleId="doltraduztrad">
    <w:name w:val="doltraduztrad"/>
    <w:basedOn w:val="Fontepargpadro"/>
    <w:rsid w:val="00D05ACF"/>
    <w:rPr>
      <w:rFonts w:ascii="Times New Roman" w:hAnsi="Times New Roman" w:cs="Times New Roman" w:hint="default"/>
    </w:rPr>
  </w:style>
  <w:style w:type="character" w:customStyle="1" w:styleId="mquinadeescribirhtml">
    <w:name w:val="mquinadeescribirhtml"/>
    <w:rsid w:val="00D05ACF"/>
    <w:rPr>
      <w:rFonts w:ascii="Courier New" w:hAnsi="Courier New" w:cs="Courier New" w:hint="default"/>
    </w:rPr>
  </w:style>
  <w:style w:type="character" w:styleId="nfaseSutil">
    <w:name w:val="Subtle Emphasis"/>
    <w:basedOn w:val="Fontepargpadro"/>
    <w:uiPriority w:val="19"/>
    <w:qFormat/>
    <w:rsid w:val="00D05ACF"/>
    <w:rPr>
      <w:rFonts w:ascii="Times New Roman" w:hAnsi="Times New Roman" w:cs="Times New Roman" w:hint="default"/>
      <w:i/>
      <w:iCs/>
      <w:color w:val="404040"/>
    </w:rPr>
  </w:style>
  <w:style w:type="character" w:customStyle="1" w:styleId="nfasesutil1">
    <w:name w:val="nfasesutil1"/>
    <w:rsid w:val="00D05ACF"/>
    <w:rPr>
      <w:i/>
      <w:iCs/>
      <w:color w:val="808080"/>
    </w:rPr>
  </w:style>
  <w:style w:type="character" w:customStyle="1" w:styleId="strongemphasis">
    <w:name w:val="strongemphasis"/>
    <w:rsid w:val="00D05ACF"/>
    <w:rPr>
      <w:b/>
      <w:bCs/>
    </w:rPr>
  </w:style>
  <w:style w:type="character" w:customStyle="1" w:styleId="scayt-misspell-word">
    <w:name w:val="scayt-misspell-word"/>
    <w:rsid w:val="00D05ACF"/>
    <w:rPr>
      <w:rFonts w:ascii="Times New Roman" w:hAnsi="Times New Roman" w:cs="Times New Roman" w:hint="default"/>
    </w:rPr>
  </w:style>
  <w:style w:type="character" w:customStyle="1" w:styleId="fontstyle31">
    <w:name w:val="fontstyle31"/>
    <w:rsid w:val="00D05ACF"/>
    <w:rPr>
      <w:rFonts w:ascii="Franklin Gothic Medium Cond" w:hAnsi="Franklin Gothic Medium Cond" w:hint="default"/>
    </w:rPr>
  </w:style>
  <w:style w:type="character" w:customStyle="1" w:styleId="bodytextspacing2pt">
    <w:name w:val="bodytextspacing2pt"/>
    <w:rsid w:val="00D05ACF"/>
    <w:rPr>
      <w:spacing w:val="40"/>
    </w:rPr>
  </w:style>
  <w:style w:type="character" w:customStyle="1" w:styleId="link">
    <w:name w:val="link"/>
    <w:rsid w:val="00D05ACF"/>
    <w:rPr>
      <w:color w:val="0000FF"/>
      <w:u w:val="single" w:color="0000FF"/>
    </w:rPr>
  </w:style>
  <w:style w:type="character" w:customStyle="1" w:styleId="hyperlink0">
    <w:name w:val="hyperlink0"/>
    <w:basedOn w:val="Fontepargpadro"/>
    <w:rsid w:val="00D05ACF"/>
    <w:rPr>
      <w:rFonts w:ascii="Times New Roman" w:hAnsi="Times New Roman" w:cs="Times New Roman" w:hint="default"/>
      <w:color w:val="0000FF"/>
      <w:u w:val="single" w:color="0000FF"/>
    </w:rPr>
  </w:style>
  <w:style w:type="character" w:customStyle="1" w:styleId="hyperlink1">
    <w:name w:val="hyperlink1"/>
    <w:basedOn w:val="Fontepargpadro"/>
    <w:rsid w:val="00D05ACF"/>
    <w:rPr>
      <w:rFonts w:ascii="Times New Roman" w:hAnsi="Times New Roman" w:cs="Times New Roman" w:hint="default"/>
      <w:color w:val="000000"/>
      <w:u w:color="000000"/>
    </w:rPr>
  </w:style>
  <w:style w:type="paragraph" w:customStyle="1" w:styleId="padro">
    <w:name w:val="padro"/>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3">
    <w:name w:val="Sem lista3"/>
    <w:next w:val="Semlista"/>
    <w:uiPriority w:val="99"/>
    <w:semiHidden/>
    <w:unhideWhenUsed/>
    <w:rsid w:val="004B1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40179">
      <w:bodyDiv w:val="1"/>
      <w:marLeft w:val="0"/>
      <w:marRight w:val="0"/>
      <w:marTop w:val="0"/>
      <w:marBottom w:val="0"/>
      <w:divBdr>
        <w:top w:val="none" w:sz="0" w:space="0" w:color="auto"/>
        <w:left w:val="none" w:sz="0" w:space="0" w:color="auto"/>
        <w:bottom w:val="none" w:sz="0" w:space="0" w:color="auto"/>
        <w:right w:val="none" w:sz="0" w:space="0" w:color="auto"/>
      </w:divBdr>
    </w:div>
    <w:div w:id="412705407">
      <w:bodyDiv w:val="1"/>
      <w:marLeft w:val="0"/>
      <w:marRight w:val="0"/>
      <w:marTop w:val="0"/>
      <w:marBottom w:val="0"/>
      <w:divBdr>
        <w:top w:val="none" w:sz="0" w:space="0" w:color="auto"/>
        <w:left w:val="none" w:sz="0" w:space="0" w:color="auto"/>
        <w:bottom w:val="none" w:sz="0" w:space="0" w:color="auto"/>
        <w:right w:val="none" w:sz="0" w:space="0" w:color="auto"/>
      </w:divBdr>
    </w:div>
    <w:div w:id="491408309">
      <w:bodyDiv w:val="1"/>
      <w:marLeft w:val="0"/>
      <w:marRight w:val="0"/>
      <w:marTop w:val="0"/>
      <w:marBottom w:val="0"/>
      <w:divBdr>
        <w:top w:val="none" w:sz="0" w:space="0" w:color="auto"/>
        <w:left w:val="none" w:sz="0" w:space="0" w:color="auto"/>
        <w:bottom w:val="none" w:sz="0" w:space="0" w:color="auto"/>
        <w:right w:val="none" w:sz="0" w:space="0" w:color="auto"/>
      </w:divBdr>
    </w:div>
    <w:div w:id="651565300">
      <w:bodyDiv w:val="1"/>
      <w:marLeft w:val="0"/>
      <w:marRight w:val="0"/>
      <w:marTop w:val="0"/>
      <w:marBottom w:val="0"/>
      <w:divBdr>
        <w:top w:val="none" w:sz="0" w:space="0" w:color="auto"/>
        <w:left w:val="none" w:sz="0" w:space="0" w:color="auto"/>
        <w:bottom w:val="none" w:sz="0" w:space="0" w:color="auto"/>
        <w:right w:val="none" w:sz="0" w:space="0" w:color="auto"/>
      </w:divBdr>
    </w:div>
    <w:div w:id="668168857">
      <w:bodyDiv w:val="1"/>
      <w:marLeft w:val="0"/>
      <w:marRight w:val="0"/>
      <w:marTop w:val="0"/>
      <w:marBottom w:val="0"/>
      <w:divBdr>
        <w:top w:val="none" w:sz="0" w:space="0" w:color="auto"/>
        <w:left w:val="none" w:sz="0" w:space="0" w:color="auto"/>
        <w:bottom w:val="none" w:sz="0" w:space="0" w:color="auto"/>
        <w:right w:val="none" w:sz="0" w:space="0" w:color="auto"/>
      </w:divBdr>
    </w:div>
    <w:div w:id="725644142">
      <w:bodyDiv w:val="1"/>
      <w:marLeft w:val="0"/>
      <w:marRight w:val="0"/>
      <w:marTop w:val="0"/>
      <w:marBottom w:val="0"/>
      <w:divBdr>
        <w:top w:val="none" w:sz="0" w:space="0" w:color="auto"/>
        <w:left w:val="none" w:sz="0" w:space="0" w:color="auto"/>
        <w:bottom w:val="none" w:sz="0" w:space="0" w:color="auto"/>
        <w:right w:val="none" w:sz="0" w:space="0" w:color="auto"/>
      </w:divBdr>
    </w:div>
    <w:div w:id="739868529">
      <w:bodyDiv w:val="1"/>
      <w:marLeft w:val="0"/>
      <w:marRight w:val="0"/>
      <w:marTop w:val="0"/>
      <w:marBottom w:val="0"/>
      <w:divBdr>
        <w:top w:val="none" w:sz="0" w:space="0" w:color="auto"/>
        <w:left w:val="none" w:sz="0" w:space="0" w:color="auto"/>
        <w:bottom w:val="none" w:sz="0" w:space="0" w:color="auto"/>
        <w:right w:val="none" w:sz="0" w:space="0" w:color="auto"/>
      </w:divBdr>
    </w:div>
    <w:div w:id="849024227">
      <w:bodyDiv w:val="1"/>
      <w:marLeft w:val="0"/>
      <w:marRight w:val="0"/>
      <w:marTop w:val="0"/>
      <w:marBottom w:val="0"/>
      <w:divBdr>
        <w:top w:val="none" w:sz="0" w:space="0" w:color="auto"/>
        <w:left w:val="none" w:sz="0" w:space="0" w:color="auto"/>
        <w:bottom w:val="none" w:sz="0" w:space="0" w:color="auto"/>
        <w:right w:val="none" w:sz="0" w:space="0" w:color="auto"/>
      </w:divBdr>
      <w:divsChild>
        <w:div w:id="129567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5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40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58157529">
      <w:bodyDiv w:val="1"/>
      <w:marLeft w:val="0"/>
      <w:marRight w:val="0"/>
      <w:marTop w:val="0"/>
      <w:marBottom w:val="0"/>
      <w:divBdr>
        <w:top w:val="none" w:sz="0" w:space="0" w:color="auto"/>
        <w:left w:val="none" w:sz="0" w:space="0" w:color="auto"/>
        <w:bottom w:val="none" w:sz="0" w:space="0" w:color="auto"/>
        <w:right w:val="none" w:sz="0" w:space="0" w:color="auto"/>
      </w:divBdr>
    </w:div>
    <w:div w:id="930819866">
      <w:bodyDiv w:val="1"/>
      <w:marLeft w:val="0"/>
      <w:marRight w:val="0"/>
      <w:marTop w:val="0"/>
      <w:marBottom w:val="0"/>
      <w:divBdr>
        <w:top w:val="none" w:sz="0" w:space="0" w:color="auto"/>
        <w:left w:val="none" w:sz="0" w:space="0" w:color="auto"/>
        <w:bottom w:val="none" w:sz="0" w:space="0" w:color="auto"/>
        <w:right w:val="none" w:sz="0" w:space="0" w:color="auto"/>
      </w:divBdr>
    </w:div>
    <w:div w:id="1008866677">
      <w:bodyDiv w:val="1"/>
      <w:marLeft w:val="0"/>
      <w:marRight w:val="0"/>
      <w:marTop w:val="0"/>
      <w:marBottom w:val="0"/>
      <w:divBdr>
        <w:top w:val="none" w:sz="0" w:space="0" w:color="auto"/>
        <w:left w:val="none" w:sz="0" w:space="0" w:color="auto"/>
        <w:bottom w:val="none" w:sz="0" w:space="0" w:color="auto"/>
        <w:right w:val="none" w:sz="0" w:space="0" w:color="auto"/>
      </w:divBdr>
    </w:div>
    <w:div w:id="1332220531">
      <w:bodyDiv w:val="1"/>
      <w:marLeft w:val="0"/>
      <w:marRight w:val="0"/>
      <w:marTop w:val="0"/>
      <w:marBottom w:val="0"/>
      <w:divBdr>
        <w:top w:val="none" w:sz="0" w:space="0" w:color="auto"/>
        <w:left w:val="none" w:sz="0" w:space="0" w:color="auto"/>
        <w:bottom w:val="none" w:sz="0" w:space="0" w:color="auto"/>
        <w:right w:val="none" w:sz="0" w:space="0" w:color="auto"/>
      </w:divBdr>
    </w:div>
    <w:div w:id="1600068155">
      <w:bodyDiv w:val="1"/>
      <w:marLeft w:val="0"/>
      <w:marRight w:val="0"/>
      <w:marTop w:val="0"/>
      <w:marBottom w:val="0"/>
      <w:divBdr>
        <w:top w:val="none" w:sz="0" w:space="0" w:color="auto"/>
        <w:left w:val="none" w:sz="0" w:space="0" w:color="auto"/>
        <w:bottom w:val="none" w:sz="0" w:space="0" w:color="auto"/>
        <w:right w:val="none" w:sz="0" w:space="0" w:color="auto"/>
      </w:divBdr>
    </w:div>
    <w:div w:id="1790203848">
      <w:bodyDiv w:val="1"/>
      <w:marLeft w:val="0"/>
      <w:marRight w:val="0"/>
      <w:marTop w:val="0"/>
      <w:marBottom w:val="0"/>
      <w:divBdr>
        <w:top w:val="none" w:sz="0" w:space="0" w:color="auto"/>
        <w:left w:val="none" w:sz="0" w:space="0" w:color="auto"/>
        <w:bottom w:val="none" w:sz="0" w:space="0" w:color="auto"/>
        <w:right w:val="none" w:sz="0" w:space="0" w:color="auto"/>
      </w:divBdr>
      <w:divsChild>
        <w:div w:id="10824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772204">
      <w:bodyDiv w:val="1"/>
      <w:marLeft w:val="0"/>
      <w:marRight w:val="0"/>
      <w:marTop w:val="0"/>
      <w:marBottom w:val="0"/>
      <w:divBdr>
        <w:top w:val="none" w:sz="0" w:space="0" w:color="auto"/>
        <w:left w:val="none" w:sz="0" w:space="0" w:color="auto"/>
        <w:bottom w:val="none" w:sz="0" w:space="0" w:color="auto"/>
        <w:right w:val="none" w:sz="0" w:space="0" w:color="auto"/>
      </w:divBdr>
    </w:div>
    <w:div w:id="1869023793">
      <w:bodyDiv w:val="1"/>
      <w:marLeft w:val="0"/>
      <w:marRight w:val="0"/>
      <w:marTop w:val="0"/>
      <w:marBottom w:val="0"/>
      <w:divBdr>
        <w:top w:val="none" w:sz="0" w:space="0" w:color="auto"/>
        <w:left w:val="none" w:sz="0" w:space="0" w:color="auto"/>
        <w:bottom w:val="none" w:sz="0" w:space="0" w:color="auto"/>
        <w:right w:val="none" w:sz="0" w:space="0" w:color="auto"/>
      </w:divBdr>
    </w:div>
    <w:div w:id="186982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953871">
      <w:bodyDiv w:val="1"/>
      <w:marLeft w:val="0"/>
      <w:marRight w:val="0"/>
      <w:marTop w:val="0"/>
      <w:marBottom w:val="0"/>
      <w:divBdr>
        <w:top w:val="none" w:sz="0" w:space="0" w:color="auto"/>
        <w:left w:val="none" w:sz="0" w:space="0" w:color="auto"/>
        <w:bottom w:val="none" w:sz="0" w:space="0" w:color="auto"/>
        <w:right w:val="none" w:sz="0" w:space="0" w:color="auto"/>
      </w:divBdr>
    </w:div>
    <w:div w:id="2083482832">
      <w:bodyDiv w:val="1"/>
      <w:marLeft w:val="0"/>
      <w:marRight w:val="0"/>
      <w:marTop w:val="0"/>
      <w:marBottom w:val="0"/>
      <w:divBdr>
        <w:top w:val="none" w:sz="0" w:space="0" w:color="auto"/>
        <w:left w:val="none" w:sz="0" w:space="0" w:color="auto"/>
        <w:bottom w:val="none" w:sz="0" w:space="0" w:color="auto"/>
        <w:right w:val="none" w:sz="0" w:space="0" w:color="auto"/>
      </w:divBdr>
      <w:divsChild>
        <w:div w:id="170073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f.jus.br/portal/peticaoInicial/verPeticaoInicial.asp?base=ADI&amp;documento=&amp;s1=6675&amp;numProcesso=6676" TargetMode="External"/><Relationship Id="rId117" Type="http://schemas.openxmlformats.org/officeDocument/2006/relationships/hyperlink" Target="http://www.planalto.gov.br/ccivil_03/_ato2019-2022/2021/Decreto/D10629.htm" TargetMode="External"/><Relationship Id="rId21" Type="http://schemas.openxmlformats.org/officeDocument/2006/relationships/hyperlink" Target="http://www.stf.jus.br/portal/peticaoInicial/verPeticaoInicial.asp?base=ADI&amp;documento=&amp;s1=6675&amp;numProcesso=6695" TargetMode="External"/><Relationship Id="rId42" Type="http://schemas.openxmlformats.org/officeDocument/2006/relationships/hyperlink" Target="http://www.stf.jus.br/portal/peticaoInicial/verPeticaoInicial.asp?base=ADI&amp;documento=&amp;s1=6675&amp;numProcesso=6695" TargetMode="External"/><Relationship Id="rId47" Type="http://schemas.openxmlformats.org/officeDocument/2006/relationships/hyperlink" Target="http://www.stf.jus.br/portal/peticaoInicial/verPeticaoInicial.asp?base=ADI&amp;documento=&amp;s1=6675&amp;numProcesso=6677" TargetMode="External"/><Relationship Id="rId63" Type="http://schemas.openxmlformats.org/officeDocument/2006/relationships/hyperlink" Target="http://www.planalto.gov.br/ccivil_03/_ato2019-2022/2021/Decreto/D10629.htm" TargetMode="External"/><Relationship Id="rId68" Type="http://schemas.openxmlformats.org/officeDocument/2006/relationships/hyperlink" Target="http://www.planalto.gov.br/ccivil_03/_ato2019-2022/2021/Decreto/D10629.htm" TargetMode="External"/><Relationship Id="rId84" Type="http://schemas.openxmlformats.org/officeDocument/2006/relationships/hyperlink" Target="http://www.stf.jus.br/portal/peticaoInicial/verPeticaoInicial.asp?base=ADI&amp;documento=&amp;s1=6675&amp;numProcesso=6677" TargetMode="External"/><Relationship Id="rId89" Type="http://schemas.openxmlformats.org/officeDocument/2006/relationships/hyperlink" Target="http://www.stf.jus.br/portal/peticaoInicial/verPeticaoInicial.asp?base=ADI&amp;documento=&amp;s1=6675&amp;numProcesso=6675" TargetMode="External"/><Relationship Id="rId112" Type="http://schemas.openxmlformats.org/officeDocument/2006/relationships/hyperlink" Target="http://www.planalto.gov.br/ccivil_03/_ato2019-2022/2021/Decreto/D10629.htm" TargetMode="External"/><Relationship Id="rId133" Type="http://schemas.openxmlformats.org/officeDocument/2006/relationships/hyperlink" Target="http://www.planalto.gov.br/ccivil_03/_ato2019-2022/2021/Decreto/D10629.htm" TargetMode="External"/><Relationship Id="rId138" Type="http://schemas.openxmlformats.org/officeDocument/2006/relationships/hyperlink" Target="http://www.planalto.gov.br/ccivil_03/_ato2019-2022/2021/Decreto/D10629.htm" TargetMode="External"/><Relationship Id="rId154" Type="http://schemas.openxmlformats.org/officeDocument/2006/relationships/hyperlink" Target="http://www.planalto.gov.br/ccivil_03/_ato2019-2022/2021/Decreto/D10629.htm" TargetMode="External"/><Relationship Id="rId159" Type="http://schemas.openxmlformats.org/officeDocument/2006/relationships/hyperlink" Target="http://www.planalto.gov.br/ccivil_03/_ato2019-2022/2021/Decreto/D10629.htm" TargetMode="External"/><Relationship Id="rId175" Type="http://schemas.openxmlformats.org/officeDocument/2006/relationships/hyperlink" Target="http://www.planalto.gov.br/ccivil_03/_ato2019-2022/2021/Decreto/D10629.htm" TargetMode="External"/><Relationship Id="rId170" Type="http://schemas.openxmlformats.org/officeDocument/2006/relationships/hyperlink" Target="http://www.planalto.gov.br/ccivil_03/_ato2019-2022/2021/Decreto/D10629.htm" TargetMode="External"/><Relationship Id="rId16" Type="http://schemas.openxmlformats.org/officeDocument/2006/relationships/hyperlink" Target="http://www.stf.jus.br/portal/peticaoInicial/verPeticaoInicial.asp?base=ADI&amp;documento=&amp;s1=6675&amp;numProcesso=6675" TargetMode="External"/><Relationship Id="rId107" Type="http://schemas.openxmlformats.org/officeDocument/2006/relationships/hyperlink" Target="http://www.planalto.gov.br/ccivil_03/_ato2019-2022/2021/Decreto/D10629.htm" TargetMode="External"/><Relationship Id="rId11" Type="http://schemas.openxmlformats.org/officeDocument/2006/relationships/hyperlink" Target="http://www.planalto.gov.br/ccivil_03/_ato2019-2022/2021/Decreto/D10629.htm" TargetMode="External"/><Relationship Id="rId32" Type="http://schemas.openxmlformats.org/officeDocument/2006/relationships/hyperlink" Target="http://www.stf.jus.br/portal/peticaoInicial/verPeticaoInicial.asp?base=ADI&amp;documento=&amp;s1=6675&amp;numProcesso=6675" TargetMode="External"/><Relationship Id="rId37" Type="http://schemas.openxmlformats.org/officeDocument/2006/relationships/hyperlink" Target="http://www.planalto.gov.br/ccivil_03/_ato2019-2022/2021/Decreto/D10629.htm" TargetMode="External"/><Relationship Id="rId53" Type="http://schemas.openxmlformats.org/officeDocument/2006/relationships/hyperlink" Target="http://www.stf.jus.br/portal/peticaoInicial/verPeticaoInicial.asp?base=ADI&amp;documento=&amp;s1=6675&amp;numProcesso=6695" TargetMode="External"/><Relationship Id="rId58" Type="http://schemas.openxmlformats.org/officeDocument/2006/relationships/hyperlink" Target="http://www.planalto.gov.br/ccivil_03/_ato2019-2022/2021/Decreto/D10629.htm" TargetMode="External"/><Relationship Id="rId74" Type="http://schemas.openxmlformats.org/officeDocument/2006/relationships/hyperlink" Target="http://www.planalto.gov.br/ccivil_03/_ato2019-2022/2021/Decreto/D10629.htm" TargetMode="External"/><Relationship Id="rId79" Type="http://schemas.openxmlformats.org/officeDocument/2006/relationships/hyperlink" Target="http://www.stf.jus.br/portal/peticaoInicial/verPeticaoInicial.asp?base=ADI&amp;documento=&amp;s1=6675&amp;numProcesso=6695" TargetMode="External"/><Relationship Id="rId102" Type="http://schemas.openxmlformats.org/officeDocument/2006/relationships/hyperlink" Target="http://www.planalto.gov.br/ccivil_03/_ato2019-2022/2021/Decreto/D10629.htm" TargetMode="External"/><Relationship Id="rId123" Type="http://schemas.openxmlformats.org/officeDocument/2006/relationships/hyperlink" Target="http://www.planalto.gov.br/ccivil_03/_ato2019-2022/2021/Decreto/D10629.htm" TargetMode="External"/><Relationship Id="rId128" Type="http://schemas.openxmlformats.org/officeDocument/2006/relationships/hyperlink" Target="http://www.planalto.gov.br/ccivil_03/_ato2019-2022/2021/Decreto/D10629.htm" TargetMode="External"/><Relationship Id="rId144" Type="http://schemas.openxmlformats.org/officeDocument/2006/relationships/hyperlink" Target="http://www.planalto.gov.br/ccivil_03/_ato2019-2022/2021/Decreto/D10629.htm" TargetMode="External"/><Relationship Id="rId149" Type="http://schemas.openxmlformats.org/officeDocument/2006/relationships/hyperlink" Target="http://www.planalto.gov.br/ccivil_03/_ato2019-2022/2021/Decreto/D10629.htm" TargetMode="External"/><Relationship Id="rId5" Type="http://schemas.openxmlformats.org/officeDocument/2006/relationships/footnotes" Target="footnotes.xml"/><Relationship Id="rId90" Type="http://schemas.openxmlformats.org/officeDocument/2006/relationships/hyperlink" Target="http://www.stf.jus.br/portal/peticaoInicial/verPeticaoInicial.asp?base=ADI&amp;documento=&amp;s1=6675&amp;numProcesso=6676" TargetMode="External"/><Relationship Id="rId95" Type="http://schemas.openxmlformats.org/officeDocument/2006/relationships/hyperlink" Target="http://www.stf.jus.br/portal/peticaoInicial/verPeticaoInicial.asp?base=ADI&amp;documento=&amp;s1=6675&amp;numProcesso=6695" TargetMode="External"/><Relationship Id="rId160" Type="http://schemas.openxmlformats.org/officeDocument/2006/relationships/hyperlink" Target="http://www.planalto.gov.br/ccivil_03/_ato2019-2022/2021/Decreto/D10629.htm" TargetMode="External"/><Relationship Id="rId165" Type="http://schemas.openxmlformats.org/officeDocument/2006/relationships/hyperlink" Target="http://www.planalto.gov.br/ccivil_03/_ato2019-2022/2021/Decreto/D10629.htm" TargetMode="External"/><Relationship Id="rId22" Type="http://schemas.openxmlformats.org/officeDocument/2006/relationships/hyperlink" Target="http://www.stf.jus.br/portal/peticaoInicial/verPeticaoInicial.asp?base=ADI&amp;documento=&amp;s1=6675&amp;numProcesso=6676" TargetMode="External"/><Relationship Id="rId27" Type="http://schemas.openxmlformats.org/officeDocument/2006/relationships/hyperlink" Target="http://www.stf.jus.br/portal/peticaoInicial/verPeticaoInicial.asp?base=ADI&amp;documento=&amp;s1=6675&amp;numProcesso=6677" TargetMode="External"/><Relationship Id="rId43" Type="http://schemas.openxmlformats.org/officeDocument/2006/relationships/hyperlink" Target="http://www.planalto.gov.br/ccivil_03/_ato2019-2022/2021/Decreto/D10629.htm" TargetMode="External"/><Relationship Id="rId48" Type="http://schemas.openxmlformats.org/officeDocument/2006/relationships/hyperlink" Target="http://www.stf.jus.br/portal/peticaoInicial/verPeticaoInicial.asp?base=ADI&amp;documento=&amp;s1=6675&amp;numProcesso=6695" TargetMode="External"/><Relationship Id="rId64" Type="http://schemas.openxmlformats.org/officeDocument/2006/relationships/hyperlink" Target="http://www.planalto.gov.br/ccivil_03/_ato2019-2022/2021/Decreto/D10629.htm" TargetMode="External"/><Relationship Id="rId69" Type="http://schemas.openxmlformats.org/officeDocument/2006/relationships/hyperlink" Target="http://www.planalto.gov.br/ccivil_03/_ato2019-2022/2021/Decreto/D10629.htm" TargetMode="External"/><Relationship Id="rId113" Type="http://schemas.openxmlformats.org/officeDocument/2006/relationships/hyperlink" Target="http://www.planalto.gov.br/ccivil_03/_ato2019-2022/2021/Decreto/D10629.htm" TargetMode="External"/><Relationship Id="rId118" Type="http://schemas.openxmlformats.org/officeDocument/2006/relationships/hyperlink" Target="http://www.planalto.gov.br/ccivil_03/_ato2019-2022/2021/Decreto/D10629.htm" TargetMode="External"/><Relationship Id="rId134" Type="http://schemas.openxmlformats.org/officeDocument/2006/relationships/hyperlink" Target="http://www.planalto.gov.br/ccivil_03/_ato2019-2022/2021/Decreto/D10629.htm" TargetMode="External"/><Relationship Id="rId139" Type="http://schemas.openxmlformats.org/officeDocument/2006/relationships/hyperlink" Target="http://www.planalto.gov.br/ccivil_03/_ato2019-2022/2021/Decreto/D10629.htm" TargetMode="External"/><Relationship Id="rId80" Type="http://schemas.openxmlformats.org/officeDocument/2006/relationships/hyperlink" Target="http://www.planalto.gov.br/ccivil_03/_ato2019-2022/2021/Decreto/D10629.htm" TargetMode="External"/><Relationship Id="rId85" Type="http://schemas.openxmlformats.org/officeDocument/2006/relationships/hyperlink" Target="http://www.stf.jus.br/portal/peticaoInicial/verPeticaoInicial.asp?base=ADI&amp;documento=&amp;s1=6675&amp;numProcesso=6695" TargetMode="External"/><Relationship Id="rId150" Type="http://schemas.openxmlformats.org/officeDocument/2006/relationships/hyperlink" Target="http://www.planalto.gov.br/ccivil_03/_ato2019-2022/2021/Decreto/D10629.htm" TargetMode="External"/><Relationship Id="rId155" Type="http://schemas.openxmlformats.org/officeDocument/2006/relationships/hyperlink" Target="http://www.planalto.gov.br/ccivil_03/_ato2019-2022/2021/Decreto/D10629.htm" TargetMode="External"/><Relationship Id="rId171" Type="http://schemas.openxmlformats.org/officeDocument/2006/relationships/hyperlink" Target="http://www.planalto.gov.br/ccivil_03/_ato2019-2022/2021/Decreto/D10629.htm" TargetMode="External"/><Relationship Id="rId176" Type="http://schemas.openxmlformats.org/officeDocument/2006/relationships/fontTable" Target="fontTable.xml"/><Relationship Id="rId12" Type="http://schemas.openxmlformats.org/officeDocument/2006/relationships/hyperlink" Target="http://www.planalto.gov.br/ccivil_03/_ato2019-2022/2019/Decreto/D10030.htm" TargetMode="External"/><Relationship Id="rId17" Type="http://schemas.openxmlformats.org/officeDocument/2006/relationships/hyperlink" Target="http://www.stf.jus.br/portal/peticaoInicial/verPeticaoInicial.asp?base=ADI&amp;documento=&amp;s1=6675&amp;numProcesso=6676" TargetMode="External"/><Relationship Id="rId33" Type="http://schemas.openxmlformats.org/officeDocument/2006/relationships/hyperlink" Target="http://www.stf.jus.br/portal/peticaoInicial/verPeticaoInicial.asp?base=ADI&amp;documento=&amp;s1=6675&amp;numProcesso=6676" TargetMode="External"/><Relationship Id="rId38" Type="http://schemas.openxmlformats.org/officeDocument/2006/relationships/hyperlink" Target="http://www.planalto.gov.br/ccivil_03/_ato2019-2022/2021/Decreto/D10629.htm" TargetMode="External"/><Relationship Id="rId59" Type="http://schemas.openxmlformats.org/officeDocument/2006/relationships/hyperlink" Target="http://www.planalto.gov.br/ccivil_03/_ato2019-2022/2021/Decreto/D10629.htm" TargetMode="External"/><Relationship Id="rId103" Type="http://schemas.openxmlformats.org/officeDocument/2006/relationships/hyperlink" Target="http://www.planalto.gov.br/ccivil_03/_ato2019-2022/2021/Decreto/D10629.htm" TargetMode="External"/><Relationship Id="rId108" Type="http://schemas.openxmlformats.org/officeDocument/2006/relationships/hyperlink" Target="http://www.planalto.gov.br/ccivil_03/_ato2019-2022/2021/Decreto/D10629.htm" TargetMode="External"/><Relationship Id="rId124" Type="http://schemas.openxmlformats.org/officeDocument/2006/relationships/hyperlink" Target="http://www.planalto.gov.br/ccivil_03/_ato2019-2022/2021/Decreto/D10629.htm" TargetMode="External"/><Relationship Id="rId129" Type="http://schemas.openxmlformats.org/officeDocument/2006/relationships/hyperlink" Target="http://www.planalto.gov.br/ccivil_03/_ato2019-2022/2021/Decreto/D10629.htm" TargetMode="External"/><Relationship Id="rId54" Type="http://schemas.openxmlformats.org/officeDocument/2006/relationships/hyperlink" Target="http://www.planalto.gov.br/ccivil_03/_ato2019-2022/2021/Decreto/D10629.htm" TargetMode="External"/><Relationship Id="rId70" Type="http://schemas.openxmlformats.org/officeDocument/2006/relationships/hyperlink" Target="http://www.stf.jus.br/portal/peticaoInicial/verPeticaoInicial.asp?base=ADI&amp;documento=&amp;s1=6675&amp;numProcesso=6675" TargetMode="External"/><Relationship Id="rId75" Type="http://schemas.openxmlformats.org/officeDocument/2006/relationships/hyperlink" Target="http://www.planalto.gov.br/ccivil_03/_ato2019-2022/2021/Decreto/D10629.htm" TargetMode="External"/><Relationship Id="rId91" Type="http://schemas.openxmlformats.org/officeDocument/2006/relationships/hyperlink" Target="http://www.stf.jus.br/portal/peticaoInicial/verPeticaoInicial.asp?base=ADI&amp;documento=&amp;s1=6675&amp;numProcesso=6677" TargetMode="External"/><Relationship Id="rId96" Type="http://schemas.openxmlformats.org/officeDocument/2006/relationships/hyperlink" Target="http://www.planalto.gov.br/ccivil_03/_ato2019-2022/2021/Decreto/D10629.htm" TargetMode="External"/><Relationship Id="rId140" Type="http://schemas.openxmlformats.org/officeDocument/2006/relationships/hyperlink" Target="http://www.planalto.gov.br/ccivil_03/_ato2019-2022/2021/Decreto/D10629.htm" TargetMode="External"/><Relationship Id="rId145" Type="http://schemas.openxmlformats.org/officeDocument/2006/relationships/hyperlink" Target="http://www.planalto.gov.br/ccivil_03/_ato2019-2022/2021/Decreto/D10629.htm" TargetMode="External"/><Relationship Id="rId161" Type="http://schemas.openxmlformats.org/officeDocument/2006/relationships/hyperlink" Target="http://www.planalto.gov.br/ccivil_03/_ato2019-2022/2021/Decreto/D10629.htm" TargetMode="External"/><Relationship Id="rId166" Type="http://schemas.openxmlformats.org/officeDocument/2006/relationships/hyperlink" Target="http://www.planalto.gov.br/ccivil_03/_ato2019-2022/2021/Decreto/D10629.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stf.jus.br/portal/peticaoInicial/verPeticaoInicial.asp?base=ADI&amp;documento=&amp;s1=6675&amp;numProcesso=6695" TargetMode="External"/><Relationship Id="rId28" Type="http://schemas.openxmlformats.org/officeDocument/2006/relationships/hyperlink" Target="http://www.stf.jus.br/portal/peticaoInicial/verPeticaoInicial.asp?base=ADI&amp;documento=&amp;s1=6675&amp;numProcesso=6695" TargetMode="External"/><Relationship Id="rId49" Type="http://schemas.openxmlformats.org/officeDocument/2006/relationships/hyperlink" Target="http://www.planalto.gov.br/ccivil_03/_ato2019-2022/2019/decreto/D10030.htm" TargetMode="External"/><Relationship Id="rId114" Type="http://schemas.openxmlformats.org/officeDocument/2006/relationships/hyperlink" Target="http://www.planalto.gov.br/ccivil_03/_ato2019-2022/2021/Decreto/D10629.htm" TargetMode="External"/><Relationship Id="rId119" Type="http://schemas.openxmlformats.org/officeDocument/2006/relationships/hyperlink" Target="http://www.planalto.gov.br/ccivil_03/_ato2019-2022/2021/Decreto/D10629.htm" TargetMode="External"/><Relationship Id="rId10" Type="http://schemas.openxmlformats.org/officeDocument/2006/relationships/hyperlink" Target="http://www.planalto.gov.br/ccivil_03/_ato2019-2022/2019/Decreto/D10030.htm" TargetMode="External"/><Relationship Id="rId31" Type="http://schemas.openxmlformats.org/officeDocument/2006/relationships/hyperlink" Target="http://www.planalto.gov.br/ccivil_03/_ato2019-2022/2021/Decreto/D10629.htm" TargetMode="External"/><Relationship Id="rId44" Type="http://schemas.openxmlformats.org/officeDocument/2006/relationships/hyperlink" Target="http://www.planalto.gov.br/ccivil_03/_ato2019-2022/2021/Decreto/D10629.htm" TargetMode="External"/><Relationship Id="rId52" Type="http://schemas.openxmlformats.org/officeDocument/2006/relationships/hyperlink" Target="http://www.stf.jus.br/portal/peticaoInicial/verPeticaoInicial.asp?base=ADI&amp;documento=&amp;s1=6675&amp;numProcesso=6676" TargetMode="External"/><Relationship Id="rId60" Type="http://schemas.openxmlformats.org/officeDocument/2006/relationships/hyperlink" Target="http://www.planalto.gov.br/ccivil_03/_ato2019-2022/2021/Decreto/D10629.htm" TargetMode="External"/><Relationship Id="rId65" Type="http://schemas.openxmlformats.org/officeDocument/2006/relationships/hyperlink" Target="http://www.planalto.gov.br/ccivil_03/_ato2019-2022/2021/Decreto/D10629.htm" TargetMode="External"/><Relationship Id="rId73" Type="http://schemas.openxmlformats.org/officeDocument/2006/relationships/hyperlink" Target="http://www.stf.jus.br/portal/peticaoInicial/verPeticaoInicial.asp?base=ADI&amp;documento=&amp;s1=6675&amp;numProcesso=6695" TargetMode="External"/><Relationship Id="rId78" Type="http://schemas.openxmlformats.org/officeDocument/2006/relationships/hyperlink" Target="http://www.stf.jus.br/portal/peticaoInicial/verPeticaoInicial.asp?base=ADI&amp;documento=&amp;s1=6675&amp;numProcesso=6677" TargetMode="External"/><Relationship Id="rId81" Type="http://schemas.openxmlformats.org/officeDocument/2006/relationships/hyperlink" Target="http://www.planalto.gov.br/ccivil_03/_ato2019-2022/2021/Decreto/D10629.htm" TargetMode="External"/><Relationship Id="rId86" Type="http://schemas.openxmlformats.org/officeDocument/2006/relationships/hyperlink" Target="http://www.planalto.gov.br/ccivil_03/_ato2019-2022/2021/Decreto/D10629.htm" TargetMode="External"/><Relationship Id="rId94" Type="http://schemas.openxmlformats.org/officeDocument/2006/relationships/hyperlink" Target="http://www.planalto.gov.br/ccivil_03/_ato2019-2022/2021/Decreto/D10629.htm" TargetMode="External"/><Relationship Id="rId99" Type="http://schemas.openxmlformats.org/officeDocument/2006/relationships/hyperlink" Target="http://www.planalto.gov.br/ccivil_03/_ato2019-2022/2021/Decreto/D10629.htm" TargetMode="External"/><Relationship Id="rId101" Type="http://schemas.openxmlformats.org/officeDocument/2006/relationships/hyperlink" Target="http://www.stf.jus.br/portal/peticaoInicial/verPeticaoInicial.asp?base=ADI&amp;documento=&amp;s1=6675&amp;numProcesso=6695" TargetMode="External"/><Relationship Id="rId122" Type="http://schemas.openxmlformats.org/officeDocument/2006/relationships/hyperlink" Target="http://www.stf.jus.br/portal/peticaoInicial/verPeticaoInicial.asp?base=ADI&amp;documento=&amp;s1=6675&amp;numProcesso=6695" TargetMode="External"/><Relationship Id="rId130" Type="http://schemas.openxmlformats.org/officeDocument/2006/relationships/hyperlink" Target="http://www.stf.jus.br/portal/peticaoInicial/verPeticaoInicial.asp?base=ADI&amp;documento=&amp;s1=6675&amp;numProcesso=6695" TargetMode="External"/><Relationship Id="rId135" Type="http://schemas.openxmlformats.org/officeDocument/2006/relationships/hyperlink" Target="http://www.planalto.gov.br/ccivil_03/_ato2019-2022/2021/Decreto/D10629.htm" TargetMode="External"/><Relationship Id="rId143" Type="http://schemas.openxmlformats.org/officeDocument/2006/relationships/hyperlink" Target="http://www.planalto.gov.br/ccivil_03/_ato2019-2022/2021/Decreto/D10629.htm" TargetMode="External"/><Relationship Id="rId148" Type="http://schemas.openxmlformats.org/officeDocument/2006/relationships/hyperlink" Target="http://www.planalto.gov.br/ccivil_03/_ato2019-2022/2021/Decreto/D10629.htm" TargetMode="External"/><Relationship Id="rId151" Type="http://schemas.openxmlformats.org/officeDocument/2006/relationships/hyperlink" Target="http://www.planalto.gov.br/ccivil_03/_ato2019-2022/2021/Decreto/D10629.htm" TargetMode="External"/><Relationship Id="rId156" Type="http://schemas.openxmlformats.org/officeDocument/2006/relationships/hyperlink" Target="http://www.planalto.gov.br/ccivil_03/_ato2019-2022/2021/Decreto/D10629.htm" TargetMode="External"/><Relationship Id="rId164" Type="http://schemas.openxmlformats.org/officeDocument/2006/relationships/hyperlink" Target="http://www.planalto.gov.br/ccivil_03/_ato2019-2022/2021/Decreto/D10629.htm" TargetMode="External"/><Relationship Id="rId169" Type="http://schemas.openxmlformats.org/officeDocument/2006/relationships/hyperlink" Target="http://www.planalto.gov.br/ccivil_03/_ato2019-2022/2021/Decreto/D10629.htm"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_ato2019-2022/2021/Decreto/D10629.htm" TargetMode="External"/><Relationship Id="rId172" Type="http://schemas.openxmlformats.org/officeDocument/2006/relationships/hyperlink" Target="http://www.planalto.gov.br/ccivil_03/_ato2019-2022/2021/Decreto/D10629.htm" TargetMode="External"/><Relationship Id="rId13" Type="http://schemas.openxmlformats.org/officeDocument/2006/relationships/hyperlink" Target="http://www.planalto.gov.br/ccivil_03/_ato2019-2022/2021/Decreto/D10629.htm" TargetMode="External"/><Relationship Id="rId18" Type="http://schemas.openxmlformats.org/officeDocument/2006/relationships/hyperlink" Target="http://www.stf.jus.br/portal/peticaoInicial/verPeticaoInicial.asp?base=ADI&amp;documento=&amp;s1=6675&amp;numProcesso=6677" TargetMode="External"/><Relationship Id="rId39" Type="http://schemas.openxmlformats.org/officeDocument/2006/relationships/hyperlink" Target="http://www.stf.jus.br/portal/peticaoInicial/verPeticaoInicial.asp?base=ADI&amp;documento=&amp;s1=6675&amp;numProcesso=6675" TargetMode="External"/><Relationship Id="rId109" Type="http://schemas.openxmlformats.org/officeDocument/2006/relationships/hyperlink" Target="http://www.planalto.gov.br/ccivil_03/_ato2019-2022/2021/Decreto/D10629.htm" TargetMode="External"/><Relationship Id="rId34" Type="http://schemas.openxmlformats.org/officeDocument/2006/relationships/hyperlink" Target="http://www.stf.jus.br/portal/peticaoInicial/verPeticaoInicial.asp?base=ADI&amp;documento=&amp;s1=6675&amp;numProcesso=6677" TargetMode="External"/><Relationship Id="rId50" Type="http://schemas.openxmlformats.org/officeDocument/2006/relationships/hyperlink" Target="http://www.planalto.gov.br/ccivil_03/_ato2019-2022/2019/decreto/D10030.htm" TargetMode="External"/><Relationship Id="rId55" Type="http://schemas.openxmlformats.org/officeDocument/2006/relationships/hyperlink" Target="http://www.planalto.gov.br/ccivil_03/_ato2019-2022/2021/Decreto/D10629.htm" TargetMode="External"/><Relationship Id="rId76" Type="http://schemas.openxmlformats.org/officeDocument/2006/relationships/hyperlink" Target="http://www.stf.jus.br/portal/peticaoInicial/verPeticaoInicial.asp?base=ADI&amp;documento=&amp;s1=6675&amp;numProcesso=6675" TargetMode="External"/><Relationship Id="rId97" Type="http://schemas.openxmlformats.org/officeDocument/2006/relationships/hyperlink" Target="http://www.planalto.gov.br/ccivil_03/_ato2019-2022/2021/Decreto/D10629.htm" TargetMode="External"/><Relationship Id="rId104" Type="http://schemas.openxmlformats.org/officeDocument/2006/relationships/hyperlink" Target="http://www.planalto.gov.br/ccivil_03/LEIS/2003/L10.826.htm" TargetMode="External"/><Relationship Id="rId120" Type="http://schemas.openxmlformats.org/officeDocument/2006/relationships/hyperlink" Target="http://www.planalto.gov.br/ccivil_03/_ato2019-2022/2021/Decreto/D10629.htm" TargetMode="External"/><Relationship Id="rId125" Type="http://schemas.openxmlformats.org/officeDocument/2006/relationships/hyperlink" Target="http://www.stf.jus.br/portal/peticaoInicial/verPeticaoInicial.asp?base=ADI&amp;documento=&amp;s1=6675&amp;numProcesso=6695" TargetMode="External"/><Relationship Id="rId141" Type="http://schemas.openxmlformats.org/officeDocument/2006/relationships/hyperlink" Target="http://www.planalto.gov.br/ccivil_03/_ato2019-2022/2021/Decreto/D10629.htm" TargetMode="External"/><Relationship Id="rId146" Type="http://schemas.openxmlformats.org/officeDocument/2006/relationships/hyperlink" Target="http://www.planalto.gov.br/ccivil_03/LEIS/2003/L10.826.htm" TargetMode="External"/><Relationship Id="rId167" Type="http://schemas.openxmlformats.org/officeDocument/2006/relationships/hyperlink" Target="http://www.planalto.gov.br/ccivil_03/_ato2019-2022/2021/Decreto/D10629.htm" TargetMode="External"/><Relationship Id="rId7" Type="http://schemas.openxmlformats.org/officeDocument/2006/relationships/hyperlink" Target="http://legislacao.planalto.gov.br/legisla/legislacao.nsf/Viw_Identificacao/DEC%209.846-2019?OpenDocument" TargetMode="External"/><Relationship Id="rId71" Type="http://schemas.openxmlformats.org/officeDocument/2006/relationships/hyperlink" Target="http://www.stf.jus.br/portal/peticaoInicial/verPeticaoInicial.asp?base=ADI&amp;documento=&amp;s1=6675&amp;numProcesso=6676" TargetMode="External"/><Relationship Id="rId92" Type="http://schemas.openxmlformats.org/officeDocument/2006/relationships/hyperlink" Target="http://www.stf.jus.br/portal/peticaoInicial/verPeticaoInicial.asp?base=ADI&amp;documento=&amp;s1=6675&amp;numProcesso=6695" TargetMode="External"/><Relationship Id="rId162" Type="http://schemas.openxmlformats.org/officeDocument/2006/relationships/hyperlink" Target="http://www.planalto.gov.br/ccivil_03/_ato2019-2022/2021/Decreto/D10629.htm" TargetMode="External"/><Relationship Id="rId2" Type="http://schemas.openxmlformats.org/officeDocument/2006/relationships/styles" Target="styles.xml"/><Relationship Id="rId29" Type="http://schemas.openxmlformats.org/officeDocument/2006/relationships/hyperlink" Target="http://www.planalto.gov.br/ccivil_03/_ato2019-2022/2019/decreto/D10030.htm" TargetMode="External"/><Relationship Id="rId24" Type="http://schemas.openxmlformats.org/officeDocument/2006/relationships/hyperlink" Target="http://www.planalto.gov.br/ccivil_03/_ato2019-2022/2019/decreto/D10030.htm" TargetMode="External"/><Relationship Id="rId40" Type="http://schemas.openxmlformats.org/officeDocument/2006/relationships/hyperlink" Target="http://www.stf.jus.br/portal/peticaoInicial/verPeticaoInicial.asp?base=ADI&amp;documento=&amp;s1=6675&amp;numProcesso=6676" TargetMode="External"/><Relationship Id="rId45" Type="http://schemas.openxmlformats.org/officeDocument/2006/relationships/hyperlink" Target="http://www.stf.jus.br/portal/peticaoInicial/verPeticaoInicial.asp?base=ADI&amp;documento=&amp;s1=6675&amp;numProcesso=6675" TargetMode="External"/><Relationship Id="rId66" Type="http://schemas.openxmlformats.org/officeDocument/2006/relationships/hyperlink" Target="http://www.stf.jus.br/portal/peticaoInicial/verPeticaoInicial.asp?base=ADI&amp;documento=&amp;s1=6675&amp;numProcesso=6675" TargetMode="External"/><Relationship Id="rId87" Type="http://schemas.openxmlformats.org/officeDocument/2006/relationships/hyperlink" Target="http://www.planalto.gov.br/ccivil_03/_ato2019-2022/2021/Decreto/D10629.htm" TargetMode="External"/><Relationship Id="rId110" Type="http://schemas.openxmlformats.org/officeDocument/2006/relationships/hyperlink" Target="http://www.planalto.gov.br/ccivil_03/_ato2019-2022/2021/Decreto/D10629.htm" TargetMode="External"/><Relationship Id="rId115" Type="http://schemas.openxmlformats.org/officeDocument/2006/relationships/hyperlink" Target="http://www.planalto.gov.br/ccivil_03/_ato2019-2022/2021/Decreto/D10629.htm" TargetMode="External"/><Relationship Id="rId131" Type="http://schemas.openxmlformats.org/officeDocument/2006/relationships/hyperlink" Target="http://www.planalto.gov.br/ccivil_03/_ato2019-2022/2021/Decreto/D10629.htm" TargetMode="External"/><Relationship Id="rId136" Type="http://schemas.openxmlformats.org/officeDocument/2006/relationships/hyperlink" Target="http://www.planalto.gov.br/ccivil_03/_ato2019-2022/2021/Decreto/D10629.htm" TargetMode="External"/><Relationship Id="rId157" Type="http://schemas.openxmlformats.org/officeDocument/2006/relationships/hyperlink" Target="http://www.planalto.gov.br/ccivil_03/_ato2019-2022/2021/Decreto/D10629.htm" TargetMode="External"/><Relationship Id="rId61" Type="http://schemas.openxmlformats.org/officeDocument/2006/relationships/hyperlink" Target="http://www.planalto.gov.br/ccivil_03/_ato2019-2022/2021/Decreto/D10629.htm" TargetMode="External"/><Relationship Id="rId82" Type="http://schemas.openxmlformats.org/officeDocument/2006/relationships/hyperlink" Target="http://www.stf.jus.br/portal/peticaoInicial/verPeticaoInicial.asp?base=ADI&amp;documento=&amp;s1=6675&amp;numProcesso=6675" TargetMode="External"/><Relationship Id="rId152" Type="http://schemas.openxmlformats.org/officeDocument/2006/relationships/hyperlink" Target="http://www.planalto.gov.br/ccivil_03/_ato2019-2022/2021/Decreto/D10629.htm" TargetMode="External"/><Relationship Id="rId173" Type="http://schemas.openxmlformats.org/officeDocument/2006/relationships/hyperlink" Target="http://www.planalto.gov.br/ccivil_03/_ato2019-2022/2021/Decreto/D10629.htm" TargetMode="External"/><Relationship Id="rId19" Type="http://schemas.openxmlformats.org/officeDocument/2006/relationships/hyperlink" Target="http://www.stf.jus.br/portal/peticaoInicial/verPeticaoInicial.asp?base=ADI&amp;documento=&amp;s1=6675&amp;numProcesso=6695" TargetMode="External"/><Relationship Id="rId14" Type="http://schemas.openxmlformats.org/officeDocument/2006/relationships/hyperlink" Target="http://www.planalto.gov.br/ccivil_03/_ato2019-2022/2021/Decreto/D10629.htm" TargetMode="External"/><Relationship Id="rId30" Type="http://schemas.openxmlformats.org/officeDocument/2006/relationships/hyperlink" Target="http://www.planalto.gov.br/ccivil_03/_ato2019-2022/2021/Decreto/D10629.htm" TargetMode="External"/><Relationship Id="rId35" Type="http://schemas.openxmlformats.org/officeDocument/2006/relationships/hyperlink" Target="http://www.stf.jus.br/portal/peticaoInicial/verPeticaoInicial.asp?base=ADI&amp;documento=&amp;s1=6675&amp;numProcesso=6695" TargetMode="External"/><Relationship Id="rId56" Type="http://schemas.openxmlformats.org/officeDocument/2006/relationships/hyperlink" Target="http://www.stf.jus.br/portal/peticaoInicial/verPeticaoInicial.asp?base=ADI&amp;documento=&amp;s1=6675&amp;numProcesso=6675" TargetMode="External"/><Relationship Id="rId77" Type="http://schemas.openxmlformats.org/officeDocument/2006/relationships/hyperlink" Target="http://www.stf.jus.br/portal/peticaoInicial/verPeticaoInicial.asp?base=ADI&amp;documento=&amp;s1=6675&amp;numProcesso=6676" TargetMode="External"/><Relationship Id="rId100" Type="http://schemas.openxmlformats.org/officeDocument/2006/relationships/hyperlink" Target="http://www.planalto.gov.br/ccivil_03/_ato2019-2022/2021/Decreto/D10629.htm" TargetMode="External"/><Relationship Id="rId105" Type="http://schemas.openxmlformats.org/officeDocument/2006/relationships/hyperlink" Target="http://www.planalto.gov.br/ccivil_03/LEIS/2003/L10.826.htm" TargetMode="External"/><Relationship Id="rId126" Type="http://schemas.openxmlformats.org/officeDocument/2006/relationships/hyperlink" Target="http://www.planalto.gov.br/ccivil_03/_ato2019-2022/2021/Decreto/D10629.htm" TargetMode="External"/><Relationship Id="rId147" Type="http://schemas.openxmlformats.org/officeDocument/2006/relationships/hyperlink" Target="http://www.planalto.gov.br/ccivil_03/_ato2019-2022/2021/Decreto/D10629.htm" TargetMode="External"/><Relationship Id="rId168" Type="http://schemas.openxmlformats.org/officeDocument/2006/relationships/hyperlink" Target="http://www.planalto.gov.br/ccivil_03/_ato2019-2022/2021/Decreto/D10629.htm" TargetMode="External"/><Relationship Id="rId8" Type="http://schemas.openxmlformats.org/officeDocument/2006/relationships/hyperlink" Target="http://www.planalto.gov.br/ccivil_03/LEIS/2003/L10.826.htm" TargetMode="External"/><Relationship Id="rId51" Type="http://schemas.openxmlformats.org/officeDocument/2006/relationships/hyperlink" Target="http://www.stf.jus.br/portal/peticaoInicial/verPeticaoInicial.asp?base=ADI&amp;documento=&amp;s1=6675&amp;numProcesso=6675" TargetMode="External"/><Relationship Id="rId72" Type="http://schemas.openxmlformats.org/officeDocument/2006/relationships/hyperlink" Target="http://www.stf.jus.br/portal/peticaoInicial/verPeticaoInicial.asp?base=ADI&amp;documento=&amp;s1=6675&amp;numProcesso=6677" TargetMode="External"/><Relationship Id="rId93" Type="http://schemas.openxmlformats.org/officeDocument/2006/relationships/hyperlink" Target="http://www.planalto.gov.br/ccivil_03/_ato2019-2022/2021/Decreto/D10629.htm" TargetMode="External"/><Relationship Id="rId98" Type="http://schemas.openxmlformats.org/officeDocument/2006/relationships/hyperlink" Target="http://www.stf.jus.br/portal/peticaoInicial/verPeticaoInicial.asp?base=ADI&amp;documento=&amp;s1=6675&amp;numProcesso=6695" TargetMode="External"/><Relationship Id="rId121" Type="http://schemas.openxmlformats.org/officeDocument/2006/relationships/hyperlink" Target="http://www.planalto.gov.br/ccivil_03/_ato2019-2022/2021/Decreto/D10629.htm" TargetMode="External"/><Relationship Id="rId142" Type="http://schemas.openxmlformats.org/officeDocument/2006/relationships/hyperlink" Target="http://www.planalto.gov.br/ccivil_03/_ato2019-2022/2021/Decreto/D10629.htm" TargetMode="External"/><Relationship Id="rId163" Type="http://schemas.openxmlformats.org/officeDocument/2006/relationships/hyperlink" Target="http://www.planalto.gov.br/ccivil_03/_ato2019-2022/2021/Decreto/D10629.htm" TargetMode="External"/><Relationship Id="rId3" Type="http://schemas.openxmlformats.org/officeDocument/2006/relationships/settings" Target="settings.xml"/><Relationship Id="rId25" Type="http://schemas.openxmlformats.org/officeDocument/2006/relationships/hyperlink" Target="http://www.stf.jus.br/portal/peticaoInicial/verPeticaoInicial.asp?base=ADI&amp;documento=&amp;s1=6675&amp;numProcesso=6675" TargetMode="External"/><Relationship Id="rId46" Type="http://schemas.openxmlformats.org/officeDocument/2006/relationships/hyperlink" Target="http://www.stf.jus.br/portal/peticaoInicial/verPeticaoInicial.asp?base=ADI&amp;documento=&amp;s1=6675&amp;numProcesso=6676" TargetMode="External"/><Relationship Id="rId67" Type="http://schemas.openxmlformats.org/officeDocument/2006/relationships/hyperlink" Target="http://www.stf.jus.br/portal/peticaoInicial/verPeticaoInicial.asp?base=ADI&amp;documento=&amp;s1=6675&amp;numProcesso=6676" TargetMode="External"/><Relationship Id="rId116" Type="http://schemas.openxmlformats.org/officeDocument/2006/relationships/hyperlink" Target="http://www.planalto.gov.br/ccivil_03/_ato2019-2022/2021/Decreto/D10629.htm" TargetMode="External"/><Relationship Id="rId137" Type="http://schemas.openxmlformats.org/officeDocument/2006/relationships/hyperlink" Target="http://www.planalto.gov.br/ccivil_03/_ato2019-2022/2021/Decreto/D10629.htm" TargetMode="External"/><Relationship Id="rId158" Type="http://schemas.openxmlformats.org/officeDocument/2006/relationships/hyperlink" Target="http://www.planalto.gov.br/ccivil_03/_ato2019-2022/2021/Decreto/D10629.htm" TargetMode="External"/><Relationship Id="rId20" Type="http://schemas.openxmlformats.org/officeDocument/2006/relationships/hyperlink" Target="http://www.stf.jus.br/portal/peticaoInicial/verPeticaoInicial.asp?base=ADI&amp;documento=&amp;s1=6675&amp;numProcesso=6676" TargetMode="External"/><Relationship Id="rId41" Type="http://schemas.openxmlformats.org/officeDocument/2006/relationships/hyperlink" Target="http://www.stf.jus.br/portal/peticaoInicial/verPeticaoInicial.asp?base=ADI&amp;documento=&amp;s1=6675&amp;numProcesso=6677" TargetMode="External"/><Relationship Id="rId62" Type="http://schemas.openxmlformats.org/officeDocument/2006/relationships/hyperlink" Target="http://www.planalto.gov.br/ccivil_03/_ato2019-2022/2021/Decreto/D10629.htm" TargetMode="External"/><Relationship Id="rId83" Type="http://schemas.openxmlformats.org/officeDocument/2006/relationships/hyperlink" Target="http://www.stf.jus.br/portal/peticaoInicial/verPeticaoInicial.asp?base=ADI&amp;documento=&amp;s1=6675&amp;numProcesso=6676" TargetMode="External"/><Relationship Id="rId88" Type="http://schemas.openxmlformats.org/officeDocument/2006/relationships/hyperlink" Target="http://www.planalto.gov.br/ccivil_03/_ato2019-2022/2021/Decreto/D10629.htm" TargetMode="External"/><Relationship Id="rId111" Type="http://schemas.openxmlformats.org/officeDocument/2006/relationships/hyperlink" Target="http://www.planalto.gov.br/ccivil_03/_ato2019-2022/2021/Decreto/D10629.htm" TargetMode="External"/><Relationship Id="rId132" Type="http://schemas.openxmlformats.org/officeDocument/2006/relationships/hyperlink" Target="http://www.planalto.gov.br/ccivil_03/_ato2019-2022/2021/Decreto/D10629.htm" TargetMode="External"/><Relationship Id="rId153" Type="http://schemas.openxmlformats.org/officeDocument/2006/relationships/hyperlink" Target="http://www.planalto.gov.br/ccivil_03/_ato2019-2022/2021/Decreto/D10629.htm" TargetMode="External"/><Relationship Id="rId174" Type="http://schemas.openxmlformats.org/officeDocument/2006/relationships/hyperlink" Target="http://www.planalto.gov.br/ccivil_03/_Ato2015-2018/2015/Lei/L13105.htm" TargetMode="External"/><Relationship Id="rId15" Type="http://schemas.openxmlformats.org/officeDocument/2006/relationships/hyperlink" Target="http://www.planalto.gov.br/ccivil_03/_ato2019-2022/2021/Decreto/D10629.htm" TargetMode="External"/><Relationship Id="rId36" Type="http://schemas.openxmlformats.org/officeDocument/2006/relationships/hyperlink" Target="http://www.stf.jus.br/portal/peticaoInicial/verPeticaoInicial.asp?base=ADI&amp;documento=&amp;s1=6675&amp;numProcesso=6695" TargetMode="External"/><Relationship Id="rId57" Type="http://schemas.openxmlformats.org/officeDocument/2006/relationships/hyperlink" Target="http://www.stf.jus.br/portal/peticaoInicial/verPeticaoInicial.asp?base=ADI&amp;documento=&amp;s1=6675&amp;numProcesso=6695" TargetMode="External"/><Relationship Id="rId106" Type="http://schemas.openxmlformats.org/officeDocument/2006/relationships/hyperlink" Target="http://www.planalto.gov.br/ccivil_03/_ato2019-2022/2019/decreto/D10030.htm" TargetMode="External"/><Relationship Id="rId127" Type="http://schemas.openxmlformats.org/officeDocument/2006/relationships/hyperlink" Target="http://www.planalto.gov.br/ccivil_03/_ato2019-2022/2021/Decreto/D1062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6383</Words>
  <Characters>34473</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26</cp:revision>
  <dcterms:created xsi:type="dcterms:W3CDTF">2016-12-30T18:11:00Z</dcterms:created>
  <dcterms:modified xsi:type="dcterms:W3CDTF">2022-04-07T13:21:00Z</dcterms:modified>
</cp:coreProperties>
</file>