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E3211E" w14:textId="77777777" w:rsidR="00FA128F" w:rsidRPr="00FA128F" w:rsidRDefault="00FA128F" w:rsidP="00FA128F">
      <w:pPr>
        <w:spacing w:before="100" w:beforeAutospacing="1" w:after="100" w:afterAutospacing="1" w:line="240" w:lineRule="auto"/>
        <w:jc w:val="center"/>
        <w:outlineLvl w:val="1"/>
        <w:rPr>
          <w:rFonts w:ascii="Book Antiqua" w:eastAsia="Times New Roman" w:hAnsi="Book Antiqua" w:cs="Arial"/>
          <w:b/>
          <w:color w:val="333333"/>
          <w:sz w:val="20"/>
          <w:szCs w:val="20"/>
          <w:lang w:eastAsia="pt-BR"/>
        </w:rPr>
      </w:pPr>
      <w:r w:rsidRPr="00FA128F">
        <w:rPr>
          <w:rFonts w:ascii="Book Antiqua" w:eastAsia="Times New Roman" w:hAnsi="Book Antiqua" w:cs="Arial"/>
          <w:b/>
          <w:color w:val="333333"/>
          <w:sz w:val="20"/>
          <w:szCs w:val="20"/>
          <w:lang w:eastAsia="pt-BR"/>
        </w:rPr>
        <w:t>Resolução Nº 185 de 18/12/2013</w:t>
      </w:r>
    </w:p>
    <w:p w14:paraId="1B7A79B5" w14:textId="77777777" w:rsidR="00FA128F" w:rsidRPr="00FA128F" w:rsidRDefault="00FA128F" w:rsidP="00FA128F">
      <w:pPr>
        <w:spacing w:before="100" w:beforeAutospacing="1" w:after="100" w:afterAutospacing="1" w:line="240" w:lineRule="auto"/>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333333"/>
          <w:sz w:val="20"/>
          <w:szCs w:val="20"/>
          <w:lang w:eastAsia="pt-BR"/>
        </w:rPr>
        <w:t>Ementa:</w:t>
      </w:r>
      <w:r w:rsidRPr="00FA128F">
        <w:rPr>
          <w:rFonts w:ascii="Book Antiqua" w:eastAsia="Times New Roman" w:hAnsi="Book Antiqua" w:cs="Arial"/>
          <w:color w:val="333333"/>
          <w:sz w:val="20"/>
          <w:szCs w:val="20"/>
          <w:lang w:eastAsia="pt-BR"/>
        </w:rPr>
        <w:t xml:space="preserve"> Institui o Sistema Processo Judicial Eletrônico - </w:t>
      </w:r>
      <w:proofErr w:type="spellStart"/>
      <w:r w:rsidRPr="00FA128F">
        <w:rPr>
          <w:rFonts w:ascii="Book Antiqua" w:eastAsia="Times New Roman" w:hAnsi="Book Antiqua" w:cs="Arial"/>
          <w:color w:val="333333"/>
          <w:sz w:val="20"/>
          <w:szCs w:val="20"/>
          <w:lang w:eastAsia="pt-BR"/>
        </w:rPr>
        <w:t>PJe</w:t>
      </w:r>
      <w:proofErr w:type="spellEnd"/>
      <w:r w:rsidRPr="00FA128F">
        <w:rPr>
          <w:rFonts w:ascii="Book Antiqua" w:eastAsia="Times New Roman" w:hAnsi="Book Antiqua" w:cs="Arial"/>
          <w:color w:val="333333"/>
          <w:sz w:val="20"/>
          <w:szCs w:val="20"/>
          <w:lang w:eastAsia="pt-BR"/>
        </w:rPr>
        <w:t xml:space="preserve"> como sistema de processamento de informações e prática de atos processuais e estabelece os parâmetros para sua implementação e funcionamento.</w:t>
      </w:r>
    </w:p>
    <w:p w14:paraId="449BC741" w14:textId="77777777" w:rsidR="00FA128F" w:rsidRPr="00FA128F" w:rsidRDefault="00FA128F" w:rsidP="00FA128F">
      <w:pPr>
        <w:spacing w:before="100" w:beforeAutospacing="1" w:after="100" w:afterAutospacing="1" w:line="240" w:lineRule="auto"/>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333333"/>
          <w:sz w:val="20"/>
          <w:szCs w:val="20"/>
          <w:lang w:eastAsia="pt-BR"/>
        </w:rPr>
        <w:t>Origem:</w:t>
      </w:r>
      <w:r w:rsidRPr="00FA128F">
        <w:rPr>
          <w:rFonts w:ascii="Book Antiqua" w:eastAsia="Times New Roman" w:hAnsi="Book Antiqua" w:cs="Arial"/>
          <w:color w:val="333333"/>
          <w:sz w:val="20"/>
          <w:szCs w:val="20"/>
          <w:lang w:eastAsia="pt-BR"/>
        </w:rPr>
        <w:t xml:space="preserve"> Presidência</w:t>
      </w:r>
    </w:p>
    <w:p w14:paraId="27C7941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O PRESIDENTE DO CONSELHO NACIONAL DE JUSTIÇA (CNJ)</w:t>
      </w:r>
      <w:r w:rsidRPr="00FA128F">
        <w:rPr>
          <w:rFonts w:ascii="Book Antiqua" w:eastAsia="Times New Roman" w:hAnsi="Book Antiqua" w:cs="Arial"/>
          <w:color w:val="000000"/>
          <w:sz w:val="20"/>
          <w:szCs w:val="20"/>
          <w:lang w:eastAsia="pt-BR"/>
        </w:rPr>
        <w:t>, no uso de suas atribuições legais e regimentais, e</w:t>
      </w:r>
    </w:p>
    <w:p w14:paraId="3C52C40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 xml:space="preserve">CONSIDERANDO </w:t>
      </w:r>
      <w:r w:rsidRPr="00FA128F">
        <w:rPr>
          <w:rFonts w:ascii="Book Antiqua" w:eastAsia="Times New Roman" w:hAnsi="Book Antiqua" w:cs="Arial"/>
          <w:color w:val="000000"/>
          <w:sz w:val="20"/>
          <w:szCs w:val="20"/>
          <w:lang w:eastAsia="pt-BR"/>
        </w:rPr>
        <w:t>as diretrizes contidas na Lei n. 11.419, de 19 de dezembro de 2006, que dispõe sobre a informatização do processo judicial, especialmente o disposto no art. 18, que autoriza a regulamentação pelos órgãos do Poder Judiciário;</w:t>
      </w:r>
    </w:p>
    <w:p w14:paraId="09C0CE29" w14:textId="0CBEA09C"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333333"/>
          <w:sz w:val="20"/>
          <w:szCs w:val="20"/>
          <w:lang w:eastAsia="pt-BR"/>
        </w:rPr>
        <w:t> </w:t>
      </w: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os benefícios advindos da substituição da tramitação de autos em meio físico pelo meio eletrônico, como instrumento de celeridade e qualidade da prestação jurisdicional;</w:t>
      </w:r>
    </w:p>
    <w:p w14:paraId="7204E6F4" w14:textId="01690F0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necessidade de racionalização da utilização dos recursos orçamentários pelos órgãos do Poder Judiciário;</w:t>
      </w:r>
    </w:p>
    <w:p w14:paraId="138BA95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o contido no Acórdão TCU 1094, que, entre outras medidas, recomenda que o Conselho Superior da Justiça do Trabalho - CSJT fiscalize "as medidas a serem adotadas pelos órgãos integrantes da Justiça do Trabalho, de modo a evitar o desperdício de recursos no desenvolvimento de soluções a serem descartadas quando da implantação dos projetos nacionais, orientando acerca da estrita observância dos termos do Ato Conjunto CSJT.TST.GP.SE 9/2008, especialmente em seus </w:t>
      </w:r>
      <w:proofErr w:type="spellStart"/>
      <w:r w:rsidRPr="00FA128F">
        <w:rPr>
          <w:rFonts w:ascii="Book Antiqua" w:eastAsia="Times New Roman" w:hAnsi="Book Antiqua" w:cs="Arial"/>
          <w:color w:val="000000"/>
          <w:sz w:val="20"/>
          <w:szCs w:val="20"/>
          <w:lang w:eastAsia="pt-BR"/>
        </w:rPr>
        <w:t>arts</w:t>
      </w:r>
      <w:proofErr w:type="spellEnd"/>
      <w:r w:rsidRPr="00FA128F">
        <w:rPr>
          <w:rFonts w:ascii="Book Antiqua" w:eastAsia="Times New Roman" w:hAnsi="Book Antiqua" w:cs="Arial"/>
          <w:color w:val="000000"/>
          <w:sz w:val="20"/>
          <w:szCs w:val="20"/>
          <w:lang w:eastAsia="pt-BR"/>
        </w:rPr>
        <w:t>. 9º e 11, zelando pela compatibilidade das soluções de TI adotadas no âmbito da Justiça do Trabalho, bem como se abstendo da prática de contratações cujo objeto venha a ser rapidamente descartado, podendo resultar em atos de gestão antieconômicos e ineficientes", com envio de cópia ao Conselho Nacional de Justiça;</w:t>
      </w:r>
    </w:p>
    <w:p w14:paraId="6E07A1B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as vantagens advindas da adoção de instrumentos tecnológicos que permitam a adequação do funcionamento do Poder Judiciário aos princípios da proteção ambiental;</w:t>
      </w:r>
    </w:p>
    <w:p w14:paraId="024D2C2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necessidade de regulamentar a implantação do sistema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nos órgãos do Poder Judiciário, de modo a conferir-lhe uniformidade;</w:t>
      </w:r>
    </w:p>
    <w:p w14:paraId="396FDEC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edição da Resolução nº. 94 do Conselho Superior da Justiça do Trabalho - CSJT, de 23 de março de 2012, e suas posteriores alterações, que regulamentou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-JT no âmbito daquela justiça especializada;</w:t>
      </w:r>
    </w:p>
    <w:p w14:paraId="00B2E62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Resolução n. 202, de 29 de agosto de 2012, do Conselho da Justiça Federal, que "Dispõe sobre a implantação do Sistema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no âmbito do Conselho e da Justiça Federal de primeiro e segundo graus";</w:t>
      </w:r>
    </w:p>
    <w:p w14:paraId="7400C1F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o Acordo de Cooperação Técnica n. 029/2012, celebrado entre o Conselho Nacional de Justiça e o Conselho da Justiça Federal, detalhando as obrigações dos partícipes quanto à customização, implantação e utilização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no âmbito da Justiça Federal;</w:t>
      </w:r>
    </w:p>
    <w:p w14:paraId="6C26C49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Resolução n. 23393/2013, aprovada pelo Tribunal Superior Eleitoral na Sessão Administrativa de 10 de setembro de 2013, que regulamentou o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na Justiça Eleitoral;</w:t>
      </w:r>
    </w:p>
    <w:p w14:paraId="1F22F13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adesão de grande número de Tribunais de Justiça ao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por meio do Acordo de Cooperação n. 043/2010;</w:t>
      </w:r>
    </w:p>
    <w:p w14:paraId="335F25D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lastRenderedPageBreak/>
        <w:t>CONSIDERANDO</w:t>
      </w:r>
      <w:r w:rsidRPr="00FA128F">
        <w:rPr>
          <w:rFonts w:ascii="Book Antiqua" w:eastAsia="Times New Roman" w:hAnsi="Book Antiqua" w:cs="Arial"/>
          <w:color w:val="000000"/>
          <w:sz w:val="20"/>
          <w:szCs w:val="20"/>
          <w:lang w:eastAsia="pt-BR"/>
        </w:rPr>
        <w:t xml:space="preserve"> as atribuições do Conselho Nacional de Justiça, previstas no art. 103-B, § 4º, da Constituição Federal, especialmente no que concerne ao controle da atuação administrativa e financeira e à coordenação do planejamento estratégico do Poder Judiciário, inclusive na área de tecnologia da informação,</w:t>
      </w:r>
    </w:p>
    <w:p w14:paraId="73E6068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CONSIDERANDO</w:t>
      </w:r>
      <w:r w:rsidRPr="00FA128F">
        <w:rPr>
          <w:rFonts w:ascii="Book Antiqua" w:eastAsia="Times New Roman" w:hAnsi="Book Antiqua" w:cs="Arial"/>
          <w:color w:val="000000"/>
          <w:sz w:val="20"/>
          <w:szCs w:val="20"/>
          <w:lang w:eastAsia="pt-BR"/>
        </w:rPr>
        <w:t xml:space="preserve"> a deliberação do Plenário do Conselho Nacional de Justiça na 181ª Sessão Ordinária, realizada em 17 de dezembro de 2013;</w:t>
      </w:r>
    </w:p>
    <w:p w14:paraId="670BC29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RESOLVE:</w:t>
      </w:r>
    </w:p>
    <w:p w14:paraId="2C6CBA0C" w14:textId="4FA0894F"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Instituir o Sistema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como sistema informatizado de processo judicial no âmbito do Poder Judiciário e estabelecer os parâmetros para o seu funcionamento, na forma a seguir:</w:t>
      </w:r>
      <w:r w:rsidRPr="00FA128F">
        <w:rPr>
          <w:rFonts w:ascii="Book Antiqua" w:eastAsia="Times New Roman" w:hAnsi="Book Antiqua" w:cs="Arial"/>
          <w:color w:val="333333"/>
          <w:sz w:val="20"/>
          <w:szCs w:val="20"/>
          <w:lang w:eastAsia="pt-BR"/>
        </w:rPr>
        <w:t> </w:t>
      </w:r>
    </w:p>
    <w:p w14:paraId="622A252A" w14:textId="77777777"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CAPÍTULO 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DO PROCESSO JUDICIAL ELETRÔNICO</w:t>
      </w:r>
    </w:p>
    <w:p w14:paraId="05E0AF0D" w14:textId="43AAC7DD"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Seção 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Das Disposições Gerais</w:t>
      </w:r>
    </w:p>
    <w:p w14:paraId="2D39991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1º A tramitação do processo judicial eletrônico nos órgãos do Poder Judiciário previstos no art. 92, incisos I-A a VII, da Constituição Federal, realizada por intermédio do Sistema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é disciplinada pela presente Resolução e pelas normas específicas expedidas pelos Conselhos e Tribunais que com esta não conflitem.</w:t>
      </w:r>
    </w:p>
    <w:p w14:paraId="15B3059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2º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compreenderá o controle do sistema judicial nos seguintes aspectos:</w:t>
      </w:r>
    </w:p>
    <w:p w14:paraId="0FEB0DF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o controle da tramitação do processo;</w:t>
      </w:r>
    </w:p>
    <w:p w14:paraId="47844DF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a padronização de todos os dados e informações compreendidas pelo processo judicial;</w:t>
      </w:r>
    </w:p>
    <w:p w14:paraId="39B0F41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a produção, registro e publicidade dos atos processuais;</w:t>
      </w:r>
    </w:p>
    <w:p w14:paraId="549223D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IV – o fornecimento de dados essenciais à gestão das informações necessárias aos diversos órgãos de supervisão, controle e uso do sistema judiciário.</w:t>
      </w:r>
    </w:p>
    <w:p w14:paraId="05762CD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3º Para o disposto nesta Resolução, considera-se:</w:t>
      </w:r>
    </w:p>
    <w:p w14:paraId="21A2713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assinatura digital: resumo matemático computacionalmente calculado a partir do uso de chave privada e que pode ser verificado com o uso de chave pública, estando o detentor do par de chaves certificado dentro da Infraestrutura de Chaves Públicas Brasileira (ICP-</w:t>
      </w:r>
      <w:proofErr w:type="spellStart"/>
      <w:r w:rsidRPr="00FA128F">
        <w:rPr>
          <w:rFonts w:ascii="Book Antiqua" w:eastAsia="Times New Roman" w:hAnsi="Book Antiqua" w:cs="Arial"/>
          <w:color w:val="000000"/>
          <w:sz w:val="20"/>
          <w:szCs w:val="20"/>
          <w:lang w:eastAsia="pt-BR"/>
        </w:rPr>
        <w:t>Br</w:t>
      </w:r>
      <w:proofErr w:type="spellEnd"/>
      <w:r w:rsidRPr="00FA128F">
        <w:rPr>
          <w:rFonts w:ascii="Book Antiqua" w:eastAsia="Times New Roman" w:hAnsi="Book Antiqua" w:cs="Arial"/>
          <w:color w:val="000000"/>
          <w:sz w:val="20"/>
          <w:szCs w:val="20"/>
          <w:lang w:eastAsia="pt-BR"/>
        </w:rPr>
        <w:t>), na forma da legislação específica;</w:t>
      </w:r>
    </w:p>
    <w:p w14:paraId="6FDD5D2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autos do processo eletrônico ou autos digitais: conjunto de metadados e documentos eletrônicos correspondentes a todos os atos, termos e informações do processo;</w:t>
      </w:r>
    </w:p>
    <w:p w14:paraId="1A4AD69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digitalização: processo de reprodução ou conversão de fato ou coisa, produzidos ou representados originalmente em meio não digital, para o formato digital;</w:t>
      </w:r>
    </w:p>
    <w:p w14:paraId="4418293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IV – documento digitalizado: reprodução digital de documento originalmente físico;</w:t>
      </w:r>
    </w:p>
    <w:p w14:paraId="6DF1F73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V – documento digital: documento originalmente produzido em meio digital;</w:t>
      </w:r>
    </w:p>
    <w:p w14:paraId="76A53FA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VI – meio eletrônico: ambiente de armazenamento ou tráfego de informações digitais;</w:t>
      </w:r>
    </w:p>
    <w:p w14:paraId="3C88120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VII – transmissão eletrônica: toda forma de comunicação à distância com a utilização de redes de comunicação, preferencialmente a rede mundial de computadores;</w:t>
      </w:r>
    </w:p>
    <w:p w14:paraId="4B289C7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VIII – usuários internos: magistrados e servidores do Poder Judiciário, bem como outros a que se reconhecer acesso às funcionalidades internas do sistema de processamento em meio eletrônico, tais como estagiários e prestadores de serviço;</w:t>
      </w:r>
    </w:p>
    <w:p w14:paraId="7006653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IX – usuários externos: todos os demais usuários, incluídos partes, advogados, membros do Ministério Público, defensores públicos, peritos e leiloeiros.</w:t>
      </w:r>
    </w:p>
    <w:p w14:paraId="40665B8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4º Os atos processuais terão registro, visualização, tramitação e controle exclusivamente em meio eletrônico e serão assinados digitalmente, contendo elementos que permitam identificar o usuário responsável pela sua prática.</w:t>
      </w:r>
    </w:p>
    <w:p w14:paraId="31D234D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1º A reprodução de documento dos autos digitais deverá conter elementos que permitam verificar a sua autenticidade em endereço eletrônico para esse fim, disponibilizado nos sítios do Conselho Nacional de Justiça e de cada um dos Tribunais usuários do Sistema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6841098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O usuário é responsável pela exatidão das informações prestadas, quando de seu credenciamento, assim como pela guarda, sigilo e utilização da assinatura digital, não sendo oponível, em qualquer hipótese, alegação de uso indevido, nos termos da Medida Provisória n. 2.200-2, de 24 de agosto de 2001.</w:t>
      </w:r>
    </w:p>
    <w:p w14:paraId="22180E9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3º Somente serão admitidas assinaturas digitais de pessoas físicas e de pessoas físicas representantes de pessoas jurídicas, quando realizada no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ou a este destinada, se utilizado certificado digital A3 ou equivalente que o venha a substituir, na forma da normatização do ICP-Brasil.</w:t>
      </w:r>
    </w:p>
    <w:p w14:paraId="0FF54CD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4º A assinatura digital por meio de aparelhos móveis que não possam ser acoplados a dispositivo criptográfico portável (tokens ou cartões) com certificado A3 será realizada na forma a ser definida pelo Comitê Gestor Nacional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5091A99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5º A distribuição dos processos se realizará de acordo com os pesos atribuídos, dentre outros, às classes processuais, aos assuntos do processo e à quantidade de partes em cada polo processual, de modo a garantir uma maior uniformidade na carga de trabalho de magistrados com a mesma competência, resguardando-se a necessária aleatoriedade na distribuição.</w:t>
      </w:r>
    </w:p>
    <w:p w14:paraId="7F24361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A atribuição dos pesos referidos no caput será realizada pelos Conselhos, Tribunais e/ou Corregedorias, no âmbito de suas competências, devendo ser criados grupos de magistrados de todas as instâncias para validação das configurações locais, sendo possível a atribuição de um peso idêntico para cada um dos aspectos passíveis de configuração.</w:t>
      </w:r>
    </w:p>
    <w:p w14:paraId="2B3BCC3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A distribuição em qualquer grau de jurisdição será necessariamente automática e realizada pelo sistema imediatamente após o protocolo da petição inicial.</w:t>
      </w:r>
    </w:p>
    <w:p w14:paraId="301685A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3º O sistema fornecerá indicação de possível prevenção com processos já distribuídos, com base nos parâmetros definidos pelo Comitê Gestor Nacional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cabendo ao magistrado analisar a existência, ou não, da prevenção.</w:t>
      </w:r>
    </w:p>
    <w:p w14:paraId="6B11C3B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4º É vedado criar funcionalidade no sistema para exclusão prévia de magistrados do sorteio de distribuição por qualquer motivo, inclusive impedimento ou suspeição.</w:t>
      </w:r>
    </w:p>
    <w:p w14:paraId="3EB46C33" w14:textId="3D22100E"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5º Poderá ser criada funcionalidade para indicação prévia de possível suspeição ou impedimento, que não influenciará na distribuição, cabendo ao magistrado analisar a existência, ou não, da suspeição ou do impedimento.</w:t>
      </w:r>
      <w:r w:rsidRPr="00FA128F">
        <w:rPr>
          <w:rFonts w:ascii="Book Antiqua" w:eastAsia="Times New Roman" w:hAnsi="Book Antiqua" w:cs="Arial"/>
          <w:color w:val="333333"/>
          <w:sz w:val="20"/>
          <w:szCs w:val="20"/>
          <w:lang w:eastAsia="pt-BR"/>
        </w:rPr>
        <w:t> </w:t>
      </w:r>
    </w:p>
    <w:p w14:paraId="7D2FF624" w14:textId="42E0CF0B"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lastRenderedPageBreak/>
        <w:t>Seção II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Do Acesso ao Sistema</w:t>
      </w:r>
      <w:r w:rsidRPr="00FA128F">
        <w:rPr>
          <w:rFonts w:ascii="Book Antiqua" w:eastAsia="Times New Roman" w:hAnsi="Book Antiqua" w:cs="Arial"/>
          <w:color w:val="333333"/>
          <w:sz w:val="20"/>
          <w:szCs w:val="20"/>
          <w:lang w:eastAsia="pt-BR"/>
        </w:rPr>
        <w:t> </w:t>
      </w:r>
    </w:p>
    <w:p w14:paraId="3402B0A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6º Para acesso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é obrigatória a utilização de assinatura digital a que se refere o art. 4º, § 3º, desta Resolução, com exceção das situações previstas no § 4º deste artigo.</w:t>
      </w:r>
    </w:p>
    <w:p w14:paraId="663EB32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1º Os usuários terão acesso às funcionalidades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de acordo com o perfil que lhes for atribuído no sistema e em razão da natureza de sua relação jurídico-processual.</w:t>
      </w:r>
    </w:p>
    <w:p w14:paraId="0E6CC96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Quando necessário, o fornecimento de certificados digitais aos usuários internos será de responsabilidade de cada Tribunal ou Conselho, facultado ao Conselho Nacional de Justiça atuar na sua aquisição e distribuição.</w:t>
      </w:r>
    </w:p>
    <w:p w14:paraId="7E761D4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Serão gerados códigos de acesso ao processo para as partes constantes do polo passivo, com prazo de validade limitado, que lhe permitam o acesso ao inteiro conteúdo dos autos eletrônicos, para possibilitar o exercício do contraditório e da ampla defesa.</w:t>
      </w:r>
    </w:p>
    <w:p w14:paraId="144EDA0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4º Será possível o acesso e a utilização do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através de usuário (login) e senha, exceto para:</w:t>
      </w:r>
    </w:p>
    <w:p w14:paraId="300E39B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assinatura de documentos e arquivos;</w:t>
      </w:r>
    </w:p>
    <w:p w14:paraId="2CC839A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operações que acessem serviços com exigência de identificação por certificação digital;</w:t>
      </w:r>
    </w:p>
    <w:p w14:paraId="1857B8C5" w14:textId="4573BBE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w:t>
      </w:r>
      <w:hyperlink r:id="rId4" w:tgtFrame="_blank" w:history="1">
        <w:r w:rsidRPr="00FA128F">
          <w:rPr>
            <w:rFonts w:ascii="Book Antiqua" w:eastAsia="Times New Roman" w:hAnsi="Book Antiqua" w:cs="Arial"/>
            <w:color w:val="337AB7"/>
            <w:sz w:val="20"/>
            <w:szCs w:val="20"/>
            <w:lang w:eastAsia="pt-BR"/>
          </w:rPr>
          <w:t>Revogado pela Resolução nº 245, de 12.09.2016</w:t>
        </w:r>
      </w:hyperlink>
      <w:r w:rsidRPr="00FA128F">
        <w:rPr>
          <w:rFonts w:ascii="Book Antiqua" w:eastAsia="Times New Roman" w:hAnsi="Book Antiqua" w:cs="Arial"/>
          <w:color w:val="000000"/>
          <w:sz w:val="20"/>
          <w:szCs w:val="20"/>
          <w:lang w:eastAsia="pt-BR"/>
        </w:rPr>
        <w:t>)</w:t>
      </w:r>
    </w:p>
    <w:p w14:paraId="78582AE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5º O usuário, acessando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com login e senha, poderá enviar arquivos não assinados digitalmente, devendo assiná-los com certificado digital em até 5 (cinco) dias, nos termos da Lei n. 9.800, de 26 de maio de 1999.</w:t>
      </w:r>
    </w:p>
    <w:p w14:paraId="6972580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6º O disposto nos §§ 4º e 5º só vigorará a partir da versão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que implemente as soluções neles previstas.</w:t>
      </w:r>
    </w:p>
    <w:p w14:paraId="62A8C1D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7º O credenciamento dar-se-á pela simples identificação do usuário por meio de seu certificado digital e remessa do formulário eletrônico disponibilizado no portal de acesso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devidamente preenchido e assinado digitalmente.</w:t>
      </w:r>
    </w:p>
    <w:p w14:paraId="7F221EA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O cadastramento para uso exclusivamente através de usuário (login) e senha deverá ser realizado presencialmente, nos termos do art. 2º, § 1º, da Lei n. 11.419, de 19 de dezembro de 2006.</w:t>
      </w:r>
    </w:p>
    <w:p w14:paraId="5AFE4DD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2º Alterações de dados cadastrais poderão ser feitas pelos usuários, a qualquer momento, na seção respectiva do portal de acesso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exceto as informações cadastrais obtidas de bancos de dados credenciados, como Receita Federal, Justiça Eleitoral e OAB, que deverão ser atualizadas diretamente nas respectivas fontes.</w:t>
      </w:r>
    </w:p>
    <w:p w14:paraId="68FE4B3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8º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estará disponível 24 (vinte e quatro) horas por dia, ininterruptamente, ressalvados os períodos de manutenção do sistema.</w:t>
      </w:r>
    </w:p>
    <w:p w14:paraId="7E974ED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As manutenções programadas do sistema serão sempre informadas com antecedência e realizadas, preferencialmente, entre 0h de sábado e 22h de domingo, ou entre 0h e 6h dos demais dias da semana.</w:t>
      </w:r>
    </w:p>
    <w:p w14:paraId="0DB8AF9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9º Considera-se indisponibilidade do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a falta de oferta ao público externo, diretamente ou por meio de webservice, de qualquer dos seguintes serviços:</w:t>
      </w:r>
    </w:p>
    <w:p w14:paraId="0134850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consulta aos autos digitais;</w:t>
      </w:r>
    </w:p>
    <w:p w14:paraId="56E0233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II – transmissão eletrônica de atos processuais; ou</w:t>
      </w:r>
    </w:p>
    <w:p w14:paraId="6FB43F1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acesso a citações, intimações ou notificações eletrônicas.</w:t>
      </w:r>
    </w:p>
    <w:p w14:paraId="70E429B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Não caracterizam indisponibilidade as falhas de transmissão de dados entre as estações de trabalho do público externo e a rede de comunicação pública, assim como a impossibilidade técnica que decorra de falhas nos equipamentos ou programas dos usuários.</w:t>
      </w:r>
    </w:p>
    <w:p w14:paraId="7C20664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É de responsabilidade do usuário:</w:t>
      </w:r>
    </w:p>
    <w:p w14:paraId="01FFCEA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o acesso ao seu provedor da internet e a configuração do computador utilizado nas transmissões eletrônicas;</w:t>
      </w:r>
    </w:p>
    <w:p w14:paraId="4DA81DC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o acompanhamento do regular recebimento das petições e documentos transmitidos eletronicamente;</w:t>
      </w:r>
    </w:p>
    <w:p w14:paraId="458A78B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a aquisição, por si ou pela instituição ao qual está vinculado, do certificado digital, padrão ICP-Brasil, emitido por Autoridade Certificadora credenciada, e respectivo dispositivo criptográfico portável.</w:t>
      </w:r>
    </w:p>
    <w:p w14:paraId="6C44E74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10. A indisponibilidade definida no artigo anterior será aferida por sistema de auditoria fornecido pelo Conselho Nacional de Justiça ou por órgão a quem este atribuir tal responsabilidade.</w:t>
      </w:r>
    </w:p>
    <w:p w14:paraId="2A698BD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Os sistemas de auditoria verificarão a disponibilidade externa dos serviços referidos no art. 8º a intervalos de tempo não superiores a 5 (cinco) minutos.</w:t>
      </w:r>
    </w:p>
    <w:p w14:paraId="2E26E3D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2º Toda indisponibilidade do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será registrada em relatório de interrupções de funcionamento acessível ao público no sítio do Tribunal e dos Conselhos, devendo conter, pelo menos, as seguintes informações:</w:t>
      </w:r>
    </w:p>
    <w:p w14:paraId="24FE968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data, hora e minuto de início da indisponibilidade;</w:t>
      </w:r>
    </w:p>
    <w:p w14:paraId="55E27FF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data, hora e minuto de término da indisponibilidade; e</w:t>
      </w:r>
    </w:p>
    <w:p w14:paraId="6D53A09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serviços que ficaram indisponíveis.</w:t>
      </w:r>
    </w:p>
    <w:p w14:paraId="3C44786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O relatório de interrupção, assinado digitalmente e com efeito de certidão, estará acessível preferencialmente em tempo real ou, no máximo, até às 12h do dia seguinte ao da indisponibilidade.</w:t>
      </w:r>
    </w:p>
    <w:p w14:paraId="29CAEBA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D918BF">
        <w:rPr>
          <w:rFonts w:ascii="Book Antiqua" w:eastAsia="Times New Roman" w:hAnsi="Book Antiqua" w:cs="Arial"/>
          <w:b/>
          <w:color w:val="000000"/>
          <w:sz w:val="20"/>
          <w:szCs w:val="20"/>
          <w:highlight w:val="magenta"/>
          <w:lang w:eastAsia="pt-BR"/>
        </w:rPr>
        <w:t>Art. 11</w:t>
      </w:r>
      <w:r w:rsidRPr="00FA128F">
        <w:rPr>
          <w:rFonts w:ascii="Book Antiqua" w:eastAsia="Times New Roman" w:hAnsi="Book Antiqua" w:cs="Arial"/>
          <w:color w:val="000000"/>
          <w:sz w:val="20"/>
          <w:szCs w:val="20"/>
          <w:lang w:eastAsia="pt-BR"/>
        </w:rPr>
        <w:t xml:space="preserve">. Os </w:t>
      </w:r>
      <w:r w:rsidRPr="00D918BF">
        <w:rPr>
          <w:rFonts w:ascii="Book Antiqua" w:eastAsia="Times New Roman" w:hAnsi="Book Antiqua" w:cs="Arial"/>
          <w:b/>
          <w:color w:val="000000"/>
          <w:sz w:val="20"/>
          <w:szCs w:val="20"/>
          <w:highlight w:val="cyan"/>
          <w:lang w:eastAsia="pt-BR"/>
        </w:rPr>
        <w:t>prazos que vencerem</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yellow"/>
          <w:lang w:eastAsia="pt-BR"/>
        </w:rPr>
        <w:t>no dia da ocorrência de indisponibilidade</w:t>
      </w:r>
      <w:r w:rsidRPr="00D918BF">
        <w:rPr>
          <w:rFonts w:ascii="Book Antiqua" w:eastAsia="Times New Roman" w:hAnsi="Book Antiqua" w:cs="Arial"/>
          <w:b/>
          <w:color w:val="000000"/>
          <w:sz w:val="20"/>
          <w:szCs w:val="20"/>
          <w:lang w:eastAsia="pt-BR"/>
        </w:rPr>
        <w:t xml:space="preserve"> </w:t>
      </w:r>
      <w:r w:rsidRPr="00D918BF">
        <w:rPr>
          <w:rFonts w:ascii="Book Antiqua" w:eastAsia="Times New Roman" w:hAnsi="Book Antiqua" w:cs="Arial"/>
          <w:b/>
          <w:color w:val="000000"/>
          <w:sz w:val="20"/>
          <w:szCs w:val="20"/>
          <w:highlight w:val="cyan"/>
          <w:lang w:eastAsia="pt-BR"/>
        </w:rPr>
        <w:t>de quaisquer dos serviços</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yellow"/>
          <w:lang w:eastAsia="pt-BR"/>
        </w:rPr>
        <w:t>referidos no art. 8</w:t>
      </w:r>
      <w:r w:rsidRPr="00FA128F">
        <w:rPr>
          <w:rFonts w:ascii="Book Antiqua" w:eastAsia="Times New Roman" w:hAnsi="Book Antiqua" w:cs="Arial"/>
          <w:color w:val="000000"/>
          <w:sz w:val="20"/>
          <w:szCs w:val="20"/>
          <w:lang w:eastAsia="pt-BR"/>
        </w:rPr>
        <w:t xml:space="preserve">º </w:t>
      </w:r>
      <w:r w:rsidRPr="00D918BF">
        <w:rPr>
          <w:rFonts w:ascii="Book Antiqua" w:eastAsia="Times New Roman" w:hAnsi="Book Antiqua" w:cs="Arial"/>
          <w:b/>
          <w:caps/>
          <w:color w:val="000000"/>
          <w:sz w:val="20"/>
          <w:szCs w:val="20"/>
          <w:highlight w:val="green"/>
          <w:lang w:eastAsia="pt-BR"/>
        </w:rPr>
        <w:t>serão prorrogados</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aps/>
          <w:color w:val="000000"/>
          <w:sz w:val="20"/>
          <w:szCs w:val="20"/>
          <w:shd w:val="clear" w:color="auto" w:fill="F7CAAC" w:themeFill="accent2" w:themeFillTint="66"/>
          <w:lang w:eastAsia="pt-BR"/>
        </w:rPr>
        <w:t>para o dia útil seguinte</w:t>
      </w:r>
      <w:r w:rsidRPr="00FA128F">
        <w:rPr>
          <w:rFonts w:ascii="Book Antiqua" w:eastAsia="Times New Roman" w:hAnsi="Book Antiqua" w:cs="Arial"/>
          <w:color w:val="000000"/>
          <w:sz w:val="20"/>
          <w:szCs w:val="20"/>
          <w:lang w:eastAsia="pt-BR"/>
        </w:rPr>
        <w:t>, quando:</w:t>
      </w:r>
    </w:p>
    <w:p w14:paraId="68BEDA9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I – a </w:t>
      </w:r>
      <w:r w:rsidRPr="00D918BF">
        <w:rPr>
          <w:rFonts w:ascii="Book Antiqua" w:eastAsia="Times New Roman" w:hAnsi="Book Antiqua" w:cs="Arial"/>
          <w:b/>
          <w:color w:val="000000"/>
          <w:sz w:val="20"/>
          <w:szCs w:val="20"/>
          <w:highlight w:val="yellow"/>
          <w:lang w:eastAsia="pt-BR"/>
        </w:rPr>
        <w:t>indisponibilidade</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aps/>
          <w:color w:val="000000"/>
          <w:sz w:val="20"/>
          <w:szCs w:val="20"/>
          <w:highlight w:val="green"/>
          <w:lang w:eastAsia="pt-BR"/>
        </w:rPr>
        <w:t>for</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cyan"/>
          <w:lang w:eastAsia="pt-BR"/>
        </w:rPr>
        <w:t>superior a 60 (sessenta) minutos</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yellow"/>
          <w:lang w:eastAsia="pt-BR"/>
        </w:rPr>
        <w:t>ininterruptos ou não</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aps/>
          <w:color w:val="000000"/>
          <w:sz w:val="20"/>
          <w:szCs w:val="20"/>
          <w:highlight w:val="green"/>
          <w:lang w:eastAsia="pt-BR"/>
        </w:rPr>
        <w:t>se ocorrida</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cyan"/>
          <w:lang w:eastAsia="pt-BR"/>
        </w:rPr>
        <w:t>entre 6h00 e 23h00</w:t>
      </w:r>
      <w:r w:rsidRPr="00FA128F">
        <w:rPr>
          <w:rFonts w:ascii="Book Antiqua" w:eastAsia="Times New Roman" w:hAnsi="Book Antiqua" w:cs="Arial"/>
          <w:color w:val="000000"/>
          <w:sz w:val="20"/>
          <w:szCs w:val="20"/>
          <w:lang w:eastAsia="pt-BR"/>
        </w:rPr>
        <w:t>; ou</w:t>
      </w:r>
    </w:p>
    <w:p w14:paraId="7CD43E19" w14:textId="5599044C" w:rsidR="00FA128F" w:rsidRDefault="00FA128F" w:rsidP="00FA128F">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FA128F">
        <w:rPr>
          <w:rFonts w:ascii="Book Antiqua" w:eastAsia="Times New Roman" w:hAnsi="Book Antiqua" w:cs="Arial"/>
          <w:color w:val="000000"/>
          <w:sz w:val="20"/>
          <w:szCs w:val="20"/>
          <w:lang w:eastAsia="pt-BR"/>
        </w:rPr>
        <w:t xml:space="preserve">II – </w:t>
      </w:r>
      <w:r w:rsidRPr="00D918BF">
        <w:rPr>
          <w:rFonts w:ascii="Book Antiqua" w:eastAsia="Times New Roman" w:hAnsi="Book Antiqua" w:cs="Arial"/>
          <w:b/>
          <w:caps/>
          <w:color w:val="000000"/>
          <w:sz w:val="20"/>
          <w:szCs w:val="20"/>
          <w:highlight w:val="green"/>
          <w:lang w:eastAsia="pt-BR"/>
        </w:rPr>
        <w:t>ocorrer</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yellow"/>
          <w:lang w:eastAsia="pt-BR"/>
        </w:rPr>
        <w:t>indisponibilidade</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cyan"/>
          <w:lang w:eastAsia="pt-BR"/>
        </w:rPr>
        <w:t>entre 23h00 e 24h00</w:t>
      </w:r>
      <w:r w:rsidRPr="00FA128F">
        <w:rPr>
          <w:rFonts w:ascii="Book Antiqua" w:eastAsia="Times New Roman" w:hAnsi="Book Antiqua" w:cs="Arial"/>
          <w:color w:val="000000"/>
          <w:sz w:val="20"/>
          <w:szCs w:val="20"/>
          <w:lang w:eastAsia="pt-BR"/>
        </w:rPr>
        <w:t>.</w:t>
      </w:r>
    </w:p>
    <w:tbl>
      <w:tblPr>
        <w:tblStyle w:val="Tabelacomgrade"/>
        <w:tblW w:w="0" w:type="auto"/>
        <w:shd w:val="clear" w:color="auto" w:fill="CCFFFF"/>
        <w:tblLook w:val="04A0" w:firstRow="1" w:lastRow="0" w:firstColumn="1" w:lastColumn="0" w:noHBand="0" w:noVBand="1"/>
      </w:tblPr>
      <w:tblGrid>
        <w:gridCol w:w="8494"/>
      </w:tblGrid>
      <w:tr w:rsidR="00D918BF" w14:paraId="2419DF9E" w14:textId="77777777" w:rsidTr="00D918BF">
        <w:tc>
          <w:tcPr>
            <w:tcW w:w="8494" w:type="dxa"/>
            <w:shd w:val="clear" w:color="auto" w:fill="CCFFFF"/>
          </w:tcPr>
          <w:p w14:paraId="43F83519" w14:textId="310FC273" w:rsidR="00D918BF" w:rsidRPr="00D918BF" w:rsidRDefault="00D918BF" w:rsidP="00D918BF">
            <w:pPr>
              <w:spacing w:before="100" w:beforeAutospacing="1" w:after="100" w:afterAutospacing="1"/>
              <w:jc w:val="both"/>
              <w:rPr>
                <w:rFonts w:ascii="Book Antiqua" w:eastAsia="Times New Roman" w:hAnsi="Book Antiqua" w:cs="Arial"/>
                <w:b/>
                <w:color w:val="333333"/>
                <w:sz w:val="20"/>
                <w:szCs w:val="20"/>
                <w:lang w:eastAsia="pt-BR"/>
              </w:rPr>
            </w:pPr>
            <w:r>
              <w:rPr>
                <w:rFonts w:ascii="Book Antiqua" w:eastAsia="Times New Roman" w:hAnsi="Book Antiqua" w:cs="Arial"/>
                <w:b/>
                <w:color w:val="333333"/>
                <w:sz w:val="20"/>
                <w:szCs w:val="20"/>
                <w:lang w:eastAsia="pt-BR"/>
              </w:rPr>
              <w:t>(</w:t>
            </w:r>
            <w:r w:rsidRPr="00D918BF">
              <w:rPr>
                <w:rFonts w:ascii="Book Antiqua" w:eastAsia="Times New Roman" w:hAnsi="Book Antiqua" w:cs="Arial"/>
                <w:b/>
                <w:color w:val="333333"/>
                <w:sz w:val="20"/>
                <w:szCs w:val="20"/>
                <w:highlight w:val="yellow"/>
                <w:lang w:eastAsia="pt-BR"/>
              </w:rPr>
              <w:t>PGM-Goiânia/GO-2015-UFG</w:t>
            </w:r>
            <w:r>
              <w:rPr>
                <w:rFonts w:ascii="Book Antiqua" w:eastAsia="Times New Roman" w:hAnsi="Book Antiqua" w:cs="Arial"/>
                <w:b/>
                <w:color w:val="333333"/>
                <w:sz w:val="20"/>
                <w:szCs w:val="20"/>
                <w:lang w:eastAsia="pt-BR"/>
              </w:rPr>
              <w:t>)</w:t>
            </w:r>
            <w:r>
              <w:rPr>
                <w:rFonts w:ascii="Book Antiqua" w:eastAsia="Times New Roman" w:hAnsi="Book Antiqua" w:cs="Arial"/>
                <w:color w:val="333333"/>
                <w:sz w:val="20"/>
                <w:szCs w:val="20"/>
                <w:lang w:eastAsia="pt-BR"/>
              </w:rPr>
              <w:t xml:space="preserve">: </w:t>
            </w:r>
            <w:r w:rsidRPr="00D918BF">
              <w:rPr>
                <w:rFonts w:ascii="Book Antiqua" w:eastAsia="Times New Roman" w:hAnsi="Book Antiqua" w:cs="Arial"/>
                <w:color w:val="333333"/>
                <w:sz w:val="20"/>
                <w:szCs w:val="20"/>
                <w:lang w:eastAsia="pt-BR"/>
              </w:rPr>
              <w:t xml:space="preserve">O Sistema Processo Judicial Eletrônico – </w:t>
            </w:r>
            <w:proofErr w:type="spellStart"/>
            <w:r w:rsidRPr="00D918BF">
              <w:rPr>
                <w:rFonts w:ascii="Book Antiqua" w:eastAsia="Times New Roman" w:hAnsi="Book Antiqua" w:cs="Arial"/>
                <w:color w:val="333333"/>
                <w:sz w:val="20"/>
                <w:szCs w:val="20"/>
                <w:lang w:eastAsia="pt-BR"/>
              </w:rPr>
              <w:t>PJe</w:t>
            </w:r>
            <w:proofErr w:type="spellEnd"/>
            <w:r w:rsidRPr="00D918BF">
              <w:rPr>
                <w:rFonts w:ascii="Book Antiqua" w:eastAsia="Times New Roman" w:hAnsi="Book Antiqua" w:cs="Arial"/>
                <w:color w:val="333333"/>
                <w:sz w:val="20"/>
                <w:szCs w:val="20"/>
                <w:lang w:eastAsia="pt-BR"/>
              </w:rPr>
              <w:t xml:space="preserve"> foi instituído pela Resolução n° 185, de 18/12/2013, do Conselho Nacional de Justiça (CNJ). Nesse sistema,</w:t>
            </w:r>
            <w:r>
              <w:rPr>
                <w:rFonts w:ascii="Book Antiqua" w:eastAsia="Times New Roman" w:hAnsi="Book Antiqua" w:cs="Arial"/>
                <w:color w:val="333333"/>
                <w:sz w:val="20"/>
                <w:szCs w:val="20"/>
                <w:lang w:eastAsia="pt-BR"/>
              </w:rPr>
              <w:t xml:space="preserve"> </w:t>
            </w:r>
            <w:r w:rsidRPr="00D918BF">
              <w:rPr>
                <w:rFonts w:ascii="Book Antiqua" w:eastAsia="Times New Roman" w:hAnsi="Book Antiqua" w:cs="Arial"/>
                <w:color w:val="333333"/>
                <w:sz w:val="20"/>
                <w:szCs w:val="20"/>
                <w:lang w:eastAsia="pt-BR"/>
              </w:rPr>
              <w:t xml:space="preserve">os prazos que vencerem no dia em que o Sistema </w:t>
            </w:r>
            <w:proofErr w:type="spellStart"/>
            <w:r w:rsidRPr="00D918BF">
              <w:rPr>
                <w:rFonts w:ascii="Book Antiqua" w:eastAsia="Times New Roman" w:hAnsi="Book Antiqua" w:cs="Arial"/>
                <w:color w:val="333333"/>
                <w:sz w:val="20"/>
                <w:szCs w:val="20"/>
                <w:lang w:eastAsia="pt-BR"/>
              </w:rPr>
              <w:t>PJe</w:t>
            </w:r>
            <w:proofErr w:type="spellEnd"/>
            <w:r w:rsidRPr="00D918BF">
              <w:rPr>
                <w:rFonts w:ascii="Book Antiqua" w:eastAsia="Times New Roman" w:hAnsi="Book Antiqua" w:cs="Arial"/>
                <w:color w:val="333333"/>
                <w:sz w:val="20"/>
                <w:szCs w:val="20"/>
                <w:lang w:eastAsia="pt-BR"/>
              </w:rPr>
              <w:t xml:space="preserve"> estiver indisponível serão prorrogados para o dia útil seguinte, desde que a indisponibilidade seja superior a 60 minutos ou, ainda que em menor tempo, ocorra entre as 23h00 e 24h00.</w:t>
            </w:r>
            <w:r>
              <w:rPr>
                <w:rFonts w:ascii="Book Antiqua" w:eastAsia="Times New Roman" w:hAnsi="Book Antiqua" w:cs="Arial"/>
                <w:color w:val="333333"/>
                <w:sz w:val="20"/>
                <w:szCs w:val="20"/>
                <w:lang w:eastAsia="pt-BR"/>
              </w:rPr>
              <w:t xml:space="preserve"> </w:t>
            </w:r>
            <w:r>
              <w:rPr>
                <w:rFonts w:ascii="Book Antiqua" w:eastAsia="Times New Roman" w:hAnsi="Book Antiqua" w:cs="Arial"/>
                <w:b/>
                <w:color w:val="333333"/>
                <w:sz w:val="20"/>
                <w:szCs w:val="20"/>
                <w:lang w:eastAsia="pt-BR"/>
              </w:rPr>
              <w:t>BL: art. 11 da Res. 185, CNJ.</w:t>
            </w:r>
          </w:p>
        </w:tc>
      </w:tr>
    </w:tbl>
    <w:p w14:paraId="755F393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 1º As indisponibilidades ocorridas entre 0h00 e 6h00 dos dias de expediente forense e as ocorridas em feriados e finais de semana, a qualquer hora, não produzirão o efeito do caput.</w:t>
      </w:r>
    </w:p>
    <w:p w14:paraId="6123082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Os prazos fixados em hora ou minuto serão prorrogados até às 24h00 do dia útil seguinte quando:</w:t>
      </w:r>
    </w:p>
    <w:p w14:paraId="17FCFF9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ocorrer indisponibilidade superior a 60 (sessenta) minutos, ininterruptos ou não, nas últimas 24 (vinte e quatro) horas do prazo; ou</w:t>
      </w:r>
    </w:p>
    <w:p w14:paraId="5FE6E10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ocorrer indisponibilidade nos 60 (sessenta) minutos anteriores ao seu término.</w:t>
      </w:r>
    </w:p>
    <w:p w14:paraId="3753D62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3º A prorrogação de que trata este artigo será feita automaticamente pelo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64B9A0B0" w14:textId="03FC5DC5"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12. A indisponibilidade previamente programada produzirá as consequências previstas em lei e na presente Resolução e será ostensivamente comunicada ao público externo com, pelo menos, 5 (cinco) dias de antecedência.</w:t>
      </w:r>
      <w:r w:rsidRPr="00FA128F">
        <w:rPr>
          <w:rFonts w:ascii="Book Antiqua" w:eastAsia="Times New Roman" w:hAnsi="Book Antiqua" w:cs="Arial"/>
          <w:color w:val="333333"/>
          <w:sz w:val="20"/>
          <w:szCs w:val="20"/>
          <w:lang w:eastAsia="pt-BR"/>
        </w:rPr>
        <w:t> </w:t>
      </w:r>
    </w:p>
    <w:p w14:paraId="4D9383E2" w14:textId="03A601AC"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Seção III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Do Funcionamento do Sistema</w:t>
      </w:r>
      <w:r w:rsidRPr="00FA128F">
        <w:rPr>
          <w:rFonts w:ascii="Book Antiqua" w:eastAsia="Times New Roman" w:hAnsi="Book Antiqua" w:cs="Arial"/>
          <w:color w:val="333333"/>
          <w:sz w:val="20"/>
          <w:szCs w:val="20"/>
          <w:lang w:eastAsia="pt-BR"/>
        </w:rPr>
        <w:t> </w:t>
      </w:r>
    </w:p>
    <w:p w14:paraId="2F37614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Art. 13</w:t>
      </w:r>
      <w:r w:rsidRPr="00FA128F">
        <w:rPr>
          <w:rFonts w:ascii="Book Antiqua" w:eastAsia="Times New Roman" w:hAnsi="Book Antiqua" w:cs="Arial"/>
          <w:color w:val="000000"/>
          <w:sz w:val="20"/>
          <w:szCs w:val="20"/>
          <w:lang w:eastAsia="pt-BR"/>
        </w:rPr>
        <w:t xml:space="preserve">. O sistema receberá arquivos com tamanho máximo definido por ato do Tribunal ou Conselho e apenas nos formatos definidos pela Presidência do Conselho Nacional de Justiça, ouvido o Comitê Gestor Nacional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7A9C8589" w14:textId="1CD7220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 1º</w:t>
      </w:r>
      <w:r w:rsidRPr="00FA128F">
        <w:rPr>
          <w:rFonts w:ascii="Book Antiqua" w:eastAsia="Times New Roman" w:hAnsi="Book Antiqua" w:cs="Arial"/>
          <w:color w:val="000000"/>
          <w:sz w:val="20"/>
          <w:szCs w:val="20"/>
          <w:lang w:eastAsia="pt-BR"/>
        </w:rPr>
        <w:t xml:space="preserve"> O </w:t>
      </w:r>
      <w:r w:rsidRPr="00FA128F">
        <w:rPr>
          <w:rFonts w:ascii="Book Antiqua" w:eastAsia="Times New Roman" w:hAnsi="Book Antiqua" w:cs="Arial"/>
          <w:b/>
          <w:caps/>
          <w:color w:val="000000"/>
          <w:sz w:val="20"/>
          <w:szCs w:val="20"/>
          <w:shd w:val="clear" w:color="auto" w:fill="F7CAAC" w:themeFill="accent2" w:themeFillTint="66"/>
          <w:lang w:eastAsia="pt-BR"/>
        </w:rPr>
        <w:t>tamanho máximo</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olor w:val="000000"/>
          <w:sz w:val="20"/>
          <w:szCs w:val="20"/>
          <w:highlight w:val="cyan"/>
          <w:lang w:eastAsia="pt-BR"/>
        </w:rPr>
        <w:t>de arquivos</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olor w:val="000000"/>
          <w:sz w:val="20"/>
          <w:szCs w:val="20"/>
          <w:highlight w:val="yellow"/>
          <w:lang w:eastAsia="pt-BR"/>
        </w:rPr>
        <w:t>definido por cada Conselho</w:t>
      </w:r>
      <w:r w:rsidRPr="00FA128F">
        <w:rPr>
          <w:rFonts w:ascii="Book Antiqua" w:eastAsia="Times New Roman" w:hAnsi="Book Antiqua" w:cs="Arial"/>
          <w:color w:val="000000"/>
          <w:sz w:val="20"/>
          <w:szCs w:val="20"/>
          <w:lang w:eastAsia="pt-BR"/>
        </w:rPr>
        <w:t xml:space="preserve"> ou </w:t>
      </w:r>
      <w:r w:rsidRPr="00FA128F">
        <w:rPr>
          <w:rFonts w:ascii="Book Antiqua" w:eastAsia="Times New Roman" w:hAnsi="Book Antiqua" w:cs="Arial"/>
          <w:b/>
          <w:color w:val="000000"/>
          <w:sz w:val="20"/>
          <w:szCs w:val="20"/>
          <w:highlight w:val="yellow"/>
          <w:lang w:eastAsia="pt-BR"/>
        </w:rPr>
        <w:t>Tribunal</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highlight w:val="green"/>
          <w:lang w:eastAsia="pt-BR"/>
        </w:rPr>
        <w:t>não poderá ser</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olor w:val="000000"/>
          <w:sz w:val="20"/>
          <w:szCs w:val="20"/>
          <w:highlight w:val="cyan"/>
          <w:lang w:eastAsia="pt-BR"/>
        </w:rPr>
        <w:t>menor que 1,5Mb</w:t>
      </w:r>
      <w:r w:rsidRPr="00FA128F">
        <w:rPr>
          <w:rFonts w:ascii="Book Antiqua" w:eastAsia="Times New Roman" w:hAnsi="Book Antiqua" w:cs="Arial"/>
          <w:color w:val="000000"/>
          <w:sz w:val="20"/>
          <w:szCs w:val="20"/>
          <w:lang w:eastAsia="pt-BR"/>
        </w:rPr>
        <w:t>.</w:t>
      </w:r>
      <w:r w:rsidR="00964143">
        <w:rPr>
          <w:rFonts w:ascii="Book Antiqua" w:eastAsia="Times New Roman" w:hAnsi="Book Antiqua" w:cs="Arial"/>
          <w:color w:val="000000"/>
          <w:sz w:val="20"/>
          <w:szCs w:val="20"/>
          <w:lang w:eastAsia="pt-BR"/>
        </w:rPr>
        <w:t xml:space="preserve"> </w:t>
      </w:r>
      <w:r w:rsidR="00964143" w:rsidRPr="00964143">
        <w:rPr>
          <w:rFonts w:ascii="Book Antiqua" w:eastAsia="Times New Roman" w:hAnsi="Book Antiqua" w:cs="Arial"/>
          <w:b/>
          <w:color w:val="FF0000"/>
          <w:sz w:val="20"/>
          <w:szCs w:val="20"/>
          <w:u w:val="single"/>
          <w:lang w:eastAsia="pt-BR"/>
        </w:rPr>
        <w:t>(Téc. Judic./TJPE-2017)</w:t>
      </w:r>
    </w:p>
    <w:p w14:paraId="61BBCC4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Na hipótese de capacidade postulatória atribuída à própria parte, a prática de ato processual será viabilizada por intermédio de servidor da unidade judiciária destinatária da petição ou do setor responsável pela redução a termo e digitalização de peças processuais.</w:t>
      </w:r>
    </w:p>
    <w:p w14:paraId="7C99D02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3º Será admitido peticionamento fora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pelas vias ordinárias, nas seguintes hipóteses:</w:t>
      </w:r>
    </w:p>
    <w:p w14:paraId="33D2959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I –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estiver indisponível e o prazo para a prática do ato não for prorrogável na forma do art. 11 ou essa prorrogação puder causar perecimento do direito;</w:t>
      </w:r>
    </w:p>
    <w:p w14:paraId="30C1E22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prática de ato urgente ou destinado a impedir perecimento de direito, quando o usuário externo não possua, em razão de caso fortuito ou força maior, assinatura digital.</w:t>
      </w:r>
    </w:p>
    <w:p w14:paraId="190CD3C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4º A parte ou o advogado poderá juntar quantos arquivos se fizerem necessários à ampla e integral defesa de seus interesses, desde que cada um desses arquivos observe o limite de tamanho máximo e formatos previstos.</w:t>
      </w:r>
    </w:p>
    <w:p w14:paraId="30307154" w14:textId="77777777" w:rsidR="00964143" w:rsidRDefault="00FA128F" w:rsidP="00FA128F">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FA128F">
        <w:rPr>
          <w:rFonts w:ascii="Book Antiqua" w:eastAsia="Times New Roman" w:hAnsi="Book Antiqua" w:cs="Arial"/>
          <w:b/>
          <w:color w:val="000000"/>
          <w:sz w:val="20"/>
          <w:szCs w:val="20"/>
          <w:highlight w:val="magenta"/>
          <w:lang w:eastAsia="pt-BR"/>
        </w:rPr>
        <w:t>Art. 14</w:t>
      </w:r>
      <w:r w:rsidRPr="00FA128F">
        <w:rPr>
          <w:rFonts w:ascii="Book Antiqua" w:eastAsia="Times New Roman" w:hAnsi="Book Antiqua" w:cs="Arial"/>
          <w:color w:val="000000"/>
          <w:sz w:val="20"/>
          <w:szCs w:val="20"/>
          <w:lang w:eastAsia="pt-BR"/>
        </w:rPr>
        <w:t>. Os documentos produzidos eletronicamente, os extratos digitais e os documentos digitalizados e juntados aos autos pelos órgãos do Poder Judiciário e seus auxiliares, pelos membros do Ministério Público, pelas procuradorias e por advogados públicos e privados têm a mesma força probante dos originais, ressalvada a alegação motivada e fundamentada de adulteração.</w:t>
      </w:r>
    </w:p>
    <w:p w14:paraId="1C2506DC" w14:textId="1F68A085"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 1º</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highlight w:val="green"/>
          <w:lang w:eastAsia="pt-BR"/>
        </w:rPr>
        <w:t>Incumbirá</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olor w:val="000000"/>
          <w:sz w:val="20"/>
          <w:szCs w:val="20"/>
          <w:highlight w:val="yellow"/>
          <w:lang w:eastAsia="pt-BR"/>
        </w:rPr>
        <w:t>àquele que produzir</w:t>
      </w:r>
      <w:r w:rsidRPr="00FA128F">
        <w:rPr>
          <w:rFonts w:ascii="Book Antiqua" w:eastAsia="Times New Roman" w:hAnsi="Book Antiqua" w:cs="Arial"/>
          <w:color w:val="000000"/>
          <w:sz w:val="20"/>
          <w:szCs w:val="20"/>
          <w:lang w:eastAsia="pt-BR"/>
        </w:rPr>
        <w:t xml:space="preserve"> o </w:t>
      </w:r>
      <w:r w:rsidRPr="00FA128F">
        <w:rPr>
          <w:rFonts w:ascii="Book Antiqua" w:eastAsia="Times New Roman" w:hAnsi="Book Antiqua" w:cs="Arial"/>
          <w:b/>
          <w:caps/>
          <w:color w:val="000000"/>
          <w:sz w:val="20"/>
          <w:szCs w:val="20"/>
          <w:shd w:val="clear" w:color="auto" w:fill="F7CAAC" w:themeFill="accent2" w:themeFillTint="66"/>
          <w:lang w:eastAsia="pt-BR"/>
        </w:rPr>
        <w:t>documento digital</w:t>
      </w:r>
      <w:r w:rsidRPr="00FA128F">
        <w:rPr>
          <w:rFonts w:ascii="Book Antiqua" w:eastAsia="Times New Roman" w:hAnsi="Book Antiqua" w:cs="Arial"/>
          <w:color w:val="000000"/>
          <w:sz w:val="20"/>
          <w:szCs w:val="20"/>
          <w:lang w:eastAsia="pt-BR"/>
        </w:rPr>
        <w:t xml:space="preserve"> ou </w:t>
      </w:r>
      <w:r w:rsidRPr="00FA128F">
        <w:rPr>
          <w:rFonts w:ascii="Book Antiqua" w:eastAsia="Times New Roman" w:hAnsi="Book Antiqua" w:cs="Arial"/>
          <w:b/>
          <w:caps/>
          <w:color w:val="000000"/>
          <w:sz w:val="20"/>
          <w:szCs w:val="20"/>
          <w:shd w:val="clear" w:color="auto" w:fill="F7CAAC" w:themeFill="accent2" w:themeFillTint="66"/>
          <w:lang w:eastAsia="pt-BR"/>
        </w:rPr>
        <w:t>digitalizado</w:t>
      </w:r>
      <w:r w:rsidRPr="00FA128F">
        <w:rPr>
          <w:rFonts w:ascii="Book Antiqua" w:eastAsia="Times New Roman" w:hAnsi="Book Antiqua" w:cs="Arial"/>
          <w:color w:val="000000"/>
          <w:sz w:val="20"/>
          <w:szCs w:val="20"/>
          <w:lang w:eastAsia="pt-BR"/>
        </w:rPr>
        <w:t xml:space="preserve"> e </w:t>
      </w:r>
      <w:r w:rsidRPr="00FA128F">
        <w:rPr>
          <w:rFonts w:ascii="Book Antiqua" w:eastAsia="Times New Roman" w:hAnsi="Book Antiqua" w:cs="Arial"/>
          <w:b/>
          <w:color w:val="000000"/>
          <w:sz w:val="20"/>
          <w:szCs w:val="20"/>
          <w:highlight w:val="yellow"/>
          <w:lang w:eastAsia="pt-BR"/>
        </w:rPr>
        <w:t>realizar a sua juntada aos autos</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highlight w:val="green"/>
          <w:lang w:eastAsia="pt-BR"/>
        </w:rPr>
        <w:t>zelar</w:t>
      </w:r>
      <w:r w:rsidRPr="00FA128F">
        <w:rPr>
          <w:rFonts w:ascii="Book Antiqua" w:eastAsia="Times New Roman" w:hAnsi="Book Antiqua" w:cs="Arial"/>
          <w:color w:val="000000"/>
          <w:sz w:val="20"/>
          <w:szCs w:val="20"/>
          <w:lang w:eastAsia="pt-BR"/>
        </w:rPr>
        <w:t xml:space="preserve"> pela </w:t>
      </w:r>
      <w:r w:rsidRPr="00FA128F">
        <w:rPr>
          <w:rFonts w:ascii="Book Antiqua" w:eastAsia="Times New Roman" w:hAnsi="Book Antiqua" w:cs="Arial"/>
          <w:b/>
          <w:color w:val="000000"/>
          <w:sz w:val="20"/>
          <w:szCs w:val="20"/>
          <w:highlight w:val="cyan"/>
          <w:lang w:eastAsia="pt-BR"/>
        </w:rPr>
        <w:t>qualidade deste</w:t>
      </w:r>
      <w:r w:rsidRPr="00FA128F">
        <w:rPr>
          <w:rFonts w:ascii="Book Antiqua" w:eastAsia="Times New Roman" w:hAnsi="Book Antiqua" w:cs="Arial"/>
          <w:color w:val="000000"/>
          <w:sz w:val="20"/>
          <w:szCs w:val="20"/>
          <w:lang w:eastAsia="pt-BR"/>
        </w:rPr>
        <w:t xml:space="preserve">, especialmente quanto à </w:t>
      </w:r>
      <w:r w:rsidRPr="00FA128F">
        <w:rPr>
          <w:rFonts w:ascii="Book Antiqua" w:eastAsia="Times New Roman" w:hAnsi="Book Antiqua" w:cs="Arial"/>
          <w:b/>
          <w:color w:val="000000"/>
          <w:sz w:val="20"/>
          <w:szCs w:val="20"/>
          <w:highlight w:val="cyan"/>
          <w:lang w:eastAsia="pt-BR"/>
        </w:rPr>
        <w:t>sua legibilidade</w:t>
      </w:r>
      <w:r w:rsidRPr="00FA128F">
        <w:rPr>
          <w:rFonts w:ascii="Book Antiqua" w:eastAsia="Times New Roman" w:hAnsi="Book Antiqua" w:cs="Arial"/>
          <w:color w:val="000000"/>
          <w:sz w:val="20"/>
          <w:szCs w:val="20"/>
          <w:lang w:eastAsia="pt-BR"/>
        </w:rPr>
        <w:t>.</w:t>
      </w:r>
      <w:r w:rsidR="00964143">
        <w:rPr>
          <w:rFonts w:ascii="Book Antiqua" w:eastAsia="Times New Roman" w:hAnsi="Book Antiqua" w:cs="Arial"/>
          <w:color w:val="000000"/>
          <w:sz w:val="20"/>
          <w:szCs w:val="20"/>
          <w:lang w:eastAsia="pt-BR"/>
        </w:rPr>
        <w:t xml:space="preserve"> </w:t>
      </w:r>
      <w:r w:rsidR="00964143" w:rsidRPr="00964143">
        <w:rPr>
          <w:rFonts w:ascii="Book Antiqua" w:eastAsia="Times New Roman" w:hAnsi="Book Antiqua" w:cs="Arial"/>
          <w:b/>
          <w:color w:val="FF0000"/>
          <w:sz w:val="20"/>
          <w:szCs w:val="20"/>
          <w:u w:val="single"/>
          <w:lang w:eastAsia="pt-BR"/>
        </w:rPr>
        <w:t>(Téc. Judic./TJPE-2017)</w:t>
      </w:r>
    </w:p>
    <w:p w14:paraId="5384D4A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 2º Os originais dos documentos digitalizados, mencionados no caput deste artigo, deverão ser preservados pelo seu detentor até o trânsito em julgado da sentença ou, quando admitida, até o final do prazo para propositura de ação rescisória.</w:t>
      </w:r>
    </w:p>
    <w:p w14:paraId="29DFD7E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A arguição de falsidade do documento original será processada eletronicamente na forma da lei processual em vigor.</w:t>
      </w:r>
    </w:p>
    <w:p w14:paraId="0B697CD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4º Os documentos cuja digitalização mostre-se tecnicamente inviável devido ao grande volume, tamanho/formato ou por motivo de ilegibilidade deverão ser apresentados em secretaria no prazo de 10 (dez) dias contados do envio de petição eletrônica comunicando o fato. Após o trânsito em julgado, os referidos documentos serão devolvidos, incumbindo-se à parte preservá-los, até o final do prazo para propositura de ação rescisória, quando admitida.</w:t>
      </w:r>
    </w:p>
    <w:p w14:paraId="68E76DD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5º O usuário deve assegurar que os arquivos eletrônicos que envia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estejam livres de artefatos maliciosos, podendo o Sistema, caso constatada a presença desses artefatos, rejeitá-los de plano, informando ao usuário as razões da rejeição, com efeito de certidão.</w:t>
      </w:r>
    </w:p>
    <w:p w14:paraId="116CD4BA" w14:textId="127CA8F9"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Art. 15</w:t>
      </w:r>
      <w:r w:rsidRPr="00FA128F">
        <w:rPr>
          <w:rFonts w:ascii="Book Antiqua" w:eastAsia="Times New Roman" w:hAnsi="Book Antiqua" w:cs="Arial"/>
          <w:color w:val="000000"/>
          <w:sz w:val="20"/>
          <w:szCs w:val="20"/>
          <w:lang w:eastAsia="pt-BR"/>
        </w:rPr>
        <w:t xml:space="preserve">. Os documentos físicos apresentados com fundamento nos §§ 2º e 3º do art. 13 desta Resolução deverão ser retirados pelos interessados, </w:t>
      </w:r>
      <w:r w:rsidRPr="00FA128F">
        <w:rPr>
          <w:rFonts w:ascii="Book Antiqua" w:eastAsia="Times New Roman" w:hAnsi="Book Antiqua" w:cs="Arial"/>
          <w:b/>
          <w:color w:val="000000"/>
          <w:sz w:val="20"/>
          <w:szCs w:val="20"/>
          <w:highlight w:val="cyan"/>
          <w:lang w:eastAsia="pt-BR"/>
        </w:rPr>
        <w:t>no prazo de 45 (quarenta e cinco) dias</w:t>
      </w:r>
      <w:r w:rsidRPr="00FA128F">
        <w:rPr>
          <w:rFonts w:ascii="Book Antiqua" w:eastAsia="Times New Roman" w:hAnsi="Book Antiqua" w:cs="Arial"/>
          <w:color w:val="000000"/>
          <w:sz w:val="20"/>
          <w:szCs w:val="20"/>
          <w:lang w:eastAsia="pt-BR"/>
        </w:rPr>
        <w:t>, para os efeitos do art. 11, § 3º, da Lei n. 11.419, de 19 de dezembro de 2006.</w:t>
      </w:r>
      <w:r w:rsidR="00964143">
        <w:rPr>
          <w:rFonts w:ascii="Book Antiqua" w:eastAsia="Times New Roman" w:hAnsi="Book Antiqua" w:cs="Arial"/>
          <w:color w:val="000000"/>
          <w:sz w:val="20"/>
          <w:szCs w:val="20"/>
          <w:lang w:eastAsia="pt-BR"/>
        </w:rPr>
        <w:t xml:space="preserve"> </w:t>
      </w:r>
      <w:r w:rsidR="00964143" w:rsidRPr="00964143">
        <w:rPr>
          <w:rFonts w:ascii="Book Antiqua" w:eastAsia="Times New Roman" w:hAnsi="Book Antiqua" w:cs="Arial"/>
          <w:b/>
          <w:color w:val="FF0000"/>
          <w:sz w:val="20"/>
          <w:szCs w:val="20"/>
          <w:u w:val="single"/>
          <w:lang w:eastAsia="pt-BR"/>
        </w:rPr>
        <w:t>(Téc. Judic./TJPE-2017)</w:t>
      </w:r>
    </w:p>
    <w:p w14:paraId="1729A95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Findo o prazo estabelecido no caput, a Unidade Judiciária correspondente poderá inutilizar os documentos mantidos sob sua guarda em meio impresso.</w:t>
      </w:r>
    </w:p>
    <w:p w14:paraId="3451D97A" w14:textId="7018E988"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Art. 16</w:t>
      </w:r>
      <w:r w:rsidRPr="00FA128F">
        <w:rPr>
          <w:rFonts w:ascii="Book Antiqua" w:eastAsia="Times New Roman" w:hAnsi="Book Antiqua" w:cs="Arial"/>
          <w:color w:val="000000"/>
          <w:sz w:val="20"/>
          <w:szCs w:val="20"/>
          <w:lang w:eastAsia="pt-BR"/>
        </w:rPr>
        <w:t>. Os documentos que forem juntados eletronicamente em autos digitais e reputados manifestamente impertinentes pelo Juízo poderão ter, observado o contraditório, sua visualização tornada indisponível por expressa determinação judicial.</w:t>
      </w:r>
      <w:r w:rsidR="009D1D24">
        <w:rPr>
          <w:rFonts w:ascii="Book Antiqua" w:eastAsia="Times New Roman" w:hAnsi="Book Antiqua" w:cs="Arial"/>
          <w:color w:val="000000"/>
          <w:sz w:val="20"/>
          <w:szCs w:val="20"/>
          <w:lang w:eastAsia="pt-BR"/>
        </w:rPr>
        <w:t xml:space="preserve"> </w:t>
      </w:r>
      <w:r w:rsidR="009D1D24" w:rsidRPr="00964143">
        <w:rPr>
          <w:rFonts w:ascii="Book Antiqua" w:eastAsia="Times New Roman" w:hAnsi="Book Antiqua" w:cs="Arial"/>
          <w:b/>
          <w:color w:val="FF0000"/>
          <w:sz w:val="20"/>
          <w:szCs w:val="20"/>
          <w:u w:val="single"/>
          <w:lang w:eastAsia="pt-BR"/>
        </w:rPr>
        <w:t>(Téc. Judic./TJPE-2017)</w:t>
      </w:r>
    </w:p>
    <w:p w14:paraId="4310EE9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17. Os documentos digitalizados e anexados às petições eletrônicas serão classificados e organizados de forma a facilitar o exame dos autos eletrônicos.</w:t>
      </w:r>
    </w:p>
    <w:p w14:paraId="7B9F004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Quando a forma de apresentação dos documentos puder ensejar prejuízo ao exercício do contraditório e da ampla defesa, deverá o juiz determinar nova apresentação e a exclusão dos anteriormente juntados.</w:t>
      </w:r>
    </w:p>
    <w:p w14:paraId="1DDBB98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Art. 18</w:t>
      </w:r>
      <w:r w:rsidRPr="00FA128F">
        <w:rPr>
          <w:rFonts w:ascii="Book Antiqua" w:eastAsia="Times New Roman" w:hAnsi="Book Antiqua" w:cs="Arial"/>
          <w:color w:val="000000"/>
          <w:sz w:val="20"/>
          <w:szCs w:val="20"/>
          <w:lang w:eastAsia="pt-BR"/>
        </w:rPr>
        <w:t xml:space="preserve">. Os órgãos do Poder Judiciário que utilizarem o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manterão instalados equipamentos à disposição das partes, advogados e interessados para consulta ao conteúdo dos autos digitais, digitalização e envio de peças processuais e documentos em meio eletrônico.</w:t>
      </w:r>
    </w:p>
    <w:p w14:paraId="12A28DFB" w14:textId="67FFEE3D"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u w:val="single"/>
          <w:lang w:eastAsia="pt-BR"/>
        </w:rPr>
      </w:pPr>
      <w:r w:rsidRPr="00FA128F">
        <w:rPr>
          <w:rFonts w:ascii="Book Antiqua" w:eastAsia="Times New Roman" w:hAnsi="Book Antiqua" w:cs="Arial"/>
          <w:b/>
          <w:color w:val="000000"/>
          <w:sz w:val="20"/>
          <w:szCs w:val="20"/>
          <w:highlight w:val="magenta"/>
          <w:lang w:eastAsia="pt-BR"/>
        </w:rPr>
        <w:t>§ 1º</w:t>
      </w:r>
      <w:r w:rsidRPr="00FA128F">
        <w:rPr>
          <w:rFonts w:ascii="Book Antiqua" w:eastAsia="Times New Roman" w:hAnsi="Book Antiqua" w:cs="Arial"/>
          <w:color w:val="000000"/>
          <w:sz w:val="20"/>
          <w:szCs w:val="20"/>
          <w:lang w:eastAsia="pt-BR"/>
        </w:rPr>
        <w:t xml:space="preserve"> Para os fins do caput, os órgãos do Poder Judiciário </w:t>
      </w:r>
      <w:r w:rsidRPr="00FA128F">
        <w:rPr>
          <w:rFonts w:ascii="Book Antiqua" w:eastAsia="Times New Roman" w:hAnsi="Book Antiqua" w:cs="Arial"/>
          <w:b/>
          <w:caps/>
          <w:color w:val="000000"/>
          <w:sz w:val="20"/>
          <w:szCs w:val="20"/>
          <w:highlight w:val="green"/>
          <w:lang w:eastAsia="pt-BR"/>
        </w:rPr>
        <w:t>devem providenciar</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shd w:val="clear" w:color="auto" w:fill="F7CAAC" w:themeFill="accent2" w:themeFillTint="66"/>
          <w:lang w:eastAsia="pt-BR"/>
        </w:rPr>
        <w:t>auxílio técnico presencial</w:t>
      </w:r>
      <w:r w:rsidRPr="00FA128F">
        <w:rPr>
          <w:rFonts w:ascii="Book Antiqua" w:eastAsia="Times New Roman" w:hAnsi="Book Antiqua" w:cs="Arial"/>
          <w:color w:val="000000"/>
          <w:sz w:val="20"/>
          <w:szCs w:val="20"/>
          <w:lang w:eastAsia="pt-BR"/>
        </w:rPr>
        <w:t xml:space="preserve"> às </w:t>
      </w:r>
      <w:r w:rsidRPr="00FA128F">
        <w:rPr>
          <w:rFonts w:ascii="Book Antiqua" w:eastAsia="Times New Roman" w:hAnsi="Book Antiqua" w:cs="Arial"/>
          <w:b/>
          <w:color w:val="000000"/>
          <w:sz w:val="20"/>
          <w:szCs w:val="20"/>
          <w:highlight w:val="cyan"/>
          <w:lang w:eastAsia="pt-BR"/>
        </w:rPr>
        <w:t>pessoas com deficiência</w:t>
      </w:r>
      <w:r w:rsidRPr="00FA128F">
        <w:rPr>
          <w:rFonts w:ascii="Book Antiqua" w:eastAsia="Times New Roman" w:hAnsi="Book Antiqua" w:cs="Arial"/>
          <w:color w:val="000000"/>
          <w:sz w:val="20"/>
          <w:szCs w:val="20"/>
          <w:lang w:eastAsia="pt-BR"/>
        </w:rPr>
        <w:t xml:space="preserve"> ou que </w:t>
      </w:r>
      <w:r w:rsidRPr="00FA128F">
        <w:rPr>
          <w:rFonts w:ascii="Book Antiqua" w:eastAsia="Times New Roman" w:hAnsi="Book Antiqua" w:cs="Arial"/>
          <w:b/>
          <w:color w:val="000000"/>
          <w:sz w:val="20"/>
          <w:szCs w:val="20"/>
          <w:highlight w:val="cyan"/>
          <w:lang w:eastAsia="pt-BR"/>
        </w:rPr>
        <w:t>comprovem idade igual ou superior a 60 (sessenta) anos</w:t>
      </w:r>
      <w:r w:rsidRPr="00FA128F">
        <w:rPr>
          <w:rFonts w:ascii="Book Antiqua" w:eastAsia="Times New Roman" w:hAnsi="Book Antiqua" w:cs="Arial"/>
          <w:color w:val="000000"/>
          <w:sz w:val="20"/>
          <w:szCs w:val="20"/>
          <w:lang w:eastAsia="pt-BR"/>
        </w:rPr>
        <w:t>. (</w:t>
      </w:r>
      <w:hyperlink r:id="rId5" w:tgtFrame="_blank" w:history="1">
        <w:r w:rsidRPr="00FA128F">
          <w:rPr>
            <w:rFonts w:ascii="Book Antiqua" w:eastAsia="Times New Roman" w:hAnsi="Book Antiqua" w:cs="Arial"/>
            <w:color w:val="337AB7"/>
            <w:sz w:val="20"/>
            <w:szCs w:val="20"/>
            <w:lang w:eastAsia="pt-BR"/>
          </w:rPr>
          <w:t>Redação dada pela Resolução nº 245, de 12.09.16</w:t>
        </w:r>
      </w:hyperlink>
      <w:r w:rsidRPr="00FA128F">
        <w:rPr>
          <w:rFonts w:ascii="Book Antiqua" w:eastAsia="Times New Roman" w:hAnsi="Book Antiqua" w:cs="Arial"/>
          <w:color w:val="000000"/>
          <w:sz w:val="20"/>
          <w:szCs w:val="20"/>
          <w:lang w:eastAsia="pt-BR"/>
        </w:rPr>
        <w:t>)</w:t>
      </w:r>
      <w:r w:rsidR="009D1D24" w:rsidRPr="009D1D24">
        <w:rPr>
          <w:rFonts w:ascii="Book Antiqua" w:eastAsia="Times New Roman" w:hAnsi="Book Antiqua" w:cs="Arial"/>
          <w:color w:val="000000"/>
          <w:sz w:val="20"/>
          <w:szCs w:val="20"/>
          <w:lang w:eastAsia="pt-BR"/>
        </w:rPr>
        <w:t xml:space="preserve"> </w:t>
      </w:r>
      <w:r w:rsidR="009D1D24" w:rsidRPr="009D1D24">
        <w:rPr>
          <w:rFonts w:ascii="Book Antiqua" w:eastAsia="Times New Roman" w:hAnsi="Book Antiqua" w:cs="Arial"/>
          <w:b/>
          <w:color w:val="FF0000"/>
          <w:sz w:val="20"/>
          <w:szCs w:val="20"/>
          <w:lang w:eastAsia="pt-BR"/>
        </w:rPr>
        <w:t>(</w:t>
      </w:r>
      <w:r w:rsidR="009D1D24" w:rsidRPr="00964143">
        <w:rPr>
          <w:rFonts w:ascii="Book Antiqua" w:eastAsia="Times New Roman" w:hAnsi="Book Antiqua" w:cs="Arial"/>
          <w:b/>
          <w:color w:val="FF0000"/>
          <w:sz w:val="20"/>
          <w:szCs w:val="20"/>
          <w:u w:val="single"/>
          <w:lang w:eastAsia="pt-BR"/>
        </w:rPr>
        <w:t>Téc. Judic./TJPE-2017)</w:t>
      </w:r>
    </w:p>
    <w:p w14:paraId="49A839D8" w14:textId="2BE639D4"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b/>
          <w:color w:val="333333"/>
          <w:sz w:val="20"/>
          <w:szCs w:val="20"/>
          <w:u w:val="single"/>
          <w:lang w:eastAsia="pt-BR"/>
        </w:rPr>
      </w:pPr>
      <w:r w:rsidRPr="00FA128F">
        <w:rPr>
          <w:rFonts w:ascii="Book Antiqua" w:eastAsia="Times New Roman" w:hAnsi="Book Antiqua" w:cs="Arial"/>
          <w:b/>
          <w:color w:val="000000"/>
          <w:sz w:val="20"/>
          <w:szCs w:val="20"/>
          <w:highlight w:val="magenta"/>
          <w:lang w:eastAsia="pt-BR"/>
        </w:rPr>
        <w:t>§ 2º</w:t>
      </w:r>
      <w:r w:rsidRPr="00FA128F">
        <w:rPr>
          <w:rFonts w:ascii="Book Antiqua" w:eastAsia="Times New Roman" w:hAnsi="Book Antiqua" w:cs="Arial"/>
          <w:color w:val="000000"/>
          <w:sz w:val="20"/>
          <w:szCs w:val="20"/>
          <w:lang w:eastAsia="pt-BR"/>
        </w:rPr>
        <w:t xml:space="preserve"> Os órgãos do Poder Judiciário </w:t>
      </w:r>
      <w:r w:rsidRPr="00FA128F">
        <w:rPr>
          <w:rFonts w:ascii="Book Antiqua" w:eastAsia="Times New Roman" w:hAnsi="Book Antiqua" w:cs="Arial"/>
          <w:b/>
          <w:caps/>
          <w:color w:val="000000"/>
          <w:sz w:val="20"/>
          <w:szCs w:val="20"/>
          <w:highlight w:val="green"/>
          <w:lang w:eastAsia="pt-BR"/>
        </w:rPr>
        <w:t>poderão realizar</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shd w:val="clear" w:color="auto" w:fill="F7CAAC" w:themeFill="accent2" w:themeFillTint="66"/>
          <w:lang w:eastAsia="pt-BR"/>
        </w:rPr>
        <w:t>convênio</w:t>
      </w:r>
      <w:r w:rsidRPr="00FA128F">
        <w:rPr>
          <w:rFonts w:ascii="Book Antiqua" w:eastAsia="Times New Roman" w:hAnsi="Book Antiqua" w:cs="Arial"/>
          <w:color w:val="000000"/>
          <w:sz w:val="20"/>
          <w:szCs w:val="20"/>
          <w:lang w:eastAsia="pt-BR"/>
        </w:rPr>
        <w:t xml:space="preserve"> com a Ordem dos Advogados do Brasil (OAB) ou outras associações representativas de advogados, bem como com órgãos públicos, para compartilhar responsabilidades na disponibilização de tais espaços, equipamentos e auxílio técnico presencial.</w:t>
      </w:r>
      <w:r w:rsidRPr="00FA128F">
        <w:rPr>
          <w:rFonts w:ascii="Book Antiqua" w:eastAsia="Times New Roman" w:hAnsi="Book Antiqua" w:cs="Arial"/>
          <w:color w:val="333333"/>
          <w:sz w:val="20"/>
          <w:szCs w:val="20"/>
          <w:lang w:eastAsia="pt-BR"/>
        </w:rPr>
        <w:t> </w:t>
      </w:r>
      <w:r w:rsidR="00964143" w:rsidRPr="00964143">
        <w:rPr>
          <w:rFonts w:ascii="Book Antiqua" w:eastAsia="Times New Roman" w:hAnsi="Book Antiqua" w:cs="Arial"/>
          <w:b/>
          <w:color w:val="FF0000"/>
          <w:sz w:val="20"/>
          <w:szCs w:val="20"/>
          <w:u w:val="single"/>
          <w:lang w:eastAsia="pt-BR"/>
        </w:rPr>
        <w:t>(Téc. Judic./TJPE-2017)</w:t>
      </w:r>
    </w:p>
    <w:p w14:paraId="3F89C6A1" w14:textId="3C974CCD"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Seção IV</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Dos Atos Processuais</w:t>
      </w:r>
      <w:r w:rsidRPr="00FA128F">
        <w:rPr>
          <w:rFonts w:ascii="Book Antiqua" w:eastAsia="Times New Roman" w:hAnsi="Book Antiqua" w:cs="Arial"/>
          <w:color w:val="333333"/>
          <w:sz w:val="20"/>
          <w:szCs w:val="20"/>
          <w:lang w:eastAsia="pt-BR"/>
        </w:rPr>
        <w:t> </w:t>
      </w:r>
    </w:p>
    <w:p w14:paraId="2395D9DE" w14:textId="4C39B7A4" w:rsidR="00FA128F" w:rsidRPr="00D918BF" w:rsidRDefault="00FA128F" w:rsidP="00FA128F">
      <w:pPr>
        <w:spacing w:before="100" w:beforeAutospacing="1" w:after="100" w:afterAutospacing="1" w:line="240" w:lineRule="auto"/>
        <w:ind w:firstLine="1418"/>
        <w:jc w:val="both"/>
        <w:rPr>
          <w:rFonts w:ascii="Book Antiqua" w:eastAsia="Times New Roman" w:hAnsi="Book Antiqua" w:cs="Arial"/>
          <w:b/>
          <w:color w:val="333333"/>
          <w:sz w:val="20"/>
          <w:szCs w:val="20"/>
          <w:u w:val="single"/>
          <w:lang w:eastAsia="pt-BR"/>
        </w:rPr>
      </w:pPr>
      <w:r w:rsidRPr="00D918BF">
        <w:rPr>
          <w:rFonts w:ascii="Book Antiqua" w:eastAsia="Times New Roman" w:hAnsi="Book Antiqua" w:cs="Arial"/>
          <w:b/>
          <w:color w:val="000000"/>
          <w:sz w:val="20"/>
          <w:szCs w:val="20"/>
          <w:highlight w:val="magenta"/>
          <w:lang w:eastAsia="pt-BR"/>
        </w:rPr>
        <w:t>Art. 19</w:t>
      </w:r>
      <w:r w:rsidRPr="00FA128F">
        <w:rPr>
          <w:rFonts w:ascii="Book Antiqua" w:eastAsia="Times New Roman" w:hAnsi="Book Antiqua" w:cs="Arial"/>
          <w:color w:val="000000"/>
          <w:sz w:val="20"/>
          <w:szCs w:val="20"/>
          <w:lang w:eastAsia="pt-BR"/>
        </w:rPr>
        <w:t xml:space="preserve">. No processo eletrônico, todas as citações, intimações e notificações, </w:t>
      </w:r>
      <w:r w:rsidRPr="00D918BF">
        <w:rPr>
          <w:rFonts w:ascii="Book Antiqua" w:eastAsia="Times New Roman" w:hAnsi="Book Antiqua" w:cs="Arial"/>
          <w:b/>
          <w:caps/>
          <w:color w:val="000000"/>
          <w:sz w:val="20"/>
          <w:szCs w:val="20"/>
          <w:highlight w:val="green"/>
          <w:lang w:eastAsia="pt-BR"/>
        </w:rPr>
        <w:t>inclusive</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olor w:val="000000"/>
          <w:sz w:val="20"/>
          <w:szCs w:val="20"/>
          <w:highlight w:val="yellow"/>
          <w:lang w:eastAsia="pt-BR"/>
        </w:rPr>
        <w:t>da Fazenda Pública</w:t>
      </w:r>
      <w:r w:rsidRPr="00FA128F">
        <w:rPr>
          <w:rFonts w:ascii="Book Antiqua" w:eastAsia="Times New Roman" w:hAnsi="Book Antiqua" w:cs="Arial"/>
          <w:color w:val="000000"/>
          <w:sz w:val="20"/>
          <w:szCs w:val="20"/>
          <w:lang w:eastAsia="pt-BR"/>
        </w:rPr>
        <w:t>, far-se-ão por meio eletrônico, nos termos da Lei n. 11.419, de 19 de dezembro de 2006.</w:t>
      </w:r>
      <w:r w:rsidR="00D918BF">
        <w:rPr>
          <w:rFonts w:ascii="Book Antiqua" w:eastAsia="Times New Roman" w:hAnsi="Book Antiqua" w:cs="Arial"/>
          <w:color w:val="000000"/>
          <w:sz w:val="20"/>
          <w:szCs w:val="20"/>
          <w:lang w:eastAsia="pt-BR"/>
        </w:rPr>
        <w:t xml:space="preserve"> </w:t>
      </w:r>
      <w:r w:rsidR="00D918BF" w:rsidRPr="00D918BF">
        <w:rPr>
          <w:rFonts w:ascii="Book Antiqua" w:eastAsia="Times New Roman" w:hAnsi="Book Antiqua" w:cs="Arial"/>
          <w:b/>
          <w:color w:val="FF0000"/>
          <w:sz w:val="20"/>
          <w:szCs w:val="20"/>
          <w:u w:val="single"/>
          <w:lang w:eastAsia="pt-BR"/>
        </w:rPr>
        <w:t>(PGM-Goiânia/GO-2015)</w:t>
      </w:r>
    </w:p>
    <w:p w14:paraId="46D3E92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 1º As citações, intimações, notificações e remessas que viabilizem o acesso à íntegra do processo correspondente serão consideradas vista pessoal do interessado para todos os efeitos legais, nos termos do § 1º do art. 9º da Lei n. 11.419, de 19 de dezembro de 2006.</w:t>
      </w:r>
    </w:p>
    <w:p w14:paraId="4AA425E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Quando, por motivo técnico, for inviável o uso do meio eletrônico para a realização de citação, intimação ou notificação, ou nas hipóteses de urgência/determinação expressa do magistrado, esses atos processuais poderão ser praticados segundo as regras ordinárias, digitalizando-se e destruindo-se posteriormente o documento físico.</w:t>
      </w:r>
    </w:p>
    <w:p w14:paraId="164FEE1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3º Os Tribunais poderão publicar no Diário da Justiça Eletrônico as citações, intimações e notificações de processos em tramitação no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nos termos do art. 4º e parágrafos da Lei n. 11.419, de 19 de dezembro de 2006.</w:t>
      </w:r>
    </w:p>
    <w:p w14:paraId="136E691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20. No instrumento de notificação ou citação constará indicação da forma de acesso ao inteiro teor da petição inicial, bem como ao endereço do sítio eletrônico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nos termos do art. 6º da Lei n. 11.419, de 19 de dezembro de 2006.</w:t>
      </w:r>
    </w:p>
    <w:p w14:paraId="0DC149D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21. Para efeito da contagem do prazo de 10 (dez) dias corridos de que trata o art. 5º, § 3º, da Lei n. 11.419, de 19 de dezembro de 2006, no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4B3A1AA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o dia inicial da contagem é o dia seguinte ao da disponibilização do ato de comunicação no sistema, independentemente de esse dia ser, ou não, de expediente no órgão comunicante;</w:t>
      </w:r>
    </w:p>
    <w:p w14:paraId="0F1CCA2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o dia da consumação da intimação ou comunicação é o décimo dia a partir do dia inicial, caso seja de expediente judiciário, ou o primeiro dia útil seguinte, conforme previsto no art. 5º, § 2º, da Lei n. 11.419, de 19 de dezembro de 2006.</w:t>
      </w:r>
    </w:p>
    <w:p w14:paraId="5E83824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A intercorrência de feriado, interrupção de expediente ou suspensão de prazo entre o dia inicial e o dia final do prazo para conclusão da comunicação não terá nenhum efeito sobre sua contagem, excetuada a hipótese do inciso II.</w:t>
      </w:r>
    </w:p>
    <w:p w14:paraId="76297DE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22. A distribuição da petição inicial e a juntada da resposta, dos recursos e das petições em geral, todos em formato digital, nos autos de processo eletrônico serão feitas diretamente por aquele que tenha capacidade postulatória, sem necessidade da intervenção da secretaria judicial, situação em que a autuação ocorrerá de forma automática, mediante recibo eletrônico de protocolo, disponível permanentemente para guarda do peticionante.</w:t>
      </w:r>
    </w:p>
    <w:p w14:paraId="30D1371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 No caso de petição inicial, o sistema fornecerá, imediatamente após o envio, juntamente com a comprovação de recebimento, informações sobre o número atribuído ao processo, o Órgão Julgador para o qual foi distribuída a ação e, se for o caso, a data da audiência inicial, designada automaticamente, seu local e horário de realização, dos quais será o autor imediatamente intimado.</w:t>
      </w:r>
    </w:p>
    <w:p w14:paraId="653BD54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 Os dados da autuação automática poderão ser conferidos pela unidade judiciária, que procederá a sua alteração em caso de desconformidade com os documentos apresentados, de tudo ficando registro no sistema.</w:t>
      </w:r>
    </w:p>
    <w:p w14:paraId="437125A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Faculta-se, quando o rito processual autorizar, a apresentação de resposta oral e a entrega de documentos em audiência, hipótese em que será reduzida a termo e lançada, juntamente com os documentos, no sistema.</w:t>
      </w:r>
    </w:p>
    <w:p w14:paraId="66BD9DD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23. A comprovação da entrega de expedientes por oficiais de justiça será feita por certidão circunstanciada acerca do cumprimento da diligência.</w:t>
      </w:r>
      <w:r w:rsidRPr="00FA128F">
        <w:rPr>
          <w:rFonts w:ascii="Book Antiqua" w:eastAsia="Times New Roman" w:hAnsi="Book Antiqua" w:cs="Arial"/>
          <w:color w:val="000000"/>
          <w:sz w:val="20"/>
          <w:szCs w:val="20"/>
          <w:lang w:eastAsia="pt-BR"/>
        </w:rPr>
        <w:br/>
        <w:t>Parágrafo único. Haverá opção de digitalizar a contrafé subscrita pelos destinatários e juntá-la aos autos, ou realizar a guarda desta em meio físico, até o trânsito em julgado da sentença ou transcurso do prazo para ação rescisória, quando cabível.</w:t>
      </w:r>
    </w:p>
    <w:p w14:paraId="135CB00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Art. 24. Os avisos de recebimento (</w:t>
      </w:r>
      <w:proofErr w:type="spellStart"/>
      <w:r w:rsidRPr="00FA128F">
        <w:rPr>
          <w:rFonts w:ascii="Book Antiqua" w:eastAsia="Times New Roman" w:hAnsi="Book Antiqua" w:cs="Arial"/>
          <w:color w:val="000000"/>
          <w:sz w:val="20"/>
          <w:szCs w:val="20"/>
          <w:lang w:eastAsia="pt-BR"/>
        </w:rPr>
        <w:t>ARs</w:t>
      </w:r>
      <w:proofErr w:type="spellEnd"/>
      <w:r w:rsidRPr="00FA128F">
        <w:rPr>
          <w:rFonts w:ascii="Book Antiqua" w:eastAsia="Times New Roman" w:hAnsi="Book Antiqua" w:cs="Arial"/>
          <w:color w:val="000000"/>
          <w:sz w:val="20"/>
          <w:szCs w:val="20"/>
          <w:lang w:eastAsia="pt-BR"/>
        </w:rPr>
        <w:t>) devidamente assinados pelo recebedor das comunicações feitas pelos Correios deverão ser digitalizados e os respectivos arquivos juntados aos autos eletrônicos.</w:t>
      </w:r>
    </w:p>
    <w:p w14:paraId="65D9A02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25. As atas e termos de audiência poderão ser assinados digitalmente apenas pelo presidente do ato, assim como o documento digital, no caso de audiências gravadas em áudio e vídeo, os quais passarão a integrar os autos digitais, mediante registro em termo.</w:t>
      </w:r>
    </w:p>
    <w:p w14:paraId="68E11CE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Os demais participantes da audiência que possuam assinatura digital poderão assinar os termos.</w:t>
      </w:r>
    </w:p>
    <w:p w14:paraId="1F1EC0FB" w14:textId="6416C18F"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D918BF">
        <w:rPr>
          <w:rFonts w:ascii="Book Antiqua" w:eastAsia="Times New Roman" w:hAnsi="Book Antiqua" w:cs="Arial"/>
          <w:b/>
          <w:color w:val="000000"/>
          <w:sz w:val="20"/>
          <w:szCs w:val="20"/>
          <w:highlight w:val="magenta"/>
          <w:lang w:eastAsia="pt-BR"/>
        </w:rPr>
        <w:t>Art. 26</w:t>
      </w:r>
      <w:r w:rsidRPr="00FA128F">
        <w:rPr>
          <w:rFonts w:ascii="Book Antiqua" w:eastAsia="Times New Roman" w:hAnsi="Book Antiqua" w:cs="Arial"/>
          <w:color w:val="000000"/>
          <w:sz w:val="20"/>
          <w:szCs w:val="20"/>
          <w:lang w:eastAsia="pt-BR"/>
        </w:rPr>
        <w:t xml:space="preserve">. Os atos processuais praticados </w:t>
      </w:r>
      <w:r w:rsidRPr="00D918BF">
        <w:rPr>
          <w:rFonts w:ascii="Book Antiqua" w:eastAsia="Times New Roman" w:hAnsi="Book Antiqua" w:cs="Arial"/>
          <w:b/>
          <w:color w:val="000000"/>
          <w:sz w:val="20"/>
          <w:szCs w:val="20"/>
          <w:highlight w:val="yellow"/>
          <w:lang w:eastAsia="pt-BR"/>
        </w:rPr>
        <w:t>por usuários externos</w:t>
      </w:r>
      <w:r w:rsidRPr="00FA128F">
        <w:rPr>
          <w:rFonts w:ascii="Book Antiqua" w:eastAsia="Times New Roman" w:hAnsi="Book Antiqua" w:cs="Arial"/>
          <w:color w:val="000000"/>
          <w:sz w:val="20"/>
          <w:szCs w:val="20"/>
          <w:lang w:eastAsia="pt-BR"/>
        </w:rPr>
        <w:t xml:space="preserve"> considerar-se-ão realizados na data e horário do seu envio no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r w:rsidR="00D918BF">
        <w:rPr>
          <w:rFonts w:ascii="Book Antiqua" w:eastAsia="Times New Roman" w:hAnsi="Book Antiqua" w:cs="Arial"/>
          <w:color w:val="000000"/>
          <w:sz w:val="20"/>
          <w:szCs w:val="20"/>
          <w:lang w:eastAsia="pt-BR"/>
        </w:rPr>
        <w:t xml:space="preserve"> </w:t>
      </w:r>
      <w:r w:rsidR="00D918BF" w:rsidRPr="00D918BF">
        <w:rPr>
          <w:rFonts w:ascii="Book Antiqua" w:eastAsia="Times New Roman" w:hAnsi="Book Antiqua" w:cs="Arial"/>
          <w:b/>
          <w:color w:val="FF0000"/>
          <w:sz w:val="20"/>
          <w:szCs w:val="20"/>
          <w:u w:val="single"/>
          <w:lang w:eastAsia="pt-BR"/>
        </w:rPr>
        <w:t>(PGM-Goiânia/GO-2015)</w:t>
      </w:r>
    </w:p>
    <w:p w14:paraId="79DE28B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A postulação encaminhada considerar-se-á tempestiva quando enviada, integralmente, até as 24 (vinte e quatro) horas do dia em que se encerra o prazo processual, considerado o horário do Município sede do órgão judiciário ao qual é dirigida a petição.</w:t>
      </w:r>
    </w:p>
    <w:p w14:paraId="5ACCAB8D" w14:textId="0B8AEFC9"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D918BF">
        <w:rPr>
          <w:rFonts w:ascii="Book Antiqua" w:eastAsia="Times New Roman" w:hAnsi="Book Antiqua" w:cs="Arial"/>
          <w:b/>
          <w:color w:val="000000"/>
          <w:sz w:val="20"/>
          <w:szCs w:val="20"/>
          <w:highlight w:val="magenta"/>
          <w:lang w:eastAsia="pt-BR"/>
        </w:rPr>
        <w:t>§ 2º</w:t>
      </w:r>
      <w:r w:rsidRPr="00FA128F">
        <w:rPr>
          <w:rFonts w:ascii="Book Antiqua" w:eastAsia="Times New Roman" w:hAnsi="Book Antiqua" w:cs="Arial"/>
          <w:color w:val="000000"/>
          <w:sz w:val="20"/>
          <w:szCs w:val="20"/>
          <w:lang w:eastAsia="pt-BR"/>
        </w:rPr>
        <w:t xml:space="preserve"> A </w:t>
      </w:r>
      <w:r w:rsidRPr="00D918BF">
        <w:rPr>
          <w:rFonts w:ascii="Book Antiqua" w:eastAsia="Times New Roman" w:hAnsi="Book Antiqua" w:cs="Arial"/>
          <w:b/>
          <w:caps/>
          <w:color w:val="000000"/>
          <w:sz w:val="20"/>
          <w:szCs w:val="20"/>
          <w:shd w:val="clear" w:color="auto" w:fill="F7CAAC" w:themeFill="accent2" w:themeFillTint="66"/>
          <w:lang w:eastAsia="pt-BR"/>
        </w:rPr>
        <w:t>suspensão dos prazos processuais</w:t>
      </w:r>
      <w:r w:rsidRPr="00FA128F">
        <w:rPr>
          <w:rFonts w:ascii="Book Antiqua" w:eastAsia="Times New Roman" w:hAnsi="Book Antiqua" w:cs="Arial"/>
          <w:color w:val="000000"/>
          <w:sz w:val="20"/>
          <w:szCs w:val="20"/>
          <w:lang w:eastAsia="pt-BR"/>
        </w:rPr>
        <w:t xml:space="preserve"> </w:t>
      </w:r>
      <w:r w:rsidRPr="00D918BF">
        <w:rPr>
          <w:rFonts w:ascii="Book Antiqua" w:eastAsia="Times New Roman" w:hAnsi="Book Antiqua" w:cs="Arial"/>
          <w:b/>
          <w:caps/>
          <w:color w:val="000000"/>
          <w:sz w:val="20"/>
          <w:szCs w:val="20"/>
          <w:highlight w:val="green"/>
          <w:lang w:eastAsia="pt-BR"/>
        </w:rPr>
        <w:t>não impedirá</w:t>
      </w:r>
      <w:r w:rsidRPr="00FA128F">
        <w:rPr>
          <w:rFonts w:ascii="Book Antiqua" w:eastAsia="Times New Roman" w:hAnsi="Book Antiqua" w:cs="Arial"/>
          <w:color w:val="000000"/>
          <w:sz w:val="20"/>
          <w:szCs w:val="20"/>
          <w:lang w:eastAsia="pt-BR"/>
        </w:rPr>
        <w:t xml:space="preserve"> o encaminhamento de petições e a movimentação de processos eletrônicos, podendo a apreciação dos pedidos decorrentes desses prazos ocorrer, a critério do juiz, após o término do prazo de suspensão, ressalvados os casos de urgência.</w:t>
      </w:r>
      <w:r w:rsidR="00D918BF">
        <w:rPr>
          <w:rFonts w:ascii="Book Antiqua" w:eastAsia="Times New Roman" w:hAnsi="Book Antiqua" w:cs="Arial"/>
          <w:color w:val="000000"/>
          <w:sz w:val="20"/>
          <w:szCs w:val="20"/>
          <w:lang w:eastAsia="pt-BR"/>
        </w:rPr>
        <w:t xml:space="preserve"> </w:t>
      </w:r>
      <w:r w:rsidR="00D918BF" w:rsidRPr="00D918BF">
        <w:rPr>
          <w:rFonts w:ascii="Book Antiqua" w:eastAsia="Times New Roman" w:hAnsi="Book Antiqua" w:cs="Arial"/>
          <w:b/>
          <w:color w:val="FF0000"/>
          <w:sz w:val="20"/>
          <w:szCs w:val="20"/>
          <w:u w:val="single"/>
          <w:lang w:eastAsia="pt-BR"/>
        </w:rPr>
        <w:t>(PGM-Goiânia/GO-2015)</w:t>
      </w:r>
      <w:bookmarkStart w:id="0" w:name="_GoBack"/>
      <w:bookmarkEnd w:id="0"/>
    </w:p>
    <w:p w14:paraId="78DE2D8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O sistema fornecerá ao usuário externo recibo eletrônico da prática do ato processual, disponível permanentemente para guarda do peticionante, contendo a data e o horário da prática do ato, a identificação do processo, o nome do remetente e/ou do usuário que assinou eletronicamente o documento e, se houver, o assunto, o órgão destinatário da petição e as particularidades de cada arquivo eletrônico, conforme informados pelo remetente.</w:t>
      </w:r>
    </w:p>
    <w:p w14:paraId="7E8607D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4º Será de integral responsabilidade do remetente a equivalência entre os dados informados para o envio e os constantes da petição remetida.</w:t>
      </w:r>
    </w:p>
    <w:p w14:paraId="76E85F2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5º Não serão considerados, para fins de tempestividade, o horário inicial de conexão do usuário à internet, o horário de acesso do usuário ao sítio eletrônico do Tribunal ou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tampouco os horários registrados pelos equipamentos do remetente.</w:t>
      </w:r>
    </w:p>
    <w:p w14:paraId="0C0E756E" w14:textId="136A31D6"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6º A não obtenção de acesso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 eventual defeito de transmissão ou recepção de dados não-imputáveis à indisponibilidade ou impossibilidade técnica do sistema não servirão de escusa para o descumprimento de prazo processual, salvo deliberação expressa da autoridade judiciária competente.</w:t>
      </w:r>
      <w:r w:rsidRPr="00FA128F">
        <w:rPr>
          <w:rFonts w:ascii="Book Antiqua" w:eastAsia="Times New Roman" w:hAnsi="Book Antiqua" w:cs="Arial"/>
          <w:color w:val="333333"/>
          <w:sz w:val="20"/>
          <w:szCs w:val="20"/>
          <w:lang w:eastAsia="pt-BR"/>
        </w:rPr>
        <w:t> </w:t>
      </w:r>
    </w:p>
    <w:p w14:paraId="38E824CD" w14:textId="6C069EA7"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Seção V</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Da Consulta e do Sigilo</w:t>
      </w:r>
      <w:r w:rsidRPr="00FA128F">
        <w:rPr>
          <w:rFonts w:ascii="Book Antiqua" w:eastAsia="Times New Roman" w:hAnsi="Book Antiqua" w:cs="Arial"/>
          <w:color w:val="333333"/>
          <w:sz w:val="20"/>
          <w:szCs w:val="20"/>
          <w:lang w:eastAsia="pt-BR"/>
        </w:rPr>
        <w:t> </w:t>
      </w:r>
    </w:p>
    <w:p w14:paraId="3CD88E1C" w14:textId="048961E0"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D918BF">
        <w:rPr>
          <w:rFonts w:ascii="Book Antiqua" w:eastAsia="Times New Roman" w:hAnsi="Book Antiqua" w:cs="Arial"/>
          <w:b/>
          <w:color w:val="000000"/>
          <w:sz w:val="20"/>
          <w:szCs w:val="20"/>
          <w:highlight w:val="magenta"/>
          <w:lang w:eastAsia="pt-BR"/>
        </w:rPr>
        <w:t>Art. 27</w:t>
      </w:r>
      <w:r w:rsidRPr="00FA128F">
        <w:rPr>
          <w:rFonts w:ascii="Book Antiqua" w:eastAsia="Times New Roman" w:hAnsi="Book Antiqua" w:cs="Arial"/>
          <w:color w:val="000000"/>
          <w:sz w:val="20"/>
          <w:szCs w:val="20"/>
          <w:lang w:eastAsia="pt-BR"/>
        </w:rPr>
        <w:t xml:space="preserve">. A consulta ao inteiro teor dos documentos juntados ao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somente estará disponível pela rede mundial de computadores, nos termos da Lei n. 11.419, de 19 de dezembro de 2006, e da Resolução CNJ n. 121, de 5 de outubro de 2010, para as respectivas partes processuais, </w:t>
      </w:r>
      <w:r w:rsidRPr="00D918BF">
        <w:rPr>
          <w:rFonts w:ascii="Book Antiqua" w:eastAsia="Times New Roman" w:hAnsi="Book Antiqua" w:cs="Arial"/>
          <w:b/>
          <w:color w:val="000000"/>
          <w:sz w:val="20"/>
          <w:szCs w:val="20"/>
          <w:highlight w:val="yellow"/>
          <w:lang w:eastAsia="pt-BR"/>
        </w:rPr>
        <w:t>advogados em geral</w:t>
      </w:r>
      <w:r w:rsidRPr="00FA128F">
        <w:rPr>
          <w:rFonts w:ascii="Book Antiqua" w:eastAsia="Times New Roman" w:hAnsi="Book Antiqua" w:cs="Arial"/>
          <w:color w:val="000000"/>
          <w:sz w:val="20"/>
          <w:szCs w:val="20"/>
          <w:lang w:eastAsia="pt-BR"/>
        </w:rPr>
        <w:t>, Ministério Público e para os magistrados, sem prejuízo da possibilidade de visualização nas Secretarias dos Órgãos Julgadores, à exceção daqueles que tramitarem em sigilo ou segredo de justiça.</w:t>
      </w:r>
      <w:r w:rsidR="00D918BF">
        <w:rPr>
          <w:rFonts w:ascii="Book Antiqua" w:eastAsia="Times New Roman" w:hAnsi="Book Antiqua" w:cs="Arial"/>
          <w:color w:val="000000"/>
          <w:sz w:val="20"/>
          <w:szCs w:val="20"/>
          <w:lang w:eastAsia="pt-BR"/>
        </w:rPr>
        <w:t xml:space="preserve"> </w:t>
      </w:r>
      <w:r w:rsidR="00D918BF" w:rsidRPr="00D918BF">
        <w:rPr>
          <w:rFonts w:ascii="Book Antiqua" w:eastAsia="Times New Roman" w:hAnsi="Book Antiqua" w:cs="Arial"/>
          <w:b/>
          <w:color w:val="FF0000"/>
          <w:sz w:val="20"/>
          <w:szCs w:val="20"/>
          <w:u w:val="single"/>
          <w:lang w:eastAsia="pt-BR"/>
        </w:rPr>
        <w:t>(PGM-Goiânia/GO-2015)</w:t>
      </w:r>
    </w:p>
    <w:p w14:paraId="5AD0A68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Para a consulta de que trata o caput deste artigo será exigido o credenciamento no sistema, dispensado na hipótese de consulta realizada nas secretarias dos órgãos julgadores.</w:t>
      </w:r>
    </w:p>
    <w:p w14:paraId="1190970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2º Os sítios eletrônicos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dos Conselhos e dos Tribunais deverão ser acessíveis somente por meio de conexão segura HTTPS, e os servidores de rede deverão possuir certificados digitais Equipamento Servidor da ICP-Brasil adequados para essa finalidade.</w:t>
      </w:r>
    </w:p>
    <w:p w14:paraId="5C2DD85A" w14:textId="78A53A99" w:rsidR="00FA128F" w:rsidRDefault="00FA128F" w:rsidP="00FA128F">
      <w:pPr>
        <w:spacing w:before="100" w:beforeAutospacing="1" w:after="100" w:afterAutospacing="1" w:line="240" w:lineRule="auto"/>
        <w:ind w:firstLine="1418"/>
        <w:jc w:val="both"/>
        <w:rPr>
          <w:rFonts w:ascii="Book Antiqua" w:eastAsia="Times New Roman" w:hAnsi="Book Antiqua" w:cs="Arial"/>
          <w:color w:val="000000"/>
          <w:sz w:val="20"/>
          <w:szCs w:val="20"/>
          <w:lang w:eastAsia="pt-BR"/>
        </w:rPr>
      </w:pPr>
      <w:r w:rsidRPr="00FA128F">
        <w:rPr>
          <w:rFonts w:ascii="Book Antiqua" w:eastAsia="Times New Roman" w:hAnsi="Book Antiqua" w:cs="Arial"/>
          <w:b/>
          <w:color w:val="000000"/>
          <w:sz w:val="20"/>
          <w:szCs w:val="20"/>
          <w:highlight w:val="magenta"/>
          <w:lang w:eastAsia="pt-BR"/>
        </w:rPr>
        <w:lastRenderedPageBreak/>
        <w:t>Art. 28</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olor w:val="000000"/>
          <w:sz w:val="20"/>
          <w:szCs w:val="20"/>
          <w:highlight w:val="cyan"/>
          <w:lang w:eastAsia="pt-BR"/>
        </w:rPr>
        <w:t>Na propositura da ação</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olor w:val="000000"/>
          <w:sz w:val="20"/>
          <w:szCs w:val="20"/>
          <w:highlight w:val="yellow"/>
          <w:lang w:eastAsia="pt-BR"/>
        </w:rPr>
        <w:t>o autor</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highlight w:val="green"/>
          <w:lang w:eastAsia="pt-BR"/>
        </w:rPr>
        <w:t>poderá requerer</w:t>
      </w:r>
      <w:r w:rsidRPr="00FA128F">
        <w:rPr>
          <w:rFonts w:ascii="Book Antiqua" w:eastAsia="Times New Roman" w:hAnsi="Book Antiqua" w:cs="Arial"/>
          <w:color w:val="000000"/>
          <w:sz w:val="20"/>
          <w:szCs w:val="20"/>
          <w:lang w:eastAsia="pt-BR"/>
        </w:rPr>
        <w:t xml:space="preserve"> </w:t>
      </w:r>
      <w:r w:rsidRPr="00FA128F">
        <w:rPr>
          <w:rFonts w:ascii="Book Antiqua" w:eastAsia="Times New Roman" w:hAnsi="Book Antiqua" w:cs="Arial"/>
          <w:b/>
          <w:caps/>
          <w:color w:val="000000"/>
          <w:sz w:val="20"/>
          <w:szCs w:val="20"/>
          <w:shd w:val="clear" w:color="auto" w:fill="F7CAAC" w:themeFill="accent2" w:themeFillTint="66"/>
          <w:lang w:eastAsia="pt-BR"/>
        </w:rPr>
        <w:t>segredo de justiça</w:t>
      </w:r>
      <w:r w:rsidRPr="00FA128F">
        <w:rPr>
          <w:rFonts w:ascii="Book Antiqua" w:eastAsia="Times New Roman" w:hAnsi="Book Antiqua" w:cs="Arial"/>
          <w:color w:val="000000"/>
          <w:sz w:val="20"/>
          <w:szCs w:val="20"/>
          <w:lang w:eastAsia="pt-BR"/>
        </w:rPr>
        <w:t xml:space="preserve"> para os autos processuais ou sigilo para um ou mais documentos ou arquivos do processo, através de indicação em campo próprio.</w:t>
      </w:r>
      <w:r w:rsidR="00964143">
        <w:rPr>
          <w:rFonts w:ascii="Book Antiqua" w:eastAsia="Times New Roman" w:hAnsi="Book Antiqua" w:cs="Arial"/>
          <w:color w:val="000000"/>
          <w:sz w:val="20"/>
          <w:szCs w:val="20"/>
          <w:lang w:eastAsia="pt-BR"/>
        </w:rPr>
        <w:t xml:space="preserve"> </w:t>
      </w:r>
      <w:r w:rsidR="00964143" w:rsidRPr="00964143">
        <w:rPr>
          <w:rFonts w:ascii="Book Antiqua" w:eastAsia="Times New Roman" w:hAnsi="Book Antiqua" w:cs="Arial"/>
          <w:b/>
          <w:color w:val="FF0000"/>
          <w:sz w:val="20"/>
          <w:szCs w:val="20"/>
          <w:u w:val="single"/>
          <w:lang w:eastAsia="pt-BR"/>
        </w:rPr>
        <w:t>(Téc. Judic./TJPE-2017)</w:t>
      </w:r>
    </w:p>
    <w:p w14:paraId="72FDC9AB" w14:textId="32615CB2"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Em toda e qualquer petição poderá ser requerido sigilo para esta ou para documento ou arquivo a ela vinculado.</w:t>
      </w:r>
    </w:p>
    <w:p w14:paraId="0D2E89D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Requerido o segredo de justiça ou sigilo de documento ou arquivo, este permanecerá sigiloso até que o magistrado da causa decida em sentido contrário, de ofício ou a requerimento da parte contrária.</w:t>
      </w:r>
    </w:p>
    <w:p w14:paraId="4D6A424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O Tribunal poderá configurar o sistema de modo que processos de determinadas classes, assuntos ou por outros critérios sejam considerados em segredo de justiça automaticamente.</w:t>
      </w:r>
    </w:p>
    <w:p w14:paraId="764153CE" w14:textId="65D1DDAB"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4º Nos casos em que o rito processual autorize a apresentação de resposta em audiência, faculta-se a sua juntada antecipada aos autos eletrônicos, juntamente com os documentos, hipótese em que permanecerão ocultos para a parte contrária, a critério do advogado peticionante, até a audiência.</w:t>
      </w:r>
      <w:r w:rsidRPr="00FA128F">
        <w:rPr>
          <w:rFonts w:ascii="Book Antiqua" w:eastAsia="Times New Roman" w:hAnsi="Book Antiqua" w:cs="Arial"/>
          <w:color w:val="333333"/>
          <w:sz w:val="20"/>
          <w:szCs w:val="20"/>
          <w:lang w:eastAsia="pt-BR"/>
        </w:rPr>
        <w:t> </w:t>
      </w:r>
    </w:p>
    <w:p w14:paraId="79C417B7" w14:textId="3F31D551"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Seção VI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Do Uso Inadequado do Sistema</w:t>
      </w:r>
      <w:r w:rsidRPr="00FA128F">
        <w:rPr>
          <w:rFonts w:ascii="Book Antiqua" w:eastAsia="Times New Roman" w:hAnsi="Book Antiqua" w:cs="Arial"/>
          <w:color w:val="333333"/>
          <w:sz w:val="20"/>
          <w:szCs w:val="20"/>
          <w:lang w:eastAsia="pt-BR"/>
        </w:rPr>
        <w:t> </w:t>
      </w:r>
    </w:p>
    <w:p w14:paraId="72CED0BF" w14:textId="66520602"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t>Art. 29</w:t>
      </w:r>
      <w:r w:rsidRPr="00FA128F">
        <w:rPr>
          <w:rFonts w:ascii="Book Antiqua" w:eastAsia="Times New Roman" w:hAnsi="Book Antiqua" w:cs="Arial"/>
          <w:color w:val="000000"/>
          <w:sz w:val="20"/>
          <w:szCs w:val="20"/>
          <w:lang w:eastAsia="pt-BR"/>
        </w:rPr>
        <w:t>. O uso inadequado do sistema que cause redução significativa de sua disponibilidade poderá ensejar o bloqueio total, preventivo e temporário, do usuário.</w:t>
      </w:r>
      <w:r w:rsidR="00964143">
        <w:rPr>
          <w:rFonts w:ascii="Book Antiqua" w:eastAsia="Times New Roman" w:hAnsi="Book Antiqua" w:cs="Arial"/>
          <w:color w:val="000000"/>
          <w:sz w:val="20"/>
          <w:szCs w:val="20"/>
          <w:lang w:eastAsia="pt-BR"/>
        </w:rPr>
        <w:t xml:space="preserve"> </w:t>
      </w:r>
      <w:r w:rsidR="00964143" w:rsidRPr="00964143">
        <w:rPr>
          <w:rFonts w:ascii="Book Antiqua" w:eastAsia="Times New Roman" w:hAnsi="Book Antiqua" w:cs="Arial"/>
          <w:b/>
          <w:color w:val="FF0000"/>
          <w:sz w:val="20"/>
          <w:szCs w:val="20"/>
          <w:u w:val="single"/>
          <w:lang w:eastAsia="pt-BR"/>
        </w:rPr>
        <w:t>(Téc. Judic./TJPE-2017)</w:t>
      </w:r>
    </w:p>
    <w:p w14:paraId="032B269A"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Considera-se uso inadequado do sistema, para fins do caput, as atividades que evidenciem ataque ou uso desproporcional dos ativos computacionais.</w:t>
      </w:r>
    </w:p>
    <w:p w14:paraId="2974951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Na hipótese do caput deve ser procedido o imediato contato com o usuário bloqueado para identificação da causa do problema e reativação no sistema e, em caso de advogado, a comunicação à respectiva Seccional da Ordem dos Advogados do Brasil.</w:t>
      </w:r>
    </w:p>
    <w:p w14:paraId="53290A1C" w14:textId="75D1695A"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A automatização de consultas ao sistema deve ser feita mediante utilização do modelo nacional de interoperabilidade, previsto na Resolução Conjunta CNJ/CNMP n. 3, de 16 de abril de 2013.</w:t>
      </w:r>
      <w:r w:rsidRPr="00FA128F">
        <w:rPr>
          <w:rFonts w:ascii="Book Antiqua" w:eastAsia="Times New Roman" w:hAnsi="Book Antiqua" w:cs="Arial"/>
          <w:color w:val="333333"/>
          <w:sz w:val="20"/>
          <w:szCs w:val="20"/>
          <w:lang w:eastAsia="pt-BR"/>
        </w:rPr>
        <w:t> </w:t>
      </w:r>
    </w:p>
    <w:p w14:paraId="2A58BC9D" w14:textId="2BC3526E"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CAPÍTULO II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DA ADMINISTRAÇÃO DO SISTEMA</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Seção 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Dos Comitês Gestores</w:t>
      </w:r>
      <w:r w:rsidRPr="00FA128F">
        <w:rPr>
          <w:rFonts w:ascii="Book Antiqua" w:eastAsia="Times New Roman" w:hAnsi="Book Antiqua" w:cs="Arial"/>
          <w:color w:val="333333"/>
          <w:sz w:val="20"/>
          <w:szCs w:val="20"/>
          <w:lang w:eastAsia="pt-BR"/>
        </w:rPr>
        <w:t> </w:t>
      </w:r>
    </w:p>
    <w:p w14:paraId="2948A57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30. A administração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caberá ao Comitê Gestor Nacional e aos Comitês Gestores dos Conselhos e dos Tribunais, no âmbito de suas respectivas áreas de atuação, compostos por usuários internos e externos do sistema.</w:t>
      </w:r>
    </w:p>
    <w:p w14:paraId="63004BD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1º Os Comitês Gestores dos Conselhos e dos Tribunais terão composição e atribuições definidas por atos dos órgãos que os constituírem, observadas as regras desta Resolução e as deliberações do Comitê Gestor Nacional.</w:t>
      </w:r>
    </w:p>
    <w:p w14:paraId="1D6AB59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É instituído o Comitê Gestor da Justiça dos Estados e do Distrito Federal e dos Territórios (CGJE-</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composto por membros dos Tribunais com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em produção, cujas atribuições serão definidas por ato do Presidente do CNJ, garantida a participação de representantes do Ministério Público, da Ordem dos Advogados do Brasil, da advocacia pública e da Defensoria Pública, indicados pelas respectivas instituições.</w:t>
      </w:r>
    </w:p>
    <w:p w14:paraId="21C497E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Faculta-se a participação no CGJE-</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como ouvintes, dos Tribunais com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em fase de implantação.</w:t>
      </w:r>
    </w:p>
    <w:p w14:paraId="0E04480C"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b/>
          <w:color w:val="000000"/>
          <w:sz w:val="20"/>
          <w:szCs w:val="20"/>
          <w:highlight w:val="magenta"/>
          <w:lang w:eastAsia="pt-BR"/>
        </w:rPr>
        <w:lastRenderedPageBreak/>
        <w:t>Art. 31</w:t>
      </w:r>
      <w:r w:rsidRPr="00FA128F">
        <w:rPr>
          <w:rFonts w:ascii="Book Antiqua" w:eastAsia="Times New Roman" w:hAnsi="Book Antiqua" w:cs="Arial"/>
          <w:color w:val="000000"/>
          <w:sz w:val="20"/>
          <w:szCs w:val="20"/>
          <w:lang w:eastAsia="pt-BR"/>
        </w:rPr>
        <w:t xml:space="preserve">. O </w:t>
      </w:r>
      <w:r w:rsidRPr="00FA128F">
        <w:rPr>
          <w:rFonts w:ascii="Book Antiqua" w:eastAsia="Times New Roman" w:hAnsi="Book Antiqua" w:cs="Arial"/>
          <w:b/>
          <w:caps/>
          <w:color w:val="000000"/>
          <w:sz w:val="20"/>
          <w:szCs w:val="20"/>
          <w:shd w:val="clear" w:color="auto" w:fill="F7CAAC" w:themeFill="accent2" w:themeFillTint="66"/>
          <w:lang w:eastAsia="pt-BR"/>
        </w:rPr>
        <w:t>Comitê Gestor Nacional</w:t>
      </w:r>
      <w:r w:rsidRPr="00FA128F">
        <w:rPr>
          <w:rFonts w:ascii="Book Antiqua" w:eastAsia="Times New Roman" w:hAnsi="Book Antiqua" w:cs="Arial"/>
          <w:color w:val="000000"/>
          <w:sz w:val="20"/>
          <w:szCs w:val="20"/>
          <w:lang w:eastAsia="pt-BR"/>
        </w:rPr>
        <w:t xml:space="preserve"> supervisionará o gerenciamento, a especificação, o desenvolvimento, a implantação, o suporte e a manutenção corretiva e evolutiva do Processo Judicial Eletrônico -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bem como desempenhará as </w:t>
      </w:r>
      <w:r w:rsidRPr="00FA128F">
        <w:rPr>
          <w:rFonts w:ascii="Book Antiqua" w:eastAsia="Times New Roman" w:hAnsi="Book Antiqua" w:cs="Arial"/>
          <w:b/>
          <w:caps/>
          <w:color w:val="000000"/>
          <w:sz w:val="20"/>
          <w:szCs w:val="20"/>
          <w:highlight w:val="cyan"/>
          <w:lang w:eastAsia="pt-BR"/>
        </w:rPr>
        <w:t>seguintes atribuições</w:t>
      </w:r>
      <w:r w:rsidRPr="00FA128F">
        <w:rPr>
          <w:rFonts w:ascii="Book Antiqua" w:eastAsia="Times New Roman" w:hAnsi="Book Antiqua" w:cs="Arial"/>
          <w:color w:val="000000"/>
          <w:sz w:val="20"/>
          <w:szCs w:val="20"/>
          <w:lang w:eastAsia="pt-BR"/>
        </w:rPr>
        <w:t>:</w:t>
      </w:r>
    </w:p>
    <w:p w14:paraId="554CA0A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 – definir requisitos funcionais e não funcionais do sistema, conciliando as necessidades dos diversos segmentos do Poder Judiciário e dos usuários externos, com o auxílio dos grupos de requisitos, de mudanças e de gestão geral do projeto;</w:t>
      </w:r>
    </w:p>
    <w:p w14:paraId="77BB9AD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 – propor normas regulamentadoras do sistema à Comissão Permanente de Tecnologia da Informação e Infraestrutura do Conselho Nacional de Justiça;</w:t>
      </w:r>
    </w:p>
    <w:p w14:paraId="732F9C64" w14:textId="3642FE69"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III – elaborar, aprovar e alterar o plano de projeto;</w:t>
      </w:r>
      <w:r w:rsidR="00964143">
        <w:rPr>
          <w:rFonts w:ascii="Book Antiqua" w:eastAsia="Times New Roman" w:hAnsi="Book Antiqua" w:cs="Arial"/>
          <w:color w:val="000000"/>
          <w:sz w:val="20"/>
          <w:szCs w:val="20"/>
          <w:lang w:eastAsia="pt-BR"/>
        </w:rPr>
        <w:t xml:space="preserve"> </w:t>
      </w:r>
      <w:r w:rsidR="00964143" w:rsidRPr="00964143">
        <w:rPr>
          <w:rFonts w:ascii="Book Antiqua" w:eastAsia="Times New Roman" w:hAnsi="Book Antiqua" w:cs="Arial"/>
          <w:b/>
          <w:color w:val="FF0000"/>
          <w:sz w:val="20"/>
          <w:szCs w:val="20"/>
          <w:u w:val="single"/>
          <w:lang w:eastAsia="pt-BR"/>
        </w:rPr>
        <w:t>(Téc. Judic./TJPE-2017)</w:t>
      </w:r>
    </w:p>
    <w:p w14:paraId="048F9F6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IV – autorizar a implementação de mudanças, inclusive de cronograma;</w:t>
      </w:r>
    </w:p>
    <w:p w14:paraId="14E28AE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V – aprovar o plano de gerência de configuração e o cronograma de liberação de versões, cujo conteúdo será definido pela gerência técnica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51F8B0D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VI – designar e coordenar reuniões do grupo de mudanças e do grupo de gerência geral;</w:t>
      </w:r>
    </w:p>
    <w:p w14:paraId="4CA5F76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VII – designar os componentes dos grupos de mudanças, do grupo de gerência geral e dos grupos de trabalho de desenvolvimento e de fluxos, previstos no plano de projeto;</w:t>
      </w:r>
    </w:p>
    <w:p w14:paraId="16114AE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VIII – deliberar sobre questões não definidas no plano de projeto e realizar outras ações para o cumprimento do seu objetivo.</w:t>
      </w:r>
    </w:p>
    <w:p w14:paraId="3073CFB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32. As deliberações do Comitê Gestor Nacional serão comunicadas à Presidência e à Comissão Permanente de Tecnologia da Informação e Infraestrutura do CNJ.</w:t>
      </w:r>
    </w:p>
    <w:p w14:paraId="65F3AD9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33. Os membros do Comitê Gestor Nacional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serão designados por ato do Presidente do CNJ, garantida a participação de representantes de todos os segmentos do Poder Judiciário, do Conselho Nacional do Ministério Público, da Ordem dos Advogados do Brasil, da advocacia pública e da Defensoria Pública, indicados pelas respectivas instituições.</w:t>
      </w:r>
    </w:p>
    <w:p w14:paraId="40A8AB8B" w14:textId="7F3E0E90"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Até deliberação ulterior, o Comitê terá a composição prevista na Portaria CNJ n. 65, de 22 de abril de 2010, e suas modificações posteriores.</w:t>
      </w:r>
      <w:r w:rsidRPr="00FA128F">
        <w:rPr>
          <w:rFonts w:ascii="Book Antiqua" w:eastAsia="Times New Roman" w:hAnsi="Book Antiqua" w:cs="Arial"/>
          <w:color w:val="333333"/>
          <w:sz w:val="20"/>
          <w:szCs w:val="20"/>
          <w:lang w:eastAsia="pt-BR"/>
        </w:rPr>
        <w:t> </w:t>
      </w:r>
    </w:p>
    <w:p w14:paraId="56ABE458" w14:textId="0AC1AAE5"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CAPÍTULO III</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DA IMPLANTAÇÃO</w:t>
      </w:r>
      <w:r w:rsidRPr="00FA128F">
        <w:rPr>
          <w:rFonts w:ascii="Book Antiqua" w:eastAsia="Times New Roman" w:hAnsi="Book Antiqua" w:cs="Arial"/>
          <w:color w:val="333333"/>
          <w:sz w:val="20"/>
          <w:szCs w:val="20"/>
          <w:lang w:eastAsia="pt-BR"/>
        </w:rPr>
        <w:t> </w:t>
      </w:r>
    </w:p>
    <w:p w14:paraId="1B63DF4F"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34. As Presidências dos Tribunais devem constituir Comitê Gestor e adotar as providências necessárias à implantação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conforme plano e cronograma a serem previamente aprovados pela Presidência do CNJ, ouvido o Comitê Gestor Nacional.</w:t>
      </w:r>
    </w:p>
    <w:p w14:paraId="617A9D4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1º Os Tribunais encaminharão à Presidência do CNJ e, quando houver, à do Conselho de seu segmento do Poder Judiciário, no prazo de 120 (cento e vinte) dias, cópias do ato constitutivo do Comitê Gestor, do plano e do cronograma de implantação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37F0CD3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O plano deve descrever as ações e contemplar informações sobre os requisitos necessários à implantação, como infraestrutura de tecnologia da informação e capacitação de usuários, observado modelo a ser disponibilizado pelo CNJ.</w:t>
      </w:r>
    </w:p>
    <w:p w14:paraId="2BFD8CB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3º O cronograma deve relacionar os órgãos julgadores de 1º e 2º Graus em que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será gradualmente implantado, a contar do ano de 2014, de modo a atingir 100% (cem por cento) nos anos de 2016, 2017 ou 2018, a depender do porte do Tribunal no relatório Justiça em Números (pequeno, médio ou grande porte, respectivamente).</w:t>
      </w:r>
    </w:p>
    <w:p w14:paraId="390B811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 xml:space="preserve">§ 4º No ano de 2014,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deve ser implantado em, no mínimo, 10% (dez por cento) dos órgãos julgadores de 1ª e 2ª Graus.</w:t>
      </w:r>
    </w:p>
    <w:p w14:paraId="09638BC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35. O Tribunal ou Conselho deverá divulgar na página principal de seu sítio na internet e no respectivo veículo de comunicação oficial dos atos processuais, com antecedência mínima de 90 (noventa) dias, os órgãos julgadores em que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será implantado, incluindo informação sobre a amplitude da competência abrangida pela implantação.</w:t>
      </w:r>
    </w:p>
    <w:p w14:paraId="4AF5E48D"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1º No território de órgão jurisdicional em que tenha havido a implantação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a ampliação para outras competências ou órgãos deverá ser precedida de divulgação com prazo mínimo de 30 (trinta) dias.</w:t>
      </w:r>
    </w:p>
    <w:p w14:paraId="564DC2D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2º As divulgações de que tratam o caput e o § 1º deverão ser mantidas na página principal do sítio do Tribunal ou Conselho na internet durante os prazos neles mencionados.</w:t>
      </w:r>
    </w:p>
    <w:p w14:paraId="0038DF9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3º É necessária apenas uma publicação no órgão de comunicação oficial dos atos processuais.</w:t>
      </w:r>
    </w:p>
    <w:p w14:paraId="20E5844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4º A divulgação a que se referem o caput e o parágrafo primeiro também será feita por meio de ofício à seção da Ordem dos Advogados do Brasil, ao Ministério Público, à Defensoria Pública e aos órgãos de Advocacia Pública.</w:t>
      </w:r>
    </w:p>
    <w:p w14:paraId="200FB5DE"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36. A partir da implantação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o recebimento de petição inicial ou de prosseguimento, relativas aos processos que nele tramitam, somente pode ocorrer no meio eletrônico próprio do sistema, sendo vedada, nesta hipótese, a utilização de qualquer outro sistema de peticionamento eletrônico, exceto nas situações especiais previstas nesta Resolução.</w:t>
      </w:r>
    </w:p>
    <w:p w14:paraId="15C0B80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37. A instalação da versão atualizada do sistema ficará a cargo das equipes técnicas dos Conselhos e Tribunais e deverá ocorrer no prazo máximo de 30 (trinta) dias, a partir do lançamento da versão devidamente homologada.</w:t>
      </w:r>
    </w:p>
    <w:p w14:paraId="7B9252A3" w14:textId="42C5BAFA"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Os procedimentos de homologação e instalação das versões serão disciplinados pela gerência técnica do projeto, devendo incluir a realização de testes por equipes designadas pelos Tribunais.</w:t>
      </w:r>
      <w:r w:rsidRPr="00FA128F">
        <w:rPr>
          <w:rFonts w:ascii="Book Antiqua" w:eastAsia="Times New Roman" w:hAnsi="Book Antiqua" w:cs="Arial"/>
          <w:color w:val="333333"/>
          <w:sz w:val="20"/>
          <w:szCs w:val="20"/>
          <w:lang w:eastAsia="pt-BR"/>
        </w:rPr>
        <w:t> </w:t>
      </w:r>
    </w:p>
    <w:p w14:paraId="3DBAB35D" w14:textId="36A2F3F8"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b/>
          <w:bCs/>
          <w:color w:val="000000"/>
          <w:sz w:val="20"/>
          <w:szCs w:val="20"/>
          <w:lang w:eastAsia="pt-BR"/>
        </w:rPr>
        <w:t>CAPÍTULO IV</w:t>
      </w:r>
      <w:r w:rsidRPr="00FA128F">
        <w:rPr>
          <w:rFonts w:ascii="Book Antiqua" w:eastAsia="Times New Roman" w:hAnsi="Book Antiqua" w:cs="Arial"/>
          <w:color w:val="000000"/>
          <w:sz w:val="20"/>
          <w:szCs w:val="20"/>
          <w:lang w:eastAsia="pt-BR"/>
        </w:rPr>
        <w:br/>
      </w:r>
      <w:r w:rsidRPr="00FA128F">
        <w:rPr>
          <w:rFonts w:ascii="Book Antiqua" w:eastAsia="Times New Roman" w:hAnsi="Book Antiqua" w:cs="Arial"/>
          <w:b/>
          <w:bCs/>
          <w:color w:val="000000"/>
          <w:sz w:val="20"/>
          <w:szCs w:val="20"/>
          <w:lang w:eastAsia="pt-BR"/>
        </w:rPr>
        <w:t>DAS DISPOSIÇÕES FINAIS</w:t>
      </w:r>
      <w:r w:rsidRPr="00FA128F">
        <w:rPr>
          <w:rFonts w:ascii="Book Antiqua" w:eastAsia="Times New Roman" w:hAnsi="Book Antiqua" w:cs="Arial"/>
          <w:color w:val="333333"/>
          <w:sz w:val="20"/>
          <w:szCs w:val="20"/>
          <w:lang w:eastAsia="pt-BR"/>
        </w:rPr>
        <w:t> </w:t>
      </w:r>
    </w:p>
    <w:p w14:paraId="3E7FCBE7"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38. Os artefatos instaláveis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fornecidos aos Conselhos e Tribunais, não poderão ser repassados a terceiros sem autorização expressa do CNJ.</w:t>
      </w:r>
    </w:p>
    <w:p w14:paraId="47BE43F2"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39. Os códigos fontes do Sistema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e respectiva documentação técnica, serão entregues aos Conselhos e Tribunais que atuem junto ao CNJ como fábrica do sistema, mediante assinatura, pelo respectivo Presidente, de Termo de Uso e Confidencialidade que assegure sua utilização para os fins e nos moldes previstos pelo CNJ.</w:t>
      </w:r>
    </w:p>
    <w:p w14:paraId="69416B6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Parágrafo único. Ato do Comitê Gestor Nacional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referendado pela Comissão Permanente de Tecnologia da Informação e Infraestrutura e pela Presidência do CNJ, disciplinará o processo de distribuição dos códigos-fontes e respectiva documentação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0DC191F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40. Os Conselhos e Tribunais promoverão a capacitação de usuários internos, a fim de prepará-los para aproveitamento adequado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56090113"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41. A partir da data de implantação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os Tribunais manterão, no âmbito de suas atribuições, estruturas de atendimento e suporte aos usuários.</w:t>
      </w:r>
    </w:p>
    <w:p w14:paraId="327B220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 1º Os Conselhos e Tribunais deverão treinar multiplicadores do Ministério Público, da OAB, das Procuradorias de órgãos públicos e da Defensoria Pública, previamente à obrigatoriedade de utilização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38D51E24"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lastRenderedPageBreak/>
        <w:t xml:space="preserve">§ 2º Os Conselhos e Tribunais deverão disponibilizar ambiente de treinamento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acessível ao público externo.</w:t>
      </w:r>
    </w:p>
    <w:p w14:paraId="62F21C60"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42. As cartas precatórias expedidas para as unidades judiciárias nas quais tenha sido implantado 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tramitarão também em meio eletrônico e quando da devolução ao juízo deprecante será encaminhada certidão constando o seu cumprimento com a materialização apenas de peças essenciais à compreensão dos atos realizados.</w:t>
      </w:r>
    </w:p>
    <w:p w14:paraId="7D376BC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43. O juiz da causa resolverá todas as questões relativas à utilização e ao funcionamento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xml:space="preserve"> em cada caso concreto, inclusive as hipóteses não previstas neste regramento.</w:t>
      </w:r>
    </w:p>
    <w:p w14:paraId="522EE0D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44. A partir da vigência desta Resolução é vedada a criação, desenvolvimento, contratação ou implantação de sistema ou módulo de processo judicial eletrônico diverso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ressalvadas a hipótese do art. 45 e as manutenções corretivas e evolutivas necessárias ao funcionamento dos sistemas já implantados ou ao cumprimento de determinações do CNJ.</w:t>
      </w:r>
    </w:p>
    <w:p w14:paraId="6B74D526"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Parágrafo único. A possibilidade de contratação das manutenções corretivas e evolutivas referidas no caput deste artigo não prejudica o integral cumprimento do disposto no art. 34 desta Resolução.</w:t>
      </w:r>
    </w:p>
    <w:p w14:paraId="7C21F75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45. O Plenário do CNJ pode, a requerimento do Tribunal, relativizar as regras previstas nos </w:t>
      </w:r>
      <w:proofErr w:type="spellStart"/>
      <w:r w:rsidRPr="00FA128F">
        <w:rPr>
          <w:rFonts w:ascii="Book Antiqua" w:eastAsia="Times New Roman" w:hAnsi="Book Antiqua" w:cs="Arial"/>
          <w:color w:val="000000"/>
          <w:sz w:val="20"/>
          <w:szCs w:val="20"/>
          <w:lang w:eastAsia="pt-BR"/>
        </w:rPr>
        <w:t>arts</w:t>
      </w:r>
      <w:proofErr w:type="spellEnd"/>
      <w:r w:rsidRPr="00FA128F">
        <w:rPr>
          <w:rFonts w:ascii="Book Antiqua" w:eastAsia="Times New Roman" w:hAnsi="Book Antiqua" w:cs="Arial"/>
          <w:color w:val="000000"/>
          <w:sz w:val="20"/>
          <w:szCs w:val="20"/>
          <w:lang w:eastAsia="pt-BR"/>
        </w:rPr>
        <w:t>. 34 e 44 desta Resolução quando entender justificado pelas circunstâncias ou especificidades locais.</w:t>
      </w:r>
    </w:p>
    <w:p w14:paraId="3E1B5545"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46. As doações de ativos de tecnologia da informação pelo CNJ serão direcionadas, exclusivamente, aos Tribunais que implantaram ou estão em fase de implantação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w:t>
      </w:r>
    </w:p>
    <w:p w14:paraId="39A3119B"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 xml:space="preserve">Art. 47. O CNJ coordenará as ações permanentes de desenvolvimento e manutenção do </w:t>
      </w:r>
      <w:proofErr w:type="spellStart"/>
      <w:r w:rsidRPr="00FA128F">
        <w:rPr>
          <w:rFonts w:ascii="Book Antiqua" w:eastAsia="Times New Roman" w:hAnsi="Book Antiqua" w:cs="Arial"/>
          <w:color w:val="000000"/>
          <w:sz w:val="20"/>
          <w:szCs w:val="20"/>
          <w:lang w:eastAsia="pt-BR"/>
        </w:rPr>
        <w:t>PJe</w:t>
      </w:r>
      <w:proofErr w:type="spellEnd"/>
      <w:r w:rsidRPr="00FA128F">
        <w:rPr>
          <w:rFonts w:ascii="Book Antiqua" w:eastAsia="Times New Roman" w:hAnsi="Book Antiqua" w:cs="Arial"/>
          <w:color w:val="000000"/>
          <w:sz w:val="20"/>
          <w:szCs w:val="20"/>
          <w:lang w:eastAsia="pt-BR"/>
        </w:rPr>
        <w:t>, realizadas por equipe do CNJ, dos Conselhos e de todos os Tribunais, presencialmente ou a distância.</w:t>
      </w:r>
    </w:p>
    <w:p w14:paraId="3FE74379"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48. Os casos não disciplinados por esta Resolução e que possuam caráter nacional serão resolvidos pela Presidência do Conselho Nacional de Justiça, que poderá delegar tal atribuição à Comissão Permanente de Tecnologia da Informação e Infraestrutura do CNJ.</w:t>
      </w:r>
    </w:p>
    <w:p w14:paraId="26143C78"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Art. 49. Esta Resolução entra em vigor na data de sua publicação.</w:t>
      </w:r>
    </w:p>
    <w:p w14:paraId="71609451" w14:textId="77777777" w:rsidR="00FA128F" w:rsidRPr="00FA128F" w:rsidRDefault="00FA128F" w:rsidP="00FA128F">
      <w:pPr>
        <w:spacing w:before="100" w:beforeAutospacing="1" w:after="100" w:afterAutospacing="1" w:line="240" w:lineRule="auto"/>
        <w:ind w:firstLine="1418"/>
        <w:jc w:val="both"/>
        <w:rPr>
          <w:rFonts w:ascii="Book Antiqua" w:eastAsia="Times New Roman" w:hAnsi="Book Antiqua" w:cs="Arial"/>
          <w:color w:val="333333"/>
          <w:sz w:val="20"/>
          <w:szCs w:val="20"/>
          <w:lang w:eastAsia="pt-BR"/>
        </w:rPr>
      </w:pPr>
      <w:r w:rsidRPr="00FA128F">
        <w:rPr>
          <w:rFonts w:ascii="Book Antiqua" w:eastAsia="Times New Roman" w:hAnsi="Book Antiqua" w:cs="Arial"/>
          <w:color w:val="333333"/>
          <w:sz w:val="20"/>
          <w:szCs w:val="20"/>
          <w:lang w:eastAsia="pt-BR"/>
        </w:rPr>
        <w:t> </w:t>
      </w:r>
    </w:p>
    <w:p w14:paraId="2126E7A1" w14:textId="77777777" w:rsidR="00FA128F" w:rsidRPr="00FA128F" w:rsidRDefault="00FA128F" w:rsidP="00FA128F">
      <w:pPr>
        <w:spacing w:before="100" w:beforeAutospacing="1" w:after="100" w:afterAutospacing="1" w:line="240" w:lineRule="auto"/>
        <w:jc w:val="center"/>
        <w:rPr>
          <w:rFonts w:ascii="Book Antiqua" w:eastAsia="Times New Roman" w:hAnsi="Book Antiqua" w:cs="Arial"/>
          <w:color w:val="333333"/>
          <w:sz w:val="20"/>
          <w:szCs w:val="20"/>
          <w:lang w:eastAsia="pt-BR"/>
        </w:rPr>
      </w:pPr>
      <w:r w:rsidRPr="00FA128F">
        <w:rPr>
          <w:rFonts w:ascii="Book Antiqua" w:eastAsia="Times New Roman" w:hAnsi="Book Antiqua" w:cs="Arial"/>
          <w:color w:val="000000"/>
          <w:sz w:val="20"/>
          <w:szCs w:val="20"/>
          <w:lang w:eastAsia="pt-BR"/>
        </w:rPr>
        <w:t>Ministro </w:t>
      </w:r>
      <w:r w:rsidRPr="00FA128F">
        <w:rPr>
          <w:rFonts w:ascii="Book Antiqua" w:eastAsia="Times New Roman" w:hAnsi="Book Antiqua" w:cs="Arial"/>
          <w:b/>
          <w:bCs/>
          <w:color w:val="000000"/>
          <w:sz w:val="20"/>
          <w:szCs w:val="20"/>
          <w:lang w:eastAsia="pt-BR"/>
        </w:rPr>
        <w:t>Joaquim Barbosa</w:t>
      </w:r>
    </w:p>
    <w:p w14:paraId="772A9ADE" w14:textId="77777777" w:rsidR="00445C02" w:rsidRPr="00FA128F" w:rsidRDefault="00445C02" w:rsidP="00FA128F">
      <w:pPr>
        <w:spacing w:before="100" w:beforeAutospacing="1" w:after="100" w:afterAutospacing="1"/>
        <w:jc w:val="both"/>
        <w:rPr>
          <w:rFonts w:ascii="Book Antiqua" w:hAnsi="Book Antiqua"/>
          <w:sz w:val="20"/>
          <w:szCs w:val="20"/>
        </w:rPr>
      </w:pPr>
    </w:p>
    <w:sectPr w:rsidR="00445C02" w:rsidRPr="00FA128F" w:rsidSect="00FA128F">
      <w:pgSz w:w="11906" w:h="16838"/>
      <w:pgMar w:top="851"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FB7"/>
    <w:rsid w:val="00445C02"/>
    <w:rsid w:val="00833FB7"/>
    <w:rsid w:val="00964143"/>
    <w:rsid w:val="009D1D24"/>
    <w:rsid w:val="00D918BF"/>
    <w:rsid w:val="00FA12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E0C0"/>
  <w15:chartTrackingRefBased/>
  <w15:docId w15:val="{220F6181-FC48-4681-B8F0-63EBC28D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91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3496363">
      <w:bodyDiv w:val="1"/>
      <w:marLeft w:val="0"/>
      <w:marRight w:val="0"/>
      <w:marTop w:val="0"/>
      <w:marBottom w:val="0"/>
      <w:divBdr>
        <w:top w:val="none" w:sz="0" w:space="0" w:color="auto"/>
        <w:left w:val="none" w:sz="0" w:space="0" w:color="auto"/>
        <w:bottom w:val="none" w:sz="0" w:space="0" w:color="auto"/>
        <w:right w:val="none" w:sz="0" w:space="0" w:color="auto"/>
      </w:divBdr>
      <w:divsChild>
        <w:div w:id="404649210">
          <w:marLeft w:val="0"/>
          <w:marRight w:val="0"/>
          <w:marTop w:val="0"/>
          <w:marBottom w:val="0"/>
          <w:divBdr>
            <w:top w:val="none" w:sz="0" w:space="0" w:color="auto"/>
            <w:left w:val="none" w:sz="0" w:space="0" w:color="auto"/>
            <w:bottom w:val="none" w:sz="0" w:space="0" w:color="auto"/>
            <w:right w:val="none" w:sz="0" w:space="0" w:color="auto"/>
          </w:divBdr>
          <w:divsChild>
            <w:div w:id="526795721">
              <w:marLeft w:val="0"/>
              <w:marRight w:val="0"/>
              <w:marTop w:val="0"/>
              <w:marBottom w:val="0"/>
              <w:divBdr>
                <w:top w:val="none" w:sz="0" w:space="0" w:color="auto"/>
                <w:left w:val="none" w:sz="0" w:space="0" w:color="auto"/>
                <w:bottom w:val="none" w:sz="0" w:space="0" w:color="auto"/>
                <w:right w:val="none" w:sz="0" w:space="0" w:color="auto"/>
              </w:divBdr>
              <w:divsChild>
                <w:div w:id="836381406">
                  <w:marLeft w:val="-225"/>
                  <w:marRight w:val="-225"/>
                  <w:marTop w:val="0"/>
                  <w:marBottom w:val="0"/>
                  <w:divBdr>
                    <w:top w:val="none" w:sz="0" w:space="0" w:color="auto"/>
                    <w:left w:val="none" w:sz="0" w:space="0" w:color="auto"/>
                    <w:bottom w:val="none" w:sz="0" w:space="0" w:color="auto"/>
                    <w:right w:val="none" w:sz="0" w:space="0" w:color="auto"/>
                  </w:divBdr>
                  <w:divsChild>
                    <w:div w:id="1549487244">
                      <w:marLeft w:val="0"/>
                      <w:marRight w:val="0"/>
                      <w:marTop w:val="0"/>
                      <w:marBottom w:val="0"/>
                      <w:divBdr>
                        <w:top w:val="none" w:sz="0" w:space="0" w:color="auto"/>
                        <w:left w:val="none" w:sz="0" w:space="0" w:color="auto"/>
                        <w:bottom w:val="none" w:sz="0" w:space="0" w:color="auto"/>
                        <w:right w:val="none" w:sz="0" w:space="0" w:color="auto"/>
                      </w:divBdr>
                      <w:divsChild>
                        <w:div w:id="1898778350">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nj.jus.br/atos-normativos?documento=2350" TargetMode="External"/><Relationship Id="rId4" Type="http://schemas.openxmlformats.org/officeDocument/2006/relationships/hyperlink" Target="http://www.cnj.jus.br/atos-normativos?documento=2350"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6043</Words>
  <Characters>32637</Characters>
  <Application>Microsoft Office Word</Application>
  <DocSecurity>0</DocSecurity>
  <Lines>271</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5</cp:revision>
  <dcterms:created xsi:type="dcterms:W3CDTF">2019-04-05T14:09:00Z</dcterms:created>
  <dcterms:modified xsi:type="dcterms:W3CDTF">2019-05-09T13:55:00Z</dcterms:modified>
</cp:coreProperties>
</file>