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83791" w14:textId="77777777" w:rsidR="00AD13ED" w:rsidRPr="00622A78" w:rsidRDefault="00AD13ED" w:rsidP="00AD13E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>RESOLUÇÃO STJ/GP N. 3 DE 7 DE ABRIL DE 2016.</w:t>
      </w:r>
    </w:p>
    <w:p w14:paraId="63A8864C" w14:textId="77777777" w:rsidR="00AD13ED" w:rsidRPr="00622A78" w:rsidRDefault="00AD13ED" w:rsidP="00AD13ED">
      <w:pPr>
        <w:spacing w:before="100" w:beforeAutospacing="1" w:after="100" w:afterAutospacing="1" w:line="240" w:lineRule="auto"/>
        <w:ind w:left="3402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>Dispõe sobre a competência para processar e julgar as Reclamações destinadas a dirimir divergência entre acórdão prolatado por turma recursal estadual ou do Distrito Federal e a jurisprudência do Superior Tribunal de Justiça.</w:t>
      </w:r>
    </w:p>
    <w:p w14:paraId="5334FC88" w14:textId="77777777" w:rsidR="00AD13ED" w:rsidRPr="00622A78" w:rsidRDefault="00AD13ED" w:rsidP="00AD13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 xml:space="preserve">O PRESIDENTE DO SUPERIOR TRIBUNAL DE JUSTIÇA, usando da atribuição conferida pelo art. 21, inciso XX, do Regimento Interno, considerando o Acórdão do Supremo Tribunal Federal nos </w:t>
      </w:r>
      <w:proofErr w:type="spellStart"/>
      <w:r w:rsidRPr="00622A78">
        <w:rPr>
          <w:rFonts w:ascii="Book Antiqua" w:hAnsi="Book Antiqua"/>
          <w:sz w:val="19"/>
          <w:szCs w:val="19"/>
        </w:rPr>
        <w:t>EDcl</w:t>
      </w:r>
      <w:proofErr w:type="spellEnd"/>
      <w:r w:rsidRPr="00622A78">
        <w:rPr>
          <w:rFonts w:ascii="Book Antiqua" w:hAnsi="Book Antiqua"/>
          <w:sz w:val="19"/>
          <w:szCs w:val="19"/>
        </w:rPr>
        <w:t xml:space="preserve"> no RE 571.572/BA, o art. 2º da Lei n. 9.099 de 26 de setembro de 1995, o art. 927, incisos III e IV, e os </w:t>
      </w:r>
      <w:proofErr w:type="spellStart"/>
      <w:r w:rsidRPr="00622A78">
        <w:rPr>
          <w:rFonts w:ascii="Book Antiqua" w:hAnsi="Book Antiqua"/>
          <w:sz w:val="19"/>
          <w:szCs w:val="19"/>
        </w:rPr>
        <w:t>arts</w:t>
      </w:r>
      <w:proofErr w:type="spellEnd"/>
      <w:r w:rsidRPr="00622A78">
        <w:rPr>
          <w:rFonts w:ascii="Book Antiqua" w:hAnsi="Book Antiqua"/>
          <w:sz w:val="19"/>
          <w:szCs w:val="19"/>
        </w:rPr>
        <w:t xml:space="preserve">. 988 a 993 do Código de Processo Civil, o fluxo volumoso de Reclamações no STJ envolvendo Juizados Especiais e a decisão da Corte Especial na Questão de Ordem proferida nos autos do </w:t>
      </w:r>
      <w:proofErr w:type="spellStart"/>
      <w:r w:rsidRPr="00622A78">
        <w:rPr>
          <w:rFonts w:ascii="Book Antiqua" w:hAnsi="Book Antiqua"/>
          <w:sz w:val="19"/>
          <w:szCs w:val="19"/>
        </w:rPr>
        <w:t>AgRg</w:t>
      </w:r>
      <w:proofErr w:type="spellEnd"/>
      <w:r w:rsidRPr="00622A78">
        <w:rPr>
          <w:rFonts w:ascii="Book Antiqua" w:hAnsi="Book Antiqua"/>
          <w:sz w:val="19"/>
          <w:szCs w:val="19"/>
        </w:rPr>
        <w:t xml:space="preserve"> na </w:t>
      </w:r>
      <w:proofErr w:type="spellStart"/>
      <w:r w:rsidRPr="00622A78">
        <w:rPr>
          <w:rFonts w:ascii="Book Antiqua" w:hAnsi="Book Antiqua"/>
          <w:sz w:val="19"/>
          <w:szCs w:val="19"/>
        </w:rPr>
        <w:t>Rcl</w:t>
      </w:r>
      <w:proofErr w:type="spellEnd"/>
      <w:r w:rsidRPr="00622A78">
        <w:rPr>
          <w:rFonts w:ascii="Book Antiqua" w:hAnsi="Book Antiqua"/>
          <w:sz w:val="19"/>
          <w:szCs w:val="19"/>
        </w:rPr>
        <w:t xml:space="preserve"> nº 18.506/SP,</w:t>
      </w:r>
    </w:p>
    <w:p w14:paraId="32C8CEF7" w14:textId="77777777" w:rsidR="00AD13ED" w:rsidRPr="00622A78" w:rsidRDefault="00AD13ED" w:rsidP="00AD13ED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>RESOLVE:</w:t>
      </w:r>
    </w:p>
    <w:p w14:paraId="5CB8A03D" w14:textId="5638FFC6" w:rsidR="00AD13ED" w:rsidRPr="00622A78" w:rsidRDefault="00AD13ED" w:rsidP="00AD13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caps/>
          <w:sz w:val="19"/>
          <w:szCs w:val="19"/>
          <w:highlight w:val="green"/>
        </w:rPr>
        <w:t>Caberá</w:t>
      </w:r>
      <w:r w:rsidRPr="00622A78">
        <w:rPr>
          <w:rFonts w:ascii="Book Antiqua" w:hAnsi="Book Antiqua"/>
          <w:sz w:val="19"/>
          <w:szCs w:val="19"/>
        </w:rPr>
        <w:t xml:space="preserve"> às </w:t>
      </w:r>
      <w:r w:rsidRPr="00622A78">
        <w:rPr>
          <w:rFonts w:ascii="Book Antiqua" w:hAnsi="Book Antiqua"/>
          <w:b/>
          <w:sz w:val="19"/>
          <w:szCs w:val="19"/>
          <w:highlight w:val="cyan"/>
        </w:rPr>
        <w:t>Câmaras Reunidas</w:t>
      </w:r>
      <w:r w:rsidRPr="00622A78">
        <w:rPr>
          <w:rFonts w:ascii="Book Antiqua" w:hAnsi="Book Antiqua"/>
          <w:sz w:val="19"/>
          <w:szCs w:val="19"/>
        </w:rPr>
        <w:t xml:space="preserve"> ou à </w:t>
      </w:r>
      <w:r w:rsidRPr="00622A78">
        <w:rPr>
          <w:rFonts w:ascii="Book Antiqua" w:hAnsi="Book Antiqua"/>
          <w:b/>
          <w:sz w:val="19"/>
          <w:szCs w:val="19"/>
          <w:highlight w:val="cyan"/>
        </w:rPr>
        <w:t>Seção Especializada</w:t>
      </w:r>
      <w:r w:rsidRPr="00622A78">
        <w:rPr>
          <w:rFonts w:ascii="Book Antiqua" w:hAnsi="Book Antiqua"/>
          <w:sz w:val="19"/>
          <w:szCs w:val="19"/>
        </w:rPr>
        <w:t xml:space="preserve"> dos </w:t>
      </w:r>
      <w:r w:rsidRPr="00622A78">
        <w:rPr>
          <w:rFonts w:ascii="Book Antiqua" w:hAnsi="Book Antiqua"/>
          <w:b/>
          <w:caps/>
          <w:sz w:val="19"/>
          <w:szCs w:val="19"/>
          <w:shd w:val="clear" w:color="auto" w:fill="F7CAAC" w:themeFill="accent2" w:themeFillTint="66"/>
        </w:rPr>
        <w:t>Tribunais de Justiça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cyan"/>
        </w:rPr>
        <w:t>a competência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para processar e julgar</w:t>
      </w:r>
      <w:r w:rsidRPr="00622A78">
        <w:rPr>
          <w:rFonts w:ascii="Book Antiqua" w:hAnsi="Book Antiqua"/>
          <w:sz w:val="19"/>
          <w:szCs w:val="19"/>
        </w:rPr>
        <w:t xml:space="preserve"> as </w:t>
      </w:r>
      <w:r w:rsidRPr="00622A78">
        <w:rPr>
          <w:rFonts w:ascii="Book Antiqua" w:hAnsi="Book Antiqua"/>
          <w:b/>
          <w:caps/>
          <w:sz w:val="19"/>
          <w:szCs w:val="19"/>
          <w:shd w:val="clear" w:color="auto" w:fill="F7CAAC" w:themeFill="accent2" w:themeFillTint="66"/>
        </w:rPr>
        <w:t>Reclamações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destinadas a dirimir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cyan"/>
        </w:rPr>
        <w:t>divergência entre acórdão prolatado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por Turma Recursal Estadual e do Distrito Federal</w:t>
      </w:r>
      <w:r w:rsidRPr="00622A78">
        <w:rPr>
          <w:rFonts w:ascii="Book Antiqua" w:hAnsi="Book Antiqua"/>
          <w:sz w:val="19"/>
          <w:szCs w:val="19"/>
        </w:rPr>
        <w:t xml:space="preserve"> e a </w:t>
      </w:r>
      <w:r w:rsidRPr="00622A78">
        <w:rPr>
          <w:rFonts w:ascii="Book Antiqua" w:hAnsi="Book Antiqua"/>
          <w:b/>
          <w:sz w:val="19"/>
          <w:szCs w:val="19"/>
          <w:highlight w:val="cyan"/>
        </w:rPr>
        <w:t>jurisprudência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do Superior Tribunal de Justiça</w:t>
      </w:r>
      <w:r w:rsidRPr="00622A78">
        <w:rPr>
          <w:rFonts w:ascii="Book Antiqua" w:hAnsi="Book Antiqua"/>
          <w:sz w:val="19"/>
          <w:szCs w:val="19"/>
        </w:rPr>
        <w:t xml:space="preserve">, </w:t>
      </w:r>
      <w:r w:rsidRPr="00622A78">
        <w:rPr>
          <w:rFonts w:ascii="Book Antiqua" w:hAnsi="Book Antiqua"/>
          <w:b/>
          <w:caps/>
          <w:sz w:val="19"/>
          <w:szCs w:val="19"/>
          <w:highlight w:val="green"/>
        </w:rPr>
        <w:t>consolidada em</w:t>
      </w:r>
      <w:r w:rsidRPr="00622A78">
        <w:rPr>
          <w:rFonts w:ascii="Book Antiqua" w:hAnsi="Book Antiqua"/>
          <w:sz w:val="19"/>
          <w:szCs w:val="19"/>
        </w:rPr>
        <w:t xml:space="preserve">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incidente de assunção de competência</w:t>
      </w:r>
      <w:r w:rsidRPr="00622A78">
        <w:rPr>
          <w:rFonts w:ascii="Book Antiqua" w:hAnsi="Book Antiqua"/>
          <w:sz w:val="19"/>
          <w:szCs w:val="19"/>
        </w:rPr>
        <w:t xml:space="preserve"> e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de resolução de demandas repetitivas</w:t>
      </w:r>
      <w:r w:rsidRPr="00622A78">
        <w:rPr>
          <w:rFonts w:ascii="Book Antiqua" w:hAnsi="Book Antiqua"/>
          <w:sz w:val="19"/>
          <w:szCs w:val="19"/>
        </w:rPr>
        <w:t xml:space="preserve">, em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julgamento de recurso especial repetitivo</w:t>
      </w:r>
      <w:r w:rsidRPr="00622A78">
        <w:rPr>
          <w:rFonts w:ascii="Book Antiqua" w:hAnsi="Book Antiqua"/>
          <w:sz w:val="19"/>
          <w:szCs w:val="19"/>
        </w:rPr>
        <w:t xml:space="preserve"> e em enunciados das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Súmulas do STJ</w:t>
      </w:r>
      <w:r w:rsidRPr="00622A78">
        <w:rPr>
          <w:rFonts w:ascii="Book Antiqua" w:hAnsi="Book Antiqua"/>
          <w:sz w:val="19"/>
          <w:szCs w:val="19"/>
        </w:rPr>
        <w:t xml:space="preserve">, bem como para garantir a </w:t>
      </w:r>
      <w:r w:rsidRPr="00622A78">
        <w:rPr>
          <w:rFonts w:ascii="Book Antiqua" w:hAnsi="Book Antiqua"/>
          <w:b/>
          <w:sz w:val="19"/>
          <w:szCs w:val="19"/>
          <w:highlight w:val="yellow"/>
        </w:rPr>
        <w:t>observância de precedentes</w:t>
      </w:r>
      <w:r w:rsidRPr="00622A78">
        <w:rPr>
          <w:rFonts w:ascii="Book Antiqua" w:hAnsi="Book Antiqua"/>
          <w:sz w:val="19"/>
          <w:szCs w:val="19"/>
        </w:rPr>
        <w:t>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D13ED" w:rsidRPr="00622A78" w14:paraId="52DAA8D1" w14:textId="77777777" w:rsidTr="00AD13ED">
        <w:tc>
          <w:tcPr>
            <w:tcW w:w="8494" w:type="dxa"/>
            <w:shd w:val="clear" w:color="auto" w:fill="CCFFFF"/>
          </w:tcPr>
          <w:p w14:paraId="1BE558EE" w14:textId="263CF62D" w:rsidR="00622A78" w:rsidRPr="00622A78" w:rsidRDefault="00622A78" w:rsidP="00622A78">
            <w:pPr>
              <w:jc w:val="both"/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>(</w:t>
            </w:r>
            <w:r w:rsidRPr="00622A78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highlight w:val="yellow"/>
                <w:lang w:eastAsia="pt-BR"/>
              </w:rPr>
              <w:t>DPERJ-2021-FGV</w:t>
            </w:r>
            <w:r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: </w:t>
            </w:r>
            <w:r w:rsidRPr="00622A78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Edvaldo contratou o serviço de Buffet Boa Festa EIRELI, de titularidade de Ana, para a comemoração dos dois anos de sua filha Jéssica. No dia da festa, o serviço de buffet não entregou o contratado, frustrando as expectativas com o evento. Edvaldo pretende ser indenizado no valor pago e, ainda, pelos danos morais causados, totalizando o valor de R$ 15.000,00. A ação foi ajuizada junto ao Juizado Especial Cível, sem patrocínio por advogado(a) ou Defensor(a) Público(a).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622A78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Considerando a situação acima descrita, é correto afirmar que: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622A78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caso a decisão da Turma Recursal viole precedente obrigatório do STJ, é cabível reclamação dirigida ao Tribunal de Justiça do Estado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>BL: art. 1º, Res. 03/16, STJ.</w:t>
            </w:r>
          </w:p>
          <w:p w14:paraId="0C01F9B2" w14:textId="77777777" w:rsidR="00622A78" w:rsidRPr="00622A78" w:rsidRDefault="00622A78" w:rsidP="00AD13ED">
            <w:pPr>
              <w:jc w:val="both"/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</w:pPr>
          </w:p>
          <w:p w14:paraId="5AACAEE9" w14:textId="2D93D87F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Qual é o instrumento jurídico cabível contra acórdão de Turma Recursal que viole entendimento consolidado ou mesmo sumulado do STJ?</w:t>
            </w:r>
            <w:r w:rsidRPr="00622A78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 xml:space="preserve"> (Fonte: DOD)</w:t>
            </w:r>
          </w:p>
          <w:p w14:paraId="2DBF0C05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1) Juizado Especial Estadual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Reclamação para o TJ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(Resolução 03/2016 do STJ).</w:t>
            </w:r>
          </w:p>
          <w:p w14:paraId="153CDA76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Hipóteses de cabimento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Cabível quando a decisão da Turma contrariar jurisprudência do STJ consolidada em:</w:t>
            </w:r>
          </w:p>
          <w:p w14:paraId="5A958EA6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a) incidente de assunção de competência;</w:t>
            </w:r>
          </w:p>
          <w:p w14:paraId="368E4F78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b) incidente de resolução de demandas repetitivas (IRDR);</w:t>
            </w:r>
          </w:p>
          <w:p w14:paraId="0C8B8E48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c) julgamento de recurso especial repetitivo;</w:t>
            </w:r>
          </w:p>
          <w:p w14:paraId="60DE11E8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d) Súmulas do STJ;</w:t>
            </w:r>
          </w:p>
          <w:p w14:paraId="4261E280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e) precedentes do STJ.</w:t>
            </w:r>
          </w:p>
          <w:p w14:paraId="403B0D96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484F91A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2) Juizado Especial Federal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Pedido de uniformização de jurisprudência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14 da Lei nº 10.259/2001).</w:t>
            </w:r>
          </w:p>
          <w:p w14:paraId="6C552A77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Hipóteses de cabimento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Cabível quando a decisão da Turma contrariar:</w:t>
            </w:r>
          </w:p>
          <w:p w14:paraId="1A4B1723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a) jurisprudência dominante do STJ; ou</w:t>
            </w:r>
          </w:p>
          <w:p w14:paraId="4DC34F96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b) súmula do STJ.</w:t>
            </w:r>
          </w:p>
          <w:p w14:paraId="58D11E55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98591D8" w14:textId="77777777" w:rsidR="00AD13ED" w:rsidRPr="00622A78" w:rsidRDefault="00AD13ED" w:rsidP="00AD13E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3) Juizado da Fazenda Pública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Pedido de uniformização de jurisprudência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19 da Lei nº 12.153/2009).</w:t>
            </w:r>
          </w:p>
          <w:p w14:paraId="650A2FDA" w14:textId="44390C0C" w:rsidR="00AD13ED" w:rsidRPr="00622A78" w:rsidRDefault="00AD13ED" w:rsidP="00AD13ED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622A7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Hipótese de cabimento</w:t>
            </w:r>
            <w:r w:rsidRPr="00622A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Cabível quando a decisão da Turma contrariar súmula do STJ.</w:t>
            </w:r>
          </w:p>
        </w:tc>
      </w:tr>
    </w:tbl>
    <w:p w14:paraId="31E81B14" w14:textId="77777777" w:rsidR="00AD13ED" w:rsidRPr="00622A78" w:rsidRDefault="00AD13ED" w:rsidP="00AD13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 xml:space="preserve">Art. 2º Aplica-se, no que couber, o disposto nos </w:t>
      </w:r>
      <w:proofErr w:type="spellStart"/>
      <w:r w:rsidRPr="00622A78">
        <w:rPr>
          <w:rFonts w:ascii="Book Antiqua" w:hAnsi="Book Antiqua"/>
          <w:sz w:val="19"/>
          <w:szCs w:val="19"/>
        </w:rPr>
        <w:t>arts</w:t>
      </w:r>
      <w:proofErr w:type="spellEnd"/>
      <w:r w:rsidRPr="00622A78">
        <w:rPr>
          <w:rFonts w:ascii="Book Antiqua" w:hAnsi="Book Antiqua"/>
          <w:sz w:val="19"/>
          <w:szCs w:val="19"/>
        </w:rPr>
        <w:t>. 988 a 993 do Código de Processo Civil, bem como as regras regimentais locais, quanto ao procedimento da Reclamação.</w:t>
      </w:r>
    </w:p>
    <w:p w14:paraId="30639CB8" w14:textId="77777777" w:rsidR="00AD13ED" w:rsidRPr="00622A78" w:rsidRDefault="00AD13ED" w:rsidP="00AD13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>Art. 3º O disposto nesta resolução não se aplica às reclamações já distribuídas, pendentes de análise no Superior Tribunal de Justiça.</w:t>
      </w:r>
    </w:p>
    <w:p w14:paraId="787FF923" w14:textId="77777777" w:rsidR="00AD13ED" w:rsidRPr="00622A78" w:rsidRDefault="00AD13ED" w:rsidP="00AD13E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lastRenderedPageBreak/>
        <w:t>Art. 4º Esta resolução entra em vigor na data de sua publicação.</w:t>
      </w:r>
    </w:p>
    <w:p w14:paraId="608599B1" w14:textId="77777777" w:rsidR="00AD13ED" w:rsidRPr="00622A78" w:rsidRDefault="00AD13ED" w:rsidP="00AD13ED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622A78">
        <w:rPr>
          <w:rFonts w:ascii="Book Antiqua" w:hAnsi="Book Antiqua"/>
          <w:sz w:val="19"/>
          <w:szCs w:val="19"/>
        </w:rPr>
        <w:t>Ministro FRANCISCO FALCÃO</w:t>
      </w:r>
    </w:p>
    <w:p w14:paraId="17A4D06A" w14:textId="77777777" w:rsidR="00DD1E8A" w:rsidRPr="00622A78" w:rsidRDefault="00DD1E8A" w:rsidP="00AD13E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DD1E8A" w:rsidRPr="00622A78" w:rsidSect="00AD13ED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46609" w14:textId="77777777" w:rsidR="00DB03E1" w:rsidRDefault="00DB03E1" w:rsidP="00AD13ED">
      <w:pPr>
        <w:spacing w:after="0" w:line="240" w:lineRule="auto"/>
      </w:pPr>
      <w:r>
        <w:separator/>
      </w:r>
    </w:p>
  </w:endnote>
  <w:endnote w:type="continuationSeparator" w:id="0">
    <w:p w14:paraId="05B88D3F" w14:textId="77777777" w:rsidR="00DB03E1" w:rsidRDefault="00DB03E1" w:rsidP="00AD1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07613" w14:textId="77777777" w:rsidR="00DB03E1" w:rsidRDefault="00DB03E1" w:rsidP="00AD13ED">
      <w:pPr>
        <w:spacing w:after="0" w:line="240" w:lineRule="auto"/>
      </w:pPr>
      <w:r>
        <w:separator/>
      </w:r>
    </w:p>
  </w:footnote>
  <w:footnote w:type="continuationSeparator" w:id="0">
    <w:p w14:paraId="5C19923F" w14:textId="77777777" w:rsidR="00DB03E1" w:rsidRDefault="00DB03E1" w:rsidP="00AD13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E5"/>
    <w:rsid w:val="00622A78"/>
    <w:rsid w:val="008171C3"/>
    <w:rsid w:val="00A24C8D"/>
    <w:rsid w:val="00AD13ED"/>
    <w:rsid w:val="00BC195D"/>
    <w:rsid w:val="00C20E72"/>
    <w:rsid w:val="00DB03E1"/>
    <w:rsid w:val="00DB23E5"/>
    <w:rsid w:val="00DD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E51B0"/>
  <w15:chartTrackingRefBased/>
  <w15:docId w15:val="{29C835B1-B287-480D-8530-E210B52B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1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13ED"/>
  </w:style>
  <w:style w:type="paragraph" w:styleId="Rodap">
    <w:name w:val="footer"/>
    <w:basedOn w:val="Normal"/>
    <w:link w:val="RodapChar"/>
    <w:uiPriority w:val="99"/>
    <w:unhideWhenUsed/>
    <w:rsid w:val="00AD1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13ED"/>
  </w:style>
  <w:style w:type="table" w:styleId="Tabelacomgrade">
    <w:name w:val="Table Grid"/>
    <w:basedOn w:val="Tabelanormal"/>
    <w:uiPriority w:val="39"/>
    <w:rsid w:val="00AD1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8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4</cp:revision>
  <dcterms:created xsi:type="dcterms:W3CDTF">2019-01-15T12:55:00Z</dcterms:created>
  <dcterms:modified xsi:type="dcterms:W3CDTF">2021-12-11T21:05:00Z</dcterms:modified>
</cp:coreProperties>
</file>