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08A2" w14:textId="6E073F7C" w:rsidR="002F2B99" w:rsidRPr="002F2B99" w:rsidRDefault="002F2B99" w:rsidP="002F2B99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F2B99">
        <w:rPr>
          <w:rFonts w:ascii="Book Antiqua" w:hAnsi="Book Antiqua"/>
          <w:b/>
          <w:bCs/>
          <w:sz w:val="19"/>
          <w:szCs w:val="19"/>
        </w:rPr>
        <w:t>Ministério da Justiça e Segurança Pública</w:t>
      </w:r>
    </w:p>
    <w:p w14:paraId="1043132F" w14:textId="77777777" w:rsidR="002F2B99" w:rsidRPr="002F2B99" w:rsidRDefault="002F2B99" w:rsidP="002F2B99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F2B99">
        <w:rPr>
          <w:rFonts w:ascii="Book Antiqua" w:hAnsi="Book Antiqua"/>
          <w:b/>
          <w:bCs/>
          <w:sz w:val="19"/>
          <w:szCs w:val="19"/>
        </w:rPr>
        <w:t>Conselho Nacional de Política Criminal e Penitenciária</w:t>
      </w:r>
    </w:p>
    <w:p w14:paraId="7843ADDD" w14:textId="271B764E" w:rsidR="002F2B99" w:rsidRPr="002F2B99" w:rsidRDefault="002F2B99" w:rsidP="002F2B99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F2B99">
        <w:rPr>
          <w:rFonts w:ascii="Book Antiqua" w:hAnsi="Book Antiqua"/>
          <w:b/>
          <w:bCs/>
          <w:sz w:val="19"/>
          <w:szCs w:val="19"/>
        </w:rPr>
        <w:t>Resolução nº 28 de 6 outubro de 2022</w:t>
      </w:r>
    </w:p>
    <w:p w14:paraId="47458258" w14:textId="10C08564" w:rsidR="002F2B99" w:rsidRPr="002F2B99" w:rsidRDefault="002F2B99" w:rsidP="002F2B99">
      <w:pPr>
        <w:spacing w:before="100" w:beforeAutospacing="1" w:after="100" w:afterAutospacing="1" w:line="240" w:lineRule="auto"/>
        <w:ind w:left="2552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Estabelece diretrizes para a realização de revista pessoal em estabelecimentos prisionais e veda a utilização de práticas vexatórias para o controle de ingresso aos locais de privação de liberdade; revoga a Resolução nº 5, de 28 de agosto de 2014; e dá outras providências. </w:t>
      </w:r>
    </w:p>
    <w:p w14:paraId="4019F049" w14:textId="77777777" w:rsidR="002F2B99" w:rsidRDefault="002F2B99" w:rsidP="002F2B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O PRESIDENTE DO CONSELHO NACIONAL DE POLÍTICA CRIMINAL E PENITENCIÁRIA, no uso de suas atribuições legais e regimentais, e </w:t>
      </w:r>
    </w:p>
    <w:p w14:paraId="69A184E9" w14:textId="77777777" w:rsidR="002F2B99" w:rsidRDefault="002F2B99" w:rsidP="002F2B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CONSIDERANDO que incumbe ao Conselho Nacional de Política Criminal e Penitenciária (CNPCP), dentre outras atribuições, nos termos do art. 64 da Lei nº 7.210, de 11 de julho de 1984 (Lei de Execução Penal - LEP), “I – propor diretrizes da política criminal quanto à prevenção do delito, administração da Justiça Criminal e execução das penas e das medidas de segurança; [...] III - promover a avaliação periódica do sistema criminal para a sua adequação às necessidades do País; [...] VIII - inspecionar e fiscalizar os estabelecimentos penais, bem assim informar-se, mediante relatórios do Conselho Penitenciário, requisições, visitas ou outros meios, acerca do desenvolvimento da execução penal nos Estados, Territórios e Distrito Federal, propondo às autoridades dela incumbida as medidas necessárias ao seu aprimoramento”; </w:t>
      </w:r>
    </w:p>
    <w:p w14:paraId="6452AD7F" w14:textId="42EC38A0" w:rsidR="002F2B99" w:rsidRPr="002F2B99" w:rsidRDefault="002F2B99" w:rsidP="002F2B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CONSIDERANDO o advento da Emenda Constitucional nº 104, de 4 de dezembro de 2019, que “altera o inciso XIV do caput do art. 21, o § 4º do art. 32 e o art. 144 da Constituição Federal, para criar as polícias penais federal, estaduais e distrital”; </w:t>
      </w:r>
    </w:p>
    <w:p w14:paraId="5062FEA6" w14:textId="1FE0CA14" w:rsidR="002F2B99" w:rsidRPr="002F2B99" w:rsidRDefault="002F2B99" w:rsidP="002F2B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CONSIDERANDO que a Lei nº 13.271, de 15 de abril de 2016, veda que “as empresas privadas, os órgãos e entidades da administração pública, direta e indireta”, adotem “qualquer prática de revista íntima de suas funcionárias e de clientes do sexo feminino” (art. 1º); </w:t>
      </w:r>
    </w:p>
    <w:p w14:paraId="3340F3CF" w14:textId="70279F91" w:rsidR="002F2B99" w:rsidRPr="002F2B99" w:rsidRDefault="002F2B99" w:rsidP="002F2B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CONSIDERANDO a “controvérsia relativa à ilicitude da prova obtida a partir de revista íntima de visitante em estabelecimento prisional, por ofensa ao princípio da dignidade da pessoa humana e à proteção ao direito à intimidade, à honra e à imagem”, objeto do Recurso Extraordinário com Agravo (ARE) nº 959.620, com repercussão geral reconhecida por unanimidade pelo Supremo Tribunal Federal (Tema 998); </w:t>
      </w:r>
    </w:p>
    <w:p w14:paraId="0C9932A4" w14:textId="2C8E9F22" w:rsidR="002F2B99" w:rsidRPr="002F2B99" w:rsidRDefault="002F2B99" w:rsidP="002F2B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>CONSIDERANDO o entendimento do Superior Tribunal de Justiça, no sentido de que, "caso haja fundadas suspeitas de que o visitante do presídio esteja portando material ilícito, é possível a realização de revista íntima, com fins de segurança, a qual, por si só, não ofende a dignidade da pessoa humana, notadamente quando realizada dentro dos</w:t>
      </w:r>
      <w:r>
        <w:rPr>
          <w:rFonts w:ascii="Book Antiqua" w:hAnsi="Book Antiqua"/>
          <w:sz w:val="19"/>
          <w:szCs w:val="19"/>
        </w:rPr>
        <w:t xml:space="preserve"> </w:t>
      </w:r>
      <w:r w:rsidRPr="002F2B99">
        <w:rPr>
          <w:rFonts w:ascii="Book Antiqua" w:hAnsi="Book Antiqua"/>
          <w:sz w:val="19"/>
          <w:szCs w:val="19"/>
        </w:rPr>
        <w:t xml:space="preserve">parâmetros legais e constitucionais, sem nenhum procedimento invasivo” (STJ, Sexta Turma, REsp 1523735/RS, rel. Min. Rogerio </w:t>
      </w:r>
      <w:proofErr w:type="spellStart"/>
      <w:r w:rsidRPr="002F2B99">
        <w:rPr>
          <w:rFonts w:ascii="Book Antiqua" w:hAnsi="Book Antiqua"/>
          <w:sz w:val="19"/>
          <w:szCs w:val="19"/>
        </w:rPr>
        <w:t>Schietti</w:t>
      </w:r>
      <w:proofErr w:type="spellEnd"/>
      <w:r w:rsidRPr="002F2B99">
        <w:rPr>
          <w:rFonts w:ascii="Book Antiqua" w:hAnsi="Book Antiqua"/>
          <w:sz w:val="19"/>
          <w:szCs w:val="19"/>
        </w:rPr>
        <w:t xml:space="preserve"> Cruz, j. 20-2-2018, </w:t>
      </w:r>
      <w:proofErr w:type="spellStart"/>
      <w:r w:rsidRPr="002F2B99">
        <w:rPr>
          <w:rFonts w:ascii="Book Antiqua" w:hAnsi="Book Antiqua"/>
          <w:sz w:val="19"/>
          <w:szCs w:val="19"/>
        </w:rPr>
        <w:t>DJe</w:t>
      </w:r>
      <w:proofErr w:type="spellEnd"/>
      <w:r w:rsidRPr="002F2B99">
        <w:rPr>
          <w:rFonts w:ascii="Book Antiqua" w:hAnsi="Book Antiqua"/>
          <w:sz w:val="19"/>
          <w:szCs w:val="19"/>
        </w:rPr>
        <w:t xml:space="preserve"> 26-2-2018), ao passo que “é ilícita a revista pessoal realizada por agente de segurança privada e todas as provas decorrentes desta” (STJ, Quinta Turma, HC 470.937/SP, rel. Min. Joel Ilan Paciornik, j. 4-6-2019, </w:t>
      </w:r>
      <w:proofErr w:type="spellStart"/>
      <w:r w:rsidRPr="002F2B99">
        <w:rPr>
          <w:rFonts w:ascii="Book Antiqua" w:hAnsi="Book Antiqua"/>
          <w:sz w:val="19"/>
          <w:szCs w:val="19"/>
        </w:rPr>
        <w:t>DJe</w:t>
      </w:r>
      <w:proofErr w:type="spellEnd"/>
      <w:r w:rsidRPr="002F2B99">
        <w:rPr>
          <w:rFonts w:ascii="Book Antiqua" w:hAnsi="Book Antiqua"/>
          <w:sz w:val="19"/>
          <w:szCs w:val="19"/>
        </w:rPr>
        <w:t xml:space="preserve"> 17-6-2019); </w:t>
      </w:r>
    </w:p>
    <w:p w14:paraId="4B870112" w14:textId="767BA288" w:rsidR="002F2B99" w:rsidRPr="002F2B99" w:rsidRDefault="002F2B99" w:rsidP="002F2B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CONSIDERANDO o disposto na Lei Complementar nº 95, de 26 de fevereiro de 1998, que estabelece normas para a consolidação dos atos normativos; </w:t>
      </w:r>
    </w:p>
    <w:p w14:paraId="74B39203" w14:textId="00172AAE" w:rsidR="002F2B99" w:rsidRPr="002F2B99" w:rsidRDefault="002F2B99" w:rsidP="002F2B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CONSIDERANDO o disposto no Decreto nº 10.139, de 28 de novembro de 2019, que “dispõe sobre a revisão e a consolidação dos atos normativos inferiores a decreto”; </w:t>
      </w:r>
    </w:p>
    <w:p w14:paraId="6CE5F619" w14:textId="3A51EAF1" w:rsidR="002F2B99" w:rsidRPr="002F2B99" w:rsidRDefault="002F2B99" w:rsidP="002F2B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CONSIDERANDO o trabalho realizado pela Comissão Permanente de Sistema Prisional e Fundo Penitenciário Nacional, para a revisão das normas pertinentes a tais temáticas, nos termos de decisão do Plenário; e </w:t>
      </w:r>
    </w:p>
    <w:p w14:paraId="79AC5058" w14:textId="77777777" w:rsid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CONSIDERANDO o deliberado pelo Plenário do Conselho de Política Criminal e Penitenciária em sua 488ª Reunião Ordinária, </w:t>
      </w:r>
    </w:p>
    <w:p w14:paraId="53D9675E" w14:textId="579E944E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lastRenderedPageBreak/>
        <w:t xml:space="preserve">RESOLVE: </w:t>
      </w:r>
    </w:p>
    <w:p w14:paraId="57A261A8" w14:textId="3E5CE03B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Art. 1º A revista pessoal é a inspeção efetuada com fins de segurança, em todas as pessoas que pretendem ingressar em locais de privação de liberdade e que venham a ter contato direto ou indireto com pessoas privadas de liberdade ou com o interior do estabelecimento. </w:t>
      </w:r>
    </w:p>
    <w:p w14:paraId="2CFA884E" w14:textId="0C130C08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§ 1º A revista pessoal deve preservar a integridade física, psicológica e moral da pessoa revistada. </w:t>
      </w:r>
    </w:p>
    <w:p w14:paraId="53EA58CC" w14:textId="15DF53C7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§ 2º A revista pessoal em ambiência prisional é de competência da polícia penal, vedada sua realização por agente privado. </w:t>
      </w:r>
    </w:p>
    <w:p w14:paraId="1C080102" w14:textId="4DF6E10D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§ 3º A revista pessoal deverá ocorrer mediante uso de equipamentos eletrônicos detectores de metais, aparelhos de </w:t>
      </w:r>
      <w:proofErr w:type="spellStart"/>
      <w:r w:rsidRPr="002F2B99">
        <w:rPr>
          <w:rFonts w:ascii="Book Antiqua" w:hAnsi="Book Antiqua"/>
          <w:sz w:val="19"/>
          <w:szCs w:val="19"/>
        </w:rPr>
        <w:t>raio-x</w:t>
      </w:r>
      <w:proofErr w:type="spellEnd"/>
      <w:r w:rsidRPr="002F2B99">
        <w:rPr>
          <w:rFonts w:ascii="Book Antiqua" w:hAnsi="Book Antiqua"/>
          <w:sz w:val="19"/>
          <w:szCs w:val="19"/>
        </w:rPr>
        <w:t xml:space="preserve">, escâner corporal, dentre outras tecnologias e equipamentos de segurança capazes de identificar armas, explosivos, drogas ou outros objetos ilícitos, ou, excepcionalmente, de forma manual. </w:t>
      </w:r>
    </w:p>
    <w:p w14:paraId="15B7B71F" w14:textId="7BCC8A56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§ 4º Ressalvado o disposto no art. 3º, excepcionalmente, na ausência dos equipamentos mencionados no § 2º ou havendo fundada suspeita, poderá ser realizada a revista manual. </w:t>
      </w:r>
    </w:p>
    <w:p w14:paraId="43F8EABE" w14:textId="77777777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§ 5º Para efeitos desta Resolução, em caso da excepcionalidade da revista manual: </w:t>
      </w:r>
    </w:p>
    <w:p w14:paraId="3F5243A1" w14:textId="77777777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a) a pessoa revistada permanecerá com as roupas íntimas; </w:t>
      </w:r>
    </w:p>
    <w:p w14:paraId="7DD74066" w14:textId="51F951B4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>b) a revista manual será realizada por policial penal do mesmo sexo do visitante;</w:t>
      </w:r>
    </w:p>
    <w:p w14:paraId="5DD3EAB2" w14:textId="0FAB81ED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c) visitantes travestis, transexuais ou intersexuais, no momento de seu cadastro prévio para habilitação à visitação, poderão indicar o gênero desejado de policial penal que realizará o procedimento da revista manual, respeitado o direito ao uso do nome social, na forma da lei. </w:t>
      </w:r>
    </w:p>
    <w:p w14:paraId="25DFA73A" w14:textId="77777777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Art. 2º É vedada a revista vexatória, desumana ou degradante, notadamente: </w:t>
      </w:r>
    </w:p>
    <w:p w14:paraId="101F1984" w14:textId="77777777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2F2B99">
        <w:rPr>
          <w:rFonts w:ascii="Book Antiqua" w:hAnsi="Book Antiqua"/>
          <w:sz w:val="19"/>
          <w:szCs w:val="19"/>
        </w:rPr>
        <w:t>desnudamento</w:t>
      </w:r>
      <w:proofErr w:type="gramEnd"/>
      <w:r w:rsidRPr="002F2B99">
        <w:rPr>
          <w:rFonts w:ascii="Book Antiqua" w:hAnsi="Book Antiqua"/>
          <w:sz w:val="19"/>
          <w:szCs w:val="19"/>
        </w:rPr>
        <w:t xml:space="preserve">; </w:t>
      </w:r>
    </w:p>
    <w:p w14:paraId="0CBB2142" w14:textId="41A41194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2F2B99">
        <w:rPr>
          <w:rFonts w:ascii="Book Antiqua" w:hAnsi="Book Antiqua"/>
          <w:sz w:val="19"/>
          <w:szCs w:val="19"/>
        </w:rPr>
        <w:t>conduta</w:t>
      </w:r>
      <w:proofErr w:type="gramEnd"/>
      <w:r w:rsidRPr="002F2B99">
        <w:rPr>
          <w:rFonts w:ascii="Book Antiqua" w:hAnsi="Book Antiqua"/>
          <w:sz w:val="19"/>
          <w:szCs w:val="19"/>
        </w:rPr>
        <w:t xml:space="preserve"> que implique o toque ou a introdução de objetos nas cavidades corporais da pessoa revistada; </w:t>
      </w:r>
    </w:p>
    <w:p w14:paraId="01F7944E" w14:textId="77777777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III - uso de cães ou animais farejadores, ainda que treinados para esse fim; </w:t>
      </w:r>
    </w:p>
    <w:p w14:paraId="12013813" w14:textId="77777777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2F2B99">
        <w:rPr>
          <w:rFonts w:ascii="Book Antiqua" w:hAnsi="Book Antiqua"/>
          <w:sz w:val="19"/>
          <w:szCs w:val="19"/>
        </w:rPr>
        <w:t>agachamento ou salto</w:t>
      </w:r>
      <w:proofErr w:type="gramEnd"/>
      <w:r w:rsidRPr="002F2B99">
        <w:rPr>
          <w:rFonts w:ascii="Book Antiqua" w:hAnsi="Book Antiqua"/>
          <w:sz w:val="19"/>
          <w:szCs w:val="19"/>
        </w:rPr>
        <w:t xml:space="preserve">. </w:t>
      </w:r>
    </w:p>
    <w:p w14:paraId="09120B05" w14:textId="7219862B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 w:rsidRPr="002F2B99">
        <w:rPr>
          <w:rFonts w:ascii="Book Antiqua" w:hAnsi="Book Antiqua"/>
          <w:b/>
          <w:bCs/>
          <w:sz w:val="19"/>
          <w:szCs w:val="19"/>
          <w:highlight w:val="magenta"/>
        </w:rPr>
        <w:t>Art. 3º</w:t>
      </w:r>
      <w:r w:rsidRPr="002F2B99">
        <w:rPr>
          <w:rFonts w:ascii="Book Antiqua" w:hAnsi="Book Antiqua"/>
          <w:b/>
          <w:bCs/>
          <w:sz w:val="19"/>
          <w:szCs w:val="19"/>
        </w:rPr>
        <w:t xml:space="preserve"> Mesmo que se verifique anuência da pessoa visitante, </w:t>
      </w:r>
      <w:r w:rsidRPr="002F2B99">
        <w:rPr>
          <w:rFonts w:ascii="Book Antiqua" w:hAnsi="Book Antiqua"/>
          <w:b/>
          <w:bCs/>
          <w:caps/>
          <w:sz w:val="19"/>
          <w:szCs w:val="19"/>
          <w:highlight w:val="green"/>
        </w:rPr>
        <w:t>não haverá</w:t>
      </w:r>
      <w:r w:rsidRPr="002F2B99">
        <w:rPr>
          <w:rFonts w:ascii="Book Antiqua" w:hAnsi="Book Antiqua"/>
          <w:b/>
          <w:bCs/>
          <w:sz w:val="19"/>
          <w:szCs w:val="19"/>
        </w:rPr>
        <w:t xml:space="preserve"> submissão a revista íntima, </w:t>
      </w:r>
      <w:r w:rsidRPr="002F2B99">
        <w:rPr>
          <w:rFonts w:ascii="Book Antiqua" w:hAnsi="Book Antiqua"/>
          <w:b/>
          <w:bCs/>
          <w:caps/>
          <w:sz w:val="19"/>
          <w:szCs w:val="19"/>
          <w:highlight w:val="green"/>
        </w:rPr>
        <w:t>exceto</w:t>
      </w:r>
      <w:r w:rsidRPr="002F2B99">
        <w:rPr>
          <w:rFonts w:ascii="Book Antiqua" w:hAnsi="Book Antiqua"/>
          <w:b/>
          <w:bCs/>
          <w:sz w:val="19"/>
          <w:szCs w:val="19"/>
        </w:rPr>
        <w:t xml:space="preserve"> em caso de fundada suspeita, nos termos dos </w:t>
      </w:r>
      <w:proofErr w:type="spellStart"/>
      <w:r w:rsidRPr="002F2B99">
        <w:rPr>
          <w:rFonts w:ascii="Book Antiqua" w:hAnsi="Book Antiqua"/>
          <w:b/>
          <w:bCs/>
          <w:sz w:val="19"/>
          <w:szCs w:val="19"/>
        </w:rPr>
        <w:t>arts</w:t>
      </w:r>
      <w:proofErr w:type="spellEnd"/>
      <w:r w:rsidRPr="002F2B99">
        <w:rPr>
          <w:rFonts w:ascii="Book Antiqua" w:hAnsi="Book Antiqua"/>
          <w:b/>
          <w:bCs/>
          <w:sz w:val="19"/>
          <w:szCs w:val="19"/>
        </w:rPr>
        <w:t xml:space="preserve">. 240 e 244 do Código de Processo Penal, observados em qualquer caso os </w:t>
      </w:r>
      <w:proofErr w:type="spellStart"/>
      <w:r w:rsidRPr="002F2B99">
        <w:rPr>
          <w:rFonts w:ascii="Book Antiqua" w:hAnsi="Book Antiqua"/>
          <w:b/>
          <w:bCs/>
          <w:sz w:val="19"/>
          <w:szCs w:val="19"/>
        </w:rPr>
        <w:t>arts</w:t>
      </w:r>
      <w:proofErr w:type="spellEnd"/>
      <w:r w:rsidRPr="002F2B99">
        <w:rPr>
          <w:rFonts w:ascii="Book Antiqua" w:hAnsi="Book Antiqua"/>
          <w:b/>
          <w:bCs/>
          <w:sz w:val="19"/>
          <w:szCs w:val="19"/>
        </w:rPr>
        <w:t xml:space="preserve">. 1º e 2º desta Resolução. </w:t>
      </w:r>
      <w:r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(DPEMG-2023)</w:t>
      </w:r>
    </w:p>
    <w:p w14:paraId="0599D7FE" w14:textId="006AB08A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>Art. 4º As pessoas com deficiência, os idosos com idade igual ou superior a 60 (sessenta) anos, as gestantes, as lactantes, as pessoas com crianças de colo e os obesos terão atendimento prioritário, nos termos da Lei nº 10.048, de 8 de novembro de 2000, assim como as pessoas com transtorno do espectro autista.</w:t>
      </w:r>
    </w:p>
    <w:p w14:paraId="5F382884" w14:textId="504DB724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Art. 5º O acesso de gestantes ou pessoas com qualquer limitação física impeditiva da utilização de recursos tecnológicos aos estabelecimentos prisionais será assegurado pelas autoridades prisionais, observado o disposto nesta Resolução. </w:t>
      </w:r>
    </w:p>
    <w:p w14:paraId="5EB6407A" w14:textId="5077BBFA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Art. 6º A revista pessoal em crianças e adolescentes deve ser precedida de autorização expressa de seu representante legal e somente será realizada na presença deste. </w:t>
      </w:r>
    </w:p>
    <w:p w14:paraId="05BAB8F8" w14:textId="0DFED551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Art. 7º Os pertences em posse dos visitantes, cujo ingresso seja autorizado pela administração prisional, devem ser, preferencialmente, submetidos a equipamentos de </w:t>
      </w:r>
      <w:proofErr w:type="spellStart"/>
      <w:r w:rsidRPr="002F2B99">
        <w:rPr>
          <w:rFonts w:ascii="Book Antiqua" w:hAnsi="Book Antiqua"/>
          <w:sz w:val="19"/>
          <w:szCs w:val="19"/>
        </w:rPr>
        <w:t>raio-x</w:t>
      </w:r>
      <w:proofErr w:type="spellEnd"/>
      <w:r w:rsidRPr="002F2B99">
        <w:rPr>
          <w:rFonts w:ascii="Book Antiqua" w:hAnsi="Book Antiqua"/>
          <w:sz w:val="19"/>
          <w:szCs w:val="19"/>
        </w:rPr>
        <w:t xml:space="preserve">. </w:t>
      </w:r>
    </w:p>
    <w:p w14:paraId="02194F64" w14:textId="044A47B7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lastRenderedPageBreak/>
        <w:t xml:space="preserve">§ 1º Na ausência de equipamentos de </w:t>
      </w:r>
      <w:proofErr w:type="spellStart"/>
      <w:r w:rsidRPr="002F2B99">
        <w:rPr>
          <w:rFonts w:ascii="Book Antiqua" w:hAnsi="Book Antiqua"/>
          <w:sz w:val="19"/>
          <w:szCs w:val="19"/>
        </w:rPr>
        <w:t>raio-x</w:t>
      </w:r>
      <w:proofErr w:type="spellEnd"/>
      <w:r w:rsidRPr="002F2B99">
        <w:rPr>
          <w:rFonts w:ascii="Book Antiqua" w:hAnsi="Book Antiqua"/>
          <w:sz w:val="19"/>
          <w:szCs w:val="19"/>
        </w:rPr>
        <w:t xml:space="preserve">, ou na presença de fundada suspeita, os pertences citados no caput serão inspecionados visual e manualmente. </w:t>
      </w:r>
    </w:p>
    <w:p w14:paraId="5643CC10" w14:textId="30ADEF4E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§ 2º Está autorizado o uso de outro equipamento que venha a contribuir para a completa inspeção de pertences de posse de visitantes, desde que não os danifique. </w:t>
      </w:r>
    </w:p>
    <w:p w14:paraId="3CAC7D48" w14:textId="1BC2432D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>§ 3º Não se admitirá ingresso de bens ou objetos destinados aos presos que não tenham sido inspecionados.</w:t>
      </w:r>
    </w:p>
    <w:p w14:paraId="4134BD6D" w14:textId="0697E5E6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Art. 8º A pessoa que se negar a submeter-se à revista pessoal e à inspeção de pertences poderá ter seu ingresso no estabelecimento penal negado. </w:t>
      </w:r>
    </w:p>
    <w:p w14:paraId="413760C6" w14:textId="759B8E64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Art. 9º Os projetos arquitetônicos de construção, reforma ou ampliação de estabelecimentos prisionais de regime fechado e de detenção provisória deverão prever espaço e estrutura para instalação de equipamentos de revista eletrônica, em especial de escaneamento corporal, e para guarda de pertences dos visitantes. </w:t>
      </w:r>
    </w:p>
    <w:p w14:paraId="0FEC6B53" w14:textId="28E630BA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>§ 1º O Departamento Penitenciário Nacional e as administrações penitenciárias das unidades federadas devem priorizar a instalação dos equipamentos previstos no caput</w:t>
      </w:r>
      <w:r>
        <w:rPr>
          <w:rFonts w:ascii="Book Antiqua" w:hAnsi="Book Antiqua"/>
          <w:sz w:val="19"/>
          <w:szCs w:val="19"/>
        </w:rPr>
        <w:t xml:space="preserve"> </w:t>
      </w:r>
      <w:r w:rsidRPr="002F2B99">
        <w:rPr>
          <w:rFonts w:ascii="Book Antiqua" w:hAnsi="Book Antiqua"/>
          <w:sz w:val="19"/>
          <w:szCs w:val="19"/>
        </w:rPr>
        <w:t xml:space="preserve">nos acessos às unidades de regime fechado e centros de detenção provisória. </w:t>
      </w:r>
    </w:p>
    <w:p w14:paraId="7BA0C15C" w14:textId="22D8BBBC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§ 2º O Departamento Penitenciário Nacional e as administrações penitenciárias das unidades federadas deverão elaborar e publicar, em até 180 (cento e oitenta) dias, plano de implantação gradual, com vistas a atender integralmente às unidades de regime fechado e centros de detenção provisória. </w:t>
      </w:r>
    </w:p>
    <w:p w14:paraId="3478B556" w14:textId="72C69501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§ 3º No caso de a unidade prisional se encontrar em complexo com outros estabelecimentos penais, os escâneres corporais poderão ser de uso comum, desde que isso não comprometa a capacidade de atender à demanda ordinária de visitantes. </w:t>
      </w:r>
    </w:p>
    <w:p w14:paraId="335BD4FE" w14:textId="616C5352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Art. 10º O Departamento Penitenciário Nacional e as administrações penitenciárias das unidades federadas publicarão, em até 90 (noventa) dias, regras de ingresso e de inspeção de pessoas e objetos compatíveis com esta Resolução em suas páginas oficiais, redes sociais eventualmente existentes, e fisicamente, nos estabelecimentos prisionais, de maneira visível aos visitantes. </w:t>
      </w:r>
    </w:p>
    <w:p w14:paraId="75317652" w14:textId="167E899D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>Art. 11 A critério da autoridade prisional, os presos visitados poderão ser revistados ao término da visita, ou suas celas, e a recusa poderá constituir falta disciplinar, conforme o caso (</w:t>
      </w:r>
      <w:proofErr w:type="spellStart"/>
      <w:r w:rsidRPr="002F2B99">
        <w:rPr>
          <w:rFonts w:ascii="Book Antiqua" w:hAnsi="Book Antiqua"/>
          <w:sz w:val="19"/>
          <w:szCs w:val="19"/>
        </w:rPr>
        <w:t>arts</w:t>
      </w:r>
      <w:proofErr w:type="spellEnd"/>
      <w:r w:rsidRPr="002F2B99">
        <w:rPr>
          <w:rFonts w:ascii="Book Antiqua" w:hAnsi="Book Antiqua"/>
          <w:sz w:val="19"/>
          <w:szCs w:val="19"/>
        </w:rPr>
        <w:t xml:space="preserve">. 49 e seguintes da Lei nº 7.210/1984 - Lei de Execução Penal). </w:t>
      </w:r>
    </w:p>
    <w:p w14:paraId="45D2F0F4" w14:textId="0F721851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Art. 12 Os órgãos de execução penal (art. 61 da Lei de nº 7.210/1984 - Lei de Execução Penal) devem fiscalizar o cumprimento desta Resolução. </w:t>
      </w:r>
    </w:p>
    <w:p w14:paraId="4872A6B1" w14:textId="77777777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Art. 13 Fica revogada a Resolução nº 5, de 28 de agosto de 2014. </w:t>
      </w:r>
    </w:p>
    <w:p w14:paraId="7171BD46" w14:textId="77777777" w:rsid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F2B99">
        <w:rPr>
          <w:rFonts w:ascii="Book Antiqua" w:hAnsi="Book Antiqua"/>
          <w:sz w:val="19"/>
          <w:szCs w:val="19"/>
        </w:rPr>
        <w:t xml:space="preserve">Art. 14 Esta Resolução entra em vigor na data de sua publicação. </w:t>
      </w:r>
    </w:p>
    <w:p w14:paraId="66C1CB89" w14:textId="77777777" w:rsidR="002F2B99" w:rsidRPr="002F2B99" w:rsidRDefault="002F2B99" w:rsidP="002F2B9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337712A1" w14:textId="33AA4447" w:rsidR="002F2B99" w:rsidRPr="002F2B99" w:rsidRDefault="002F2B99" w:rsidP="002F2B99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F2B99">
        <w:rPr>
          <w:rFonts w:ascii="Book Antiqua" w:hAnsi="Book Antiqua"/>
          <w:b/>
          <w:bCs/>
          <w:sz w:val="19"/>
          <w:szCs w:val="19"/>
        </w:rPr>
        <w:t xml:space="preserve">Conselheiro Diego </w:t>
      </w:r>
      <w:proofErr w:type="spellStart"/>
      <w:r w:rsidRPr="002F2B99">
        <w:rPr>
          <w:rFonts w:ascii="Book Antiqua" w:hAnsi="Book Antiqua"/>
          <w:b/>
          <w:bCs/>
          <w:sz w:val="19"/>
          <w:szCs w:val="19"/>
        </w:rPr>
        <w:t>Mantovaneli</w:t>
      </w:r>
      <w:proofErr w:type="spellEnd"/>
      <w:r w:rsidRPr="002F2B99">
        <w:rPr>
          <w:rFonts w:ascii="Book Antiqua" w:hAnsi="Book Antiqua"/>
          <w:b/>
          <w:bCs/>
          <w:sz w:val="19"/>
          <w:szCs w:val="19"/>
        </w:rPr>
        <w:t xml:space="preserve"> do Monte</w:t>
      </w:r>
    </w:p>
    <w:p w14:paraId="7A12690D" w14:textId="260A14C9" w:rsidR="002F2B99" w:rsidRPr="002F2B99" w:rsidRDefault="002F2B99" w:rsidP="002F2B99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F2B99">
        <w:rPr>
          <w:rFonts w:ascii="Book Antiqua" w:hAnsi="Book Antiqua"/>
          <w:b/>
          <w:bCs/>
          <w:sz w:val="19"/>
          <w:szCs w:val="19"/>
        </w:rPr>
        <w:t>Relator</w:t>
      </w:r>
    </w:p>
    <w:p w14:paraId="2F550B43" w14:textId="6BCC3750" w:rsidR="002F2B99" w:rsidRPr="002F2B99" w:rsidRDefault="002F2B99" w:rsidP="002F2B99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F2B99">
        <w:rPr>
          <w:rFonts w:ascii="Book Antiqua" w:hAnsi="Book Antiqua"/>
          <w:b/>
          <w:bCs/>
          <w:sz w:val="19"/>
          <w:szCs w:val="19"/>
        </w:rPr>
        <w:t xml:space="preserve">Conselheiro Márcio </w:t>
      </w:r>
      <w:proofErr w:type="spellStart"/>
      <w:r w:rsidRPr="002F2B99">
        <w:rPr>
          <w:rFonts w:ascii="Book Antiqua" w:hAnsi="Book Antiqua"/>
          <w:b/>
          <w:bCs/>
          <w:sz w:val="19"/>
          <w:szCs w:val="19"/>
        </w:rPr>
        <w:t>Schiefler</w:t>
      </w:r>
      <w:proofErr w:type="spellEnd"/>
      <w:r w:rsidRPr="002F2B99">
        <w:rPr>
          <w:rFonts w:ascii="Book Antiqua" w:hAnsi="Book Antiqua"/>
          <w:b/>
          <w:bCs/>
          <w:sz w:val="19"/>
          <w:szCs w:val="19"/>
        </w:rPr>
        <w:t xml:space="preserve"> Fontes</w:t>
      </w:r>
    </w:p>
    <w:p w14:paraId="335FF804" w14:textId="6C9DE6C6" w:rsidR="002F2B99" w:rsidRPr="002F2B99" w:rsidRDefault="002F2B99" w:rsidP="002F2B99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F2B99">
        <w:rPr>
          <w:rFonts w:ascii="Book Antiqua" w:hAnsi="Book Antiqua"/>
          <w:b/>
          <w:bCs/>
          <w:sz w:val="19"/>
          <w:szCs w:val="19"/>
        </w:rPr>
        <w:t>Presidente</w:t>
      </w:r>
    </w:p>
    <w:sectPr w:rsidR="002F2B99" w:rsidRPr="002F2B99" w:rsidSect="002F2B99">
      <w:pgSz w:w="11906" w:h="16838"/>
      <w:pgMar w:top="1134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2E"/>
    <w:rsid w:val="00056442"/>
    <w:rsid w:val="00095DB1"/>
    <w:rsid w:val="00164D2E"/>
    <w:rsid w:val="002F2B99"/>
    <w:rsid w:val="00943DAE"/>
    <w:rsid w:val="00BB7FE6"/>
    <w:rsid w:val="00D346F6"/>
    <w:rsid w:val="00F8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15773"/>
  <w15:chartTrackingRefBased/>
  <w15:docId w15:val="{874D59AC-86E9-40BF-ADDD-4E53DB84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4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4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4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4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4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4D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4D2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4D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4D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4D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4D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4D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4D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4D2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4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4D2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4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1447</Words>
  <Characters>7819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2025-03-12T17:00:00Z</dcterms:created>
  <dcterms:modified xsi:type="dcterms:W3CDTF">2025-03-12T17:17:00Z</dcterms:modified>
</cp:coreProperties>
</file>