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223D30" w14:textId="77777777" w:rsidR="006B68A2" w:rsidRPr="0055678D" w:rsidRDefault="00767DF5" w:rsidP="006B68A2">
      <w:pPr>
        <w:spacing w:before="300" w:after="300" w:line="240" w:lineRule="auto"/>
        <w:jc w:val="center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hyperlink r:id="rId5" w:history="1">
        <w:r w:rsidR="006B68A2" w:rsidRPr="0055678D">
          <w:rPr>
            <w:rFonts w:ascii="Book Antiqua" w:eastAsia="Times New Roman" w:hAnsi="Book Antiqua" w:cs="Times New Roman"/>
            <w:b/>
            <w:bCs/>
            <w:color w:val="000080"/>
            <w:sz w:val="19"/>
            <w:szCs w:val="19"/>
            <w:u w:val="single"/>
            <w:lang w:eastAsia="pt-BR"/>
          </w:rPr>
          <w:t>LEI Nº 13.271, DE 15 DE ABRIL DE 2016.</w:t>
        </w:r>
      </w:hyperlink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51"/>
        <w:gridCol w:w="5953"/>
      </w:tblGrid>
      <w:tr w:rsidR="006B68A2" w:rsidRPr="0055678D" w14:paraId="2EBDD8AE" w14:textId="77777777" w:rsidTr="0055678D">
        <w:trPr>
          <w:tblCellSpacing w:w="0" w:type="dxa"/>
        </w:trPr>
        <w:tc>
          <w:tcPr>
            <w:tcW w:w="1500" w:type="pct"/>
            <w:vAlign w:val="center"/>
            <w:hideMark/>
          </w:tcPr>
          <w:p w14:paraId="5C921149" w14:textId="612134DC" w:rsidR="006B68A2" w:rsidRPr="0055678D" w:rsidRDefault="006B68A2" w:rsidP="006B68A2">
            <w:pPr>
              <w:spacing w:after="0" w:line="240" w:lineRule="auto"/>
              <w:jc w:val="both"/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</w:pPr>
          </w:p>
        </w:tc>
        <w:tc>
          <w:tcPr>
            <w:tcW w:w="3500" w:type="pct"/>
            <w:vAlign w:val="center"/>
            <w:hideMark/>
          </w:tcPr>
          <w:p w14:paraId="6AADF5DC" w14:textId="77777777" w:rsidR="006B68A2" w:rsidRPr="0055678D" w:rsidRDefault="006B68A2" w:rsidP="006B68A2">
            <w:pPr>
              <w:spacing w:before="100" w:beforeAutospacing="1" w:after="100" w:afterAutospacing="1" w:line="240" w:lineRule="auto"/>
              <w:jc w:val="both"/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</w:pPr>
            <w:r w:rsidRPr="0055678D">
              <w:rPr>
                <w:rFonts w:ascii="Book Antiqua" w:eastAsia="Times New Roman" w:hAnsi="Book Antiqua" w:cs="Times New Roman"/>
                <w:color w:val="800000"/>
                <w:sz w:val="18"/>
                <w:szCs w:val="18"/>
                <w:lang w:eastAsia="pt-BR"/>
              </w:rPr>
              <w:t>Dispõe sobre a proibição de revista íntima de funcionárias nos locais de trabalho e trata da revista íntima em ambientes prisionais.</w:t>
            </w:r>
          </w:p>
        </w:tc>
      </w:tr>
    </w:tbl>
    <w:p w14:paraId="442E6A4C" w14:textId="77777777" w:rsidR="006B68A2" w:rsidRPr="0055678D" w:rsidRDefault="006B68A2" w:rsidP="006B68A2">
      <w:pPr>
        <w:spacing w:before="300" w:after="300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55678D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lang w:eastAsia="pt-BR"/>
        </w:rPr>
        <w:t xml:space="preserve">A PRESIDENTA DA REPÚBLICA </w:t>
      </w:r>
      <w:r w:rsidRPr="0055678D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>Faço saber que o Congresso Nacional decreta e eu sanciono a seguinte Lei:</w:t>
      </w:r>
    </w:p>
    <w:tbl>
      <w:tblPr>
        <w:tblStyle w:val="Tabelacomgrade"/>
        <w:tblW w:w="0" w:type="auto"/>
        <w:shd w:val="clear" w:color="auto" w:fill="CCFFFF"/>
        <w:tblLook w:val="04A0" w:firstRow="1" w:lastRow="0" w:firstColumn="1" w:lastColumn="0" w:noHBand="0" w:noVBand="1"/>
      </w:tblPr>
      <w:tblGrid>
        <w:gridCol w:w="8494"/>
      </w:tblGrid>
      <w:tr w:rsidR="00DB1AAB" w:rsidRPr="0055678D" w14:paraId="24F7ED4B" w14:textId="77777777" w:rsidTr="00DB1AAB">
        <w:tc>
          <w:tcPr>
            <w:tcW w:w="8494" w:type="dxa"/>
            <w:shd w:val="clear" w:color="auto" w:fill="CCFFFF"/>
          </w:tcPr>
          <w:p w14:paraId="43B0AC57" w14:textId="77777777" w:rsidR="00DB1AAB" w:rsidRPr="0055678D" w:rsidRDefault="00DB1AAB" w:rsidP="00DB1AAB">
            <w:pPr>
              <w:jc w:val="both"/>
              <w:rPr>
                <w:rFonts w:ascii="Book Antiqua" w:eastAsia="Times New Roman" w:hAnsi="Book Antiqua" w:cs="Times New Roman"/>
                <w:b/>
                <w:i/>
                <w:color w:val="000000"/>
                <w:sz w:val="19"/>
                <w:szCs w:val="19"/>
                <w:u w:val="single"/>
                <w:lang w:eastAsia="pt-BR"/>
              </w:rPr>
            </w:pPr>
            <w:r w:rsidRPr="0055678D">
              <w:rPr>
                <w:rFonts w:ascii="Book Antiqua" w:eastAsia="Times New Roman" w:hAnsi="Book Antiqua" w:cs="Times New Roman"/>
                <w:b/>
                <w:i/>
                <w:color w:val="000000"/>
                <w:sz w:val="19"/>
                <w:szCs w:val="19"/>
                <w:highlight w:val="green"/>
                <w:u w:val="single"/>
                <w:lang w:eastAsia="pt-BR"/>
              </w:rPr>
              <w:t>OBSERVAÇÕES DIZER O DIREITO:</w:t>
            </w:r>
          </w:p>
          <w:p w14:paraId="6BD0716D" w14:textId="77777777" w:rsidR="00DB1AAB" w:rsidRPr="0055678D" w:rsidRDefault="00DB1AAB" w:rsidP="00DB1AAB">
            <w:pPr>
              <w:jc w:val="both"/>
              <w:rPr>
                <w:rFonts w:ascii="Book Antiqua" w:eastAsia="Times New Roman" w:hAnsi="Book Antiqua" w:cs="Times New Roman"/>
                <w:color w:val="000000"/>
                <w:sz w:val="19"/>
                <w:szCs w:val="19"/>
                <w:lang w:eastAsia="pt-BR"/>
              </w:rPr>
            </w:pPr>
          </w:p>
          <w:p w14:paraId="369C4B0C" w14:textId="77777777" w:rsidR="00DB1AAB" w:rsidRPr="0055678D" w:rsidRDefault="00DB1AAB" w:rsidP="00DB1AAB">
            <w:pPr>
              <w:jc w:val="both"/>
              <w:rPr>
                <w:rFonts w:ascii="Book Antiqua" w:eastAsia="Times New Roman" w:hAnsi="Book Antiqua" w:cs="Times New Roman"/>
                <w:color w:val="000000"/>
                <w:sz w:val="19"/>
                <w:szCs w:val="19"/>
                <w:lang w:eastAsia="pt-BR"/>
              </w:rPr>
            </w:pPr>
            <w:r w:rsidRPr="0055678D">
              <w:rPr>
                <w:rFonts w:ascii="Book Antiqua" w:eastAsia="Times New Roman" w:hAnsi="Book Antiqua" w:cs="Times New Roman"/>
                <w:b/>
                <w:i/>
                <w:color w:val="000000"/>
                <w:sz w:val="19"/>
                <w:szCs w:val="19"/>
                <w:highlight w:val="magenta"/>
                <w:u w:val="single"/>
                <w:lang w:eastAsia="pt-BR"/>
              </w:rPr>
              <w:t>OBS1</w:t>
            </w:r>
            <w:r w:rsidRPr="0055678D">
              <w:rPr>
                <w:rFonts w:ascii="Book Antiqua" w:eastAsia="Times New Roman" w:hAnsi="Book Antiqua" w:cs="Times New Roman"/>
                <w:color w:val="000000"/>
                <w:sz w:val="19"/>
                <w:szCs w:val="19"/>
                <w:lang w:eastAsia="pt-BR"/>
              </w:rPr>
              <w:t xml:space="preserve">: Foi publicada a Lei 13.271/16, que trata sobre a proibição de revista íntima de funcionárias e de clientes. Apesar de a ementa falar que a Lei trata também sobre </w:t>
            </w:r>
            <w:r w:rsidRPr="0055678D">
              <w:rPr>
                <w:rFonts w:ascii="Book Antiqua" w:eastAsia="Times New Roman" w:hAnsi="Book Antiqua" w:cs="Times New Roman"/>
                <w:i/>
                <w:color w:val="000000"/>
                <w:sz w:val="19"/>
                <w:szCs w:val="19"/>
                <w:lang w:eastAsia="pt-BR"/>
              </w:rPr>
              <w:t>"revista íntima em ambientes prisionais"</w:t>
            </w:r>
            <w:r w:rsidRPr="0055678D">
              <w:rPr>
                <w:rFonts w:ascii="Book Antiqua" w:eastAsia="Times New Roman" w:hAnsi="Book Antiqua" w:cs="Times New Roman"/>
                <w:color w:val="000000"/>
                <w:sz w:val="19"/>
                <w:szCs w:val="19"/>
                <w:lang w:eastAsia="pt-BR"/>
              </w:rPr>
              <w:t>, isto não é verdade porque o único dispositivo que versava sobre o tema (art. 3º) foi vetado pela Presidente da República. Assim, a Lei só dispõe sobre revista íntima "funcionárias e de clientes".</w:t>
            </w:r>
          </w:p>
        </w:tc>
      </w:tr>
    </w:tbl>
    <w:p w14:paraId="5657193B" w14:textId="4D2A954B" w:rsidR="006B68A2" w:rsidRPr="0055678D" w:rsidRDefault="006B68A2" w:rsidP="006B68A2">
      <w:pPr>
        <w:spacing w:before="300" w:after="300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bookmarkStart w:id="0" w:name="art2"/>
      <w:bookmarkEnd w:id="0"/>
      <w:r w:rsidRPr="00767DF5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highlight w:val="magenta"/>
          <w:lang w:eastAsia="pt-BR"/>
        </w:rPr>
        <w:t>Art. 1</w:t>
      </w:r>
      <w:r w:rsidRPr="00767DF5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highlight w:val="magenta"/>
          <w:u w:val="single"/>
          <w:vertAlign w:val="superscript"/>
          <w:lang w:eastAsia="pt-BR"/>
        </w:rPr>
        <w:t>o</w:t>
      </w:r>
      <w:r w:rsidRPr="0055678D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 xml:space="preserve"> As empresas privadas, os órgãos e entidades da administração pública, direta e indireta, </w:t>
      </w:r>
      <w:r w:rsidRPr="0055678D">
        <w:rPr>
          <w:rFonts w:ascii="Book Antiqua" w:eastAsia="Times New Roman" w:hAnsi="Book Antiqua" w:cs="Times New Roman"/>
          <w:b/>
          <w:color w:val="000000"/>
          <w:sz w:val="19"/>
          <w:szCs w:val="19"/>
          <w:u w:val="single"/>
          <w:lang w:eastAsia="pt-BR"/>
        </w:rPr>
        <w:t>ficam proibidos</w:t>
      </w:r>
      <w:r w:rsidRPr="0055678D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 xml:space="preserve"> de adotar qualquer prática de revista íntima de suas funcionárias e de clientes do sexo feminino.</w:t>
      </w:r>
      <w:r w:rsidR="00767DF5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 xml:space="preserve"> </w:t>
      </w:r>
      <w:r w:rsidR="00767DF5">
        <w:rPr>
          <w:rFonts w:ascii="Book Antiqua" w:hAnsi="Book Antiqua"/>
          <w:b/>
          <w:color w:val="FF0000"/>
          <w:sz w:val="19"/>
          <w:szCs w:val="19"/>
          <w:u w:val="single"/>
        </w:rPr>
        <w:t>(PCAC-2017)</w:t>
      </w:r>
    </w:p>
    <w:tbl>
      <w:tblPr>
        <w:tblStyle w:val="Tabelacomgrade"/>
        <w:tblW w:w="0" w:type="auto"/>
        <w:shd w:val="clear" w:color="auto" w:fill="CCFFFF"/>
        <w:tblLook w:val="04A0" w:firstRow="1" w:lastRow="0" w:firstColumn="1" w:lastColumn="0" w:noHBand="0" w:noVBand="1"/>
      </w:tblPr>
      <w:tblGrid>
        <w:gridCol w:w="8494"/>
      </w:tblGrid>
      <w:tr w:rsidR="00DB1AAB" w:rsidRPr="0055678D" w14:paraId="3F64152D" w14:textId="77777777" w:rsidTr="00DD38E4">
        <w:tc>
          <w:tcPr>
            <w:tcW w:w="8494" w:type="dxa"/>
            <w:shd w:val="clear" w:color="auto" w:fill="CCFFFF"/>
          </w:tcPr>
          <w:p w14:paraId="666FD51B" w14:textId="77777777" w:rsidR="00DB1AAB" w:rsidRPr="0055678D" w:rsidRDefault="00DB1AAB" w:rsidP="00DB1AAB">
            <w:pPr>
              <w:jc w:val="both"/>
              <w:rPr>
                <w:rFonts w:ascii="Book Antiqua" w:eastAsia="Times New Roman" w:hAnsi="Book Antiqua" w:cs="Times New Roman"/>
                <w:color w:val="000000"/>
                <w:sz w:val="19"/>
                <w:szCs w:val="19"/>
                <w:lang w:eastAsia="pt-BR"/>
              </w:rPr>
            </w:pPr>
            <w:r w:rsidRPr="0055678D">
              <w:rPr>
                <w:rFonts w:ascii="Book Antiqua" w:eastAsia="Times New Roman" w:hAnsi="Book Antiqua" w:cs="Times New Roman"/>
                <w:b/>
                <w:i/>
                <w:color w:val="000000"/>
                <w:sz w:val="19"/>
                <w:szCs w:val="19"/>
                <w:highlight w:val="magenta"/>
                <w:u w:val="single"/>
                <w:lang w:eastAsia="pt-BR"/>
              </w:rPr>
              <w:t>OBS1</w:t>
            </w:r>
            <w:r w:rsidRPr="0055678D">
              <w:rPr>
                <w:rFonts w:ascii="Book Antiqua" w:eastAsia="Times New Roman" w:hAnsi="Book Antiqua" w:cs="Times New Roman"/>
                <w:color w:val="000000"/>
                <w:sz w:val="19"/>
                <w:szCs w:val="19"/>
                <w:lang w:eastAsia="pt-BR"/>
              </w:rPr>
              <w:t xml:space="preserve">: </w:t>
            </w:r>
            <w:r w:rsidRPr="0055678D">
              <w:rPr>
                <w:rFonts w:ascii="Book Antiqua" w:eastAsia="Times New Roman" w:hAnsi="Book Antiqua" w:cs="Times New Roman"/>
                <w:b/>
                <w:i/>
                <w:color w:val="000000"/>
                <w:sz w:val="19"/>
                <w:szCs w:val="19"/>
                <w:highlight w:val="yellow"/>
                <w:u w:val="single"/>
                <w:lang w:eastAsia="pt-BR"/>
              </w:rPr>
              <w:t>Revista íntima</w:t>
            </w:r>
            <w:r w:rsidRPr="0055678D">
              <w:rPr>
                <w:rFonts w:ascii="Book Antiqua" w:eastAsia="Times New Roman" w:hAnsi="Book Antiqua" w:cs="Times New Roman"/>
                <w:color w:val="000000"/>
                <w:sz w:val="19"/>
                <w:szCs w:val="19"/>
                <w:lang w:eastAsia="pt-BR"/>
              </w:rPr>
              <w:t xml:space="preserve"> é aquela feita mediante a toque ou exposição dos órgãos genitais da pessoa revistada. O texto legal menciona apenas </w:t>
            </w:r>
            <w:r w:rsidRPr="0055678D">
              <w:rPr>
                <w:rFonts w:ascii="Book Antiqua" w:eastAsia="Times New Roman" w:hAnsi="Book Antiqua" w:cs="Times New Roman"/>
                <w:b/>
                <w:i/>
                <w:color w:val="000000"/>
                <w:sz w:val="19"/>
                <w:szCs w:val="19"/>
                <w:highlight w:val="yellow"/>
                <w:lang w:eastAsia="pt-BR"/>
              </w:rPr>
              <w:t>"funcionárias e de clientes do sexo feminino"</w:t>
            </w:r>
            <w:r w:rsidRPr="0055678D">
              <w:rPr>
                <w:rFonts w:ascii="Book Antiqua" w:eastAsia="Times New Roman" w:hAnsi="Book Antiqua" w:cs="Times New Roman"/>
                <w:color w:val="000000"/>
                <w:sz w:val="19"/>
                <w:szCs w:val="19"/>
                <w:lang w:eastAsia="pt-BR"/>
              </w:rPr>
              <w:t>. No entanto, é óbvio que esta prática é proibida também em caso de funcionários e clientes do sexo masculino. O fato de a pessoa ser homem não significa que ela esteja sujeita à revista íntima vexatória.</w:t>
            </w:r>
          </w:p>
          <w:p w14:paraId="6B4F637E" w14:textId="77777777" w:rsidR="00DB1AAB" w:rsidRPr="0055678D" w:rsidRDefault="00DB1AAB" w:rsidP="00DB1AAB">
            <w:pPr>
              <w:jc w:val="both"/>
              <w:rPr>
                <w:rFonts w:ascii="Book Antiqua" w:eastAsia="Times New Roman" w:hAnsi="Book Antiqua" w:cs="Times New Roman"/>
                <w:color w:val="000000"/>
                <w:sz w:val="19"/>
                <w:szCs w:val="19"/>
                <w:lang w:eastAsia="pt-BR"/>
              </w:rPr>
            </w:pPr>
          </w:p>
          <w:p w14:paraId="5FA8CE2F" w14:textId="77777777" w:rsidR="00DB1AAB" w:rsidRPr="0055678D" w:rsidRDefault="00DB1AAB" w:rsidP="00DB1AAB">
            <w:pPr>
              <w:jc w:val="both"/>
              <w:rPr>
                <w:rFonts w:ascii="Book Antiqua" w:eastAsia="Times New Roman" w:hAnsi="Book Antiqua" w:cs="Times New Roman"/>
                <w:color w:val="000000"/>
                <w:sz w:val="19"/>
                <w:szCs w:val="19"/>
                <w:lang w:eastAsia="pt-BR"/>
              </w:rPr>
            </w:pPr>
            <w:r w:rsidRPr="0055678D">
              <w:rPr>
                <w:rFonts w:ascii="Book Antiqua" w:eastAsia="Times New Roman" w:hAnsi="Book Antiqua" w:cs="Times New Roman"/>
                <w:b/>
                <w:i/>
                <w:color w:val="000000"/>
                <w:sz w:val="19"/>
                <w:szCs w:val="19"/>
                <w:highlight w:val="magenta"/>
                <w:u w:val="single"/>
                <w:lang w:eastAsia="pt-BR"/>
              </w:rPr>
              <w:t>OBS2:</w:t>
            </w:r>
            <w:r w:rsidRPr="0055678D">
              <w:rPr>
                <w:rFonts w:ascii="Book Antiqua" w:eastAsia="Times New Roman" w:hAnsi="Book Antiqua" w:cs="Times New Roman"/>
                <w:b/>
                <w:i/>
                <w:color w:val="000000"/>
                <w:sz w:val="19"/>
                <w:szCs w:val="19"/>
                <w:lang w:eastAsia="pt-BR"/>
              </w:rPr>
              <w:t xml:space="preserve"> </w:t>
            </w:r>
            <w:r w:rsidRPr="0055678D">
              <w:rPr>
                <w:rFonts w:ascii="Book Antiqua" w:eastAsia="Times New Roman" w:hAnsi="Book Antiqua" w:cs="Times New Roman"/>
                <w:b/>
                <w:i/>
                <w:color w:val="000000"/>
                <w:sz w:val="19"/>
                <w:szCs w:val="19"/>
                <w:highlight w:val="yellow"/>
                <w:lang w:eastAsia="pt-BR"/>
              </w:rPr>
              <w:t>A Lei proíbe a revista íntima não apenas nas funcionárias</w:t>
            </w:r>
            <w:r w:rsidRPr="0055678D">
              <w:rPr>
                <w:rFonts w:ascii="Book Antiqua" w:eastAsia="Times New Roman" w:hAnsi="Book Antiqua" w:cs="Times New Roman"/>
                <w:color w:val="000000"/>
                <w:sz w:val="19"/>
                <w:szCs w:val="19"/>
                <w:lang w:eastAsia="pt-BR"/>
              </w:rPr>
              <w:t xml:space="preserve">, </w:t>
            </w:r>
            <w:r w:rsidRPr="0055678D">
              <w:rPr>
                <w:rFonts w:ascii="Book Antiqua" w:eastAsia="Times New Roman" w:hAnsi="Book Antiqua" w:cs="Times New Roman"/>
                <w:b/>
                <w:i/>
                <w:color w:val="000000"/>
                <w:sz w:val="19"/>
                <w:szCs w:val="19"/>
                <w:highlight w:val="yellow"/>
                <w:lang w:eastAsia="pt-BR"/>
              </w:rPr>
              <w:t>mas também nas clientes</w:t>
            </w:r>
            <w:r w:rsidRPr="0055678D">
              <w:rPr>
                <w:rFonts w:ascii="Book Antiqua" w:eastAsia="Times New Roman" w:hAnsi="Book Antiqua" w:cs="Times New Roman"/>
                <w:color w:val="000000"/>
                <w:sz w:val="19"/>
                <w:szCs w:val="19"/>
                <w:lang w:eastAsia="pt-BR"/>
              </w:rPr>
              <w:t>. Por mais absurdo que possa parecer, existem relatos de revistas íntimas realizadas em clientes. Já houve casos de pessoas suspeitas de furto em lojas de departamento que foram levadas a salas reservadas, onde foram submetidas a revistas pessoais a fim de se constatar se havia alguma mercadoria escondida. No passado, esta prática era comum em algumas empresas que trabalhavam com artigos valiosos, como fábricas de joias. Os funcionários e funcionárias, antes de sair da sede da empresa, eram submetidas a revistas íntimas. Hoje em dia devido a fiscalização dos órgãos de proteção ao empregado, tais situações são menos frequentes, mas ainda existem.</w:t>
            </w:r>
          </w:p>
          <w:p w14:paraId="69FAD330" w14:textId="77777777" w:rsidR="00DB1AAB" w:rsidRPr="0055678D" w:rsidRDefault="00DB1AAB" w:rsidP="00DB1AAB">
            <w:pPr>
              <w:jc w:val="both"/>
              <w:rPr>
                <w:rFonts w:ascii="Book Antiqua" w:eastAsia="Times New Roman" w:hAnsi="Book Antiqua" w:cs="Times New Roman"/>
                <w:color w:val="000000"/>
                <w:sz w:val="19"/>
                <w:szCs w:val="19"/>
                <w:lang w:eastAsia="pt-BR"/>
              </w:rPr>
            </w:pPr>
          </w:p>
          <w:p w14:paraId="5684CAC7" w14:textId="77777777" w:rsidR="00DB1AAB" w:rsidRPr="0055678D" w:rsidRDefault="00DB1AAB" w:rsidP="00DB1AAB">
            <w:pPr>
              <w:jc w:val="both"/>
              <w:rPr>
                <w:rFonts w:ascii="Book Antiqua" w:eastAsia="Times New Roman" w:hAnsi="Book Antiqua" w:cs="Times New Roman"/>
                <w:color w:val="000000"/>
                <w:sz w:val="19"/>
                <w:szCs w:val="19"/>
                <w:lang w:eastAsia="pt-BR"/>
              </w:rPr>
            </w:pPr>
            <w:r w:rsidRPr="0055678D">
              <w:rPr>
                <w:rFonts w:ascii="Book Antiqua" w:eastAsia="Times New Roman" w:hAnsi="Book Antiqua" w:cs="Times New Roman"/>
                <w:b/>
                <w:i/>
                <w:color w:val="000000"/>
                <w:sz w:val="19"/>
                <w:szCs w:val="19"/>
                <w:highlight w:val="magenta"/>
                <w:u w:val="single"/>
                <w:lang w:eastAsia="pt-BR"/>
              </w:rPr>
              <w:t>OBS3:</w:t>
            </w:r>
            <w:r w:rsidRPr="0055678D">
              <w:rPr>
                <w:rFonts w:ascii="Book Antiqua" w:eastAsia="Times New Roman" w:hAnsi="Book Antiqua" w:cs="Times New Roman"/>
                <w:color w:val="000000"/>
                <w:sz w:val="19"/>
                <w:szCs w:val="19"/>
                <w:lang w:eastAsia="pt-BR"/>
              </w:rPr>
              <w:t xml:space="preserve"> </w:t>
            </w:r>
            <w:r w:rsidRPr="0055678D">
              <w:rPr>
                <w:rFonts w:ascii="Book Antiqua" w:eastAsia="Times New Roman" w:hAnsi="Book Antiqua" w:cs="Times New Roman"/>
                <w:b/>
                <w:i/>
                <w:color w:val="000000"/>
                <w:sz w:val="19"/>
                <w:szCs w:val="19"/>
                <w:highlight w:val="yellow"/>
                <w:lang w:eastAsia="pt-BR"/>
              </w:rPr>
              <w:t>A revista pessoal continua sendo possível, desde que não seja "íntima"</w:t>
            </w:r>
            <w:r w:rsidRPr="0055678D">
              <w:rPr>
                <w:rFonts w:ascii="Book Antiqua" w:eastAsia="Times New Roman" w:hAnsi="Book Antiqua" w:cs="Times New Roman"/>
                <w:color w:val="000000"/>
                <w:sz w:val="19"/>
                <w:szCs w:val="19"/>
                <w:lang w:eastAsia="pt-BR"/>
              </w:rPr>
              <w:t>. Por exemplo, é possível a revista com o uso de equipamentos eletrônicos, detectores de metais, aparelhos de raio X, scanner corporal etc. É o caso de um banco que utilize detectores de metal. Nestes casos, é possível a revista porque não há violação à dignidade da pessoa revistada.</w:t>
            </w:r>
          </w:p>
        </w:tc>
      </w:tr>
    </w:tbl>
    <w:p w14:paraId="7D8D33DD" w14:textId="77777777" w:rsidR="006B68A2" w:rsidRPr="0055678D" w:rsidRDefault="006B68A2" w:rsidP="006B68A2">
      <w:pPr>
        <w:spacing w:before="300" w:after="300" w:line="240" w:lineRule="auto"/>
        <w:ind w:firstLine="570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bookmarkStart w:id="1" w:name="art3"/>
      <w:bookmarkEnd w:id="1"/>
      <w:r w:rsidRPr="0055678D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>Art. 2</w:t>
      </w:r>
      <w:r w:rsidRPr="0055678D">
        <w:rPr>
          <w:rFonts w:ascii="Book Antiqua" w:eastAsia="Times New Roman" w:hAnsi="Book Antiqua" w:cs="Times New Roman"/>
          <w:color w:val="000000"/>
          <w:sz w:val="19"/>
          <w:szCs w:val="19"/>
          <w:u w:val="single"/>
          <w:vertAlign w:val="superscript"/>
          <w:lang w:eastAsia="pt-BR"/>
        </w:rPr>
        <w:t>o</w:t>
      </w:r>
      <w:r w:rsidRPr="0055678D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 xml:space="preserve">  Pelo não cumprimento do art. 1</w:t>
      </w:r>
      <w:r w:rsidRPr="0055678D">
        <w:rPr>
          <w:rFonts w:ascii="Book Antiqua" w:eastAsia="Times New Roman" w:hAnsi="Book Antiqua" w:cs="Times New Roman"/>
          <w:color w:val="000000"/>
          <w:sz w:val="19"/>
          <w:szCs w:val="19"/>
          <w:u w:val="single"/>
          <w:vertAlign w:val="superscript"/>
          <w:lang w:eastAsia="pt-BR"/>
        </w:rPr>
        <w:t>o</w:t>
      </w:r>
      <w:r w:rsidRPr="0055678D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>, ficam os infratores sujeitos a:</w:t>
      </w:r>
    </w:p>
    <w:p w14:paraId="2D0BA14B" w14:textId="77777777" w:rsidR="006B68A2" w:rsidRPr="0055678D" w:rsidRDefault="006B68A2" w:rsidP="006B68A2">
      <w:pPr>
        <w:spacing w:before="300" w:after="300" w:line="240" w:lineRule="auto"/>
        <w:ind w:firstLine="570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55678D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>I - multa de R$ 20.000,00 (vinte mil reais) ao empregador, revertidos aos órgãos de proteção dos direitos da mulher;</w:t>
      </w:r>
    </w:p>
    <w:p w14:paraId="32378566" w14:textId="77777777" w:rsidR="006B68A2" w:rsidRPr="0055678D" w:rsidRDefault="006B68A2" w:rsidP="006B68A2">
      <w:pPr>
        <w:spacing w:before="300" w:after="300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55678D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>II - multa em dobro do valor estipulado no inciso I, em caso de reincidência, independentemente da indenização por danos morais e materiais e sanções de ordem penal.</w:t>
      </w:r>
    </w:p>
    <w:tbl>
      <w:tblPr>
        <w:tblStyle w:val="Tabelacomgrade"/>
        <w:tblW w:w="0" w:type="auto"/>
        <w:shd w:val="clear" w:color="auto" w:fill="CCFFFF"/>
        <w:tblLook w:val="04A0" w:firstRow="1" w:lastRow="0" w:firstColumn="1" w:lastColumn="0" w:noHBand="0" w:noVBand="1"/>
      </w:tblPr>
      <w:tblGrid>
        <w:gridCol w:w="8494"/>
      </w:tblGrid>
      <w:tr w:rsidR="00DB1AAB" w:rsidRPr="0055678D" w14:paraId="06A51EF7" w14:textId="77777777" w:rsidTr="00DB1AAB">
        <w:tc>
          <w:tcPr>
            <w:tcW w:w="8494" w:type="dxa"/>
            <w:shd w:val="clear" w:color="auto" w:fill="CCFFFF"/>
          </w:tcPr>
          <w:p w14:paraId="17057B04" w14:textId="77777777" w:rsidR="00DB1AAB" w:rsidRPr="0055678D" w:rsidRDefault="00DB1AAB" w:rsidP="00DB1AAB">
            <w:pPr>
              <w:jc w:val="both"/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</w:pPr>
            <w:r w:rsidRPr="0055678D">
              <w:rPr>
                <w:rFonts w:ascii="Book Antiqua" w:eastAsia="Times New Roman" w:hAnsi="Book Antiqua" w:cs="Times New Roman"/>
                <w:b/>
                <w:i/>
                <w:sz w:val="19"/>
                <w:szCs w:val="19"/>
                <w:highlight w:val="magenta"/>
                <w:u w:val="single"/>
                <w:lang w:eastAsia="pt-BR"/>
              </w:rPr>
              <w:t>OBS1</w:t>
            </w:r>
            <w:r w:rsidRPr="0055678D">
              <w:rPr>
                <w:rFonts w:ascii="Book Antiqua" w:eastAsia="Times New Roman" w:hAnsi="Book Antiqua" w:cs="Times New Roman"/>
                <w:sz w:val="19"/>
                <w:szCs w:val="19"/>
                <w:highlight w:val="magenta"/>
                <w:lang w:eastAsia="pt-BR"/>
              </w:rPr>
              <w:t>:</w:t>
            </w:r>
            <w:r w:rsidRPr="0055678D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 </w:t>
            </w:r>
            <w:r w:rsidRPr="0055678D"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  <w:t>Multa</w:t>
            </w:r>
            <w:r w:rsidRPr="0055678D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:</w:t>
            </w:r>
          </w:p>
          <w:p w14:paraId="484CFD94" w14:textId="77777777" w:rsidR="00DB1AAB" w:rsidRPr="0055678D" w:rsidRDefault="00DB1AAB" w:rsidP="00DB1AAB">
            <w:pPr>
              <w:jc w:val="both"/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</w:pPr>
            <w:r w:rsidRPr="0055678D">
              <w:rPr>
                <w:rFonts w:ascii="Book Antiqua" w:eastAsia="Times New Roman" w:hAnsi="Book Antiqua" w:cs="Times New Roman"/>
                <w:b/>
                <w:sz w:val="19"/>
                <w:szCs w:val="19"/>
                <w:highlight w:val="yellow"/>
                <w:lang w:eastAsia="pt-BR"/>
              </w:rPr>
              <w:t>1)</w:t>
            </w:r>
            <w:r w:rsidRPr="0055678D"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  <w:t xml:space="preserve"> R$ 20 mil em caso de primeira vez;</w:t>
            </w:r>
          </w:p>
          <w:p w14:paraId="4CA8E84A" w14:textId="77777777" w:rsidR="00DB1AAB" w:rsidRPr="0055678D" w:rsidRDefault="00DB1AAB" w:rsidP="00DB1AAB">
            <w:pPr>
              <w:jc w:val="both"/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</w:pPr>
            <w:r w:rsidRPr="0055678D">
              <w:rPr>
                <w:rFonts w:ascii="Book Antiqua" w:eastAsia="Times New Roman" w:hAnsi="Book Antiqua" w:cs="Times New Roman"/>
                <w:b/>
                <w:sz w:val="19"/>
                <w:szCs w:val="19"/>
                <w:highlight w:val="yellow"/>
                <w:lang w:eastAsia="pt-BR"/>
              </w:rPr>
              <w:t>2)</w:t>
            </w:r>
            <w:r w:rsidRPr="0055678D"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  <w:t xml:space="preserve"> R$ 40 mil em caso de reincidência.</w:t>
            </w:r>
          </w:p>
          <w:p w14:paraId="06E42A57" w14:textId="77777777" w:rsidR="00DB1AAB" w:rsidRPr="0055678D" w:rsidRDefault="00DB1AAB" w:rsidP="00DB1AAB">
            <w:pPr>
              <w:jc w:val="both"/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</w:pPr>
          </w:p>
          <w:p w14:paraId="7A38FBB5" w14:textId="77777777" w:rsidR="00DB1AAB" w:rsidRPr="0055678D" w:rsidRDefault="00DB1AAB" w:rsidP="00DB1AAB">
            <w:pPr>
              <w:jc w:val="both"/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</w:pPr>
            <w:r w:rsidRPr="0055678D">
              <w:rPr>
                <w:rFonts w:ascii="Book Antiqua" w:eastAsia="Times New Roman" w:hAnsi="Book Antiqua" w:cs="Times New Roman"/>
                <w:b/>
                <w:i/>
                <w:sz w:val="19"/>
                <w:szCs w:val="19"/>
                <w:highlight w:val="magenta"/>
                <w:u w:val="single"/>
                <w:lang w:eastAsia="pt-BR"/>
              </w:rPr>
              <w:t>OBS2:</w:t>
            </w:r>
            <w:r w:rsidRPr="0055678D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 Apesar de a Lei não utilizar a expressão "até R$ 20.000,00", </w:t>
            </w:r>
            <w:r w:rsidR="00225BF3" w:rsidRPr="0055678D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na opinião do </w:t>
            </w:r>
            <w:r w:rsidR="00225BF3" w:rsidRPr="0055678D">
              <w:rPr>
                <w:rFonts w:ascii="Book Antiqua" w:eastAsia="Times New Roman" w:hAnsi="Book Antiqua" w:cs="Times New Roman"/>
                <w:i/>
                <w:sz w:val="19"/>
                <w:szCs w:val="19"/>
                <w:lang w:eastAsia="pt-BR"/>
              </w:rPr>
              <w:t>site</w:t>
            </w:r>
            <w:r w:rsidR="00225BF3" w:rsidRPr="0055678D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 Dizer o Direito</w:t>
            </w:r>
            <w:r w:rsidRPr="0055678D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 é possível que haja uma gradação, de forma que este valor seja tido como um "teto". Isso porque viola o princípio da proporcionalidade que uma empresa com 1 funcionária que é submetida à revista íntima receba a mesma multa que uma outra que tenha 300 empregadas.</w:t>
            </w:r>
          </w:p>
          <w:p w14:paraId="771D401E" w14:textId="77777777" w:rsidR="00DB1AAB" w:rsidRPr="0055678D" w:rsidRDefault="00DB1AAB" w:rsidP="00DB1AAB">
            <w:pPr>
              <w:jc w:val="both"/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</w:pPr>
          </w:p>
          <w:p w14:paraId="3831B85C" w14:textId="77777777" w:rsidR="00DB1AAB" w:rsidRPr="0055678D" w:rsidRDefault="00225BF3" w:rsidP="00DB1AAB">
            <w:pPr>
              <w:jc w:val="both"/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</w:pPr>
            <w:r w:rsidRPr="0055678D">
              <w:rPr>
                <w:rFonts w:ascii="Book Antiqua" w:eastAsia="Times New Roman" w:hAnsi="Book Antiqua" w:cs="Times New Roman"/>
                <w:b/>
                <w:i/>
                <w:sz w:val="19"/>
                <w:szCs w:val="19"/>
                <w:highlight w:val="magenta"/>
                <w:u w:val="single"/>
                <w:lang w:eastAsia="pt-BR"/>
              </w:rPr>
              <w:t>OBS3:</w:t>
            </w:r>
            <w:r w:rsidRPr="0055678D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 </w:t>
            </w:r>
            <w:r w:rsidR="00DB1AAB" w:rsidRPr="0055678D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A multa pode ser aplicada tanto em sede administrativa (ex: Delegacia Regional do Trabalho) como também na esfera judicial (ex: ação civil pública proposta pelo MPT).</w:t>
            </w:r>
          </w:p>
          <w:p w14:paraId="667A65D4" w14:textId="77777777" w:rsidR="00DB1AAB" w:rsidRPr="0055678D" w:rsidRDefault="00DB1AAB" w:rsidP="00DB1AAB">
            <w:pPr>
              <w:jc w:val="both"/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</w:pPr>
          </w:p>
          <w:p w14:paraId="00A17001" w14:textId="77777777" w:rsidR="00DB1AAB" w:rsidRPr="0055678D" w:rsidRDefault="00225BF3" w:rsidP="00DB1AAB">
            <w:pPr>
              <w:jc w:val="both"/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</w:pPr>
            <w:r w:rsidRPr="0055678D">
              <w:rPr>
                <w:rFonts w:ascii="Book Antiqua" w:eastAsia="Times New Roman" w:hAnsi="Book Antiqua" w:cs="Times New Roman"/>
                <w:b/>
                <w:i/>
                <w:sz w:val="19"/>
                <w:szCs w:val="19"/>
                <w:highlight w:val="magenta"/>
                <w:u w:val="single"/>
                <w:lang w:eastAsia="pt-BR"/>
              </w:rPr>
              <w:t>OBS4</w:t>
            </w:r>
            <w:r w:rsidRPr="0055678D">
              <w:rPr>
                <w:rFonts w:ascii="Book Antiqua" w:eastAsia="Times New Roman" w:hAnsi="Book Antiqua" w:cs="Times New Roman"/>
                <w:sz w:val="19"/>
                <w:szCs w:val="19"/>
                <w:highlight w:val="magenta"/>
                <w:lang w:eastAsia="pt-BR"/>
              </w:rPr>
              <w:t>:</w:t>
            </w:r>
            <w:r w:rsidRPr="0055678D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 </w:t>
            </w:r>
            <w:r w:rsidR="00DB1AAB" w:rsidRPr="0055678D">
              <w:rPr>
                <w:rFonts w:ascii="Book Antiqua" w:eastAsia="Times New Roman" w:hAnsi="Book Antiqua" w:cs="Times New Roman"/>
                <w:b/>
                <w:i/>
                <w:sz w:val="19"/>
                <w:szCs w:val="19"/>
                <w:highlight w:val="yellow"/>
                <w:u w:val="single"/>
                <w:lang w:eastAsia="pt-BR"/>
              </w:rPr>
              <w:t>Além da multa, os infratores também poderão estar sujeitos à</w:t>
            </w:r>
            <w:r w:rsidR="00DB1AAB" w:rsidRPr="0055678D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:</w:t>
            </w:r>
          </w:p>
          <w:p w14:paraId="4C527EC0" w14:textId="77777777" w:rsidR="00DB1AAB" w:rsidRPr="0055678D" w:rsidRDefault="00DB1AAB" w:rsidP="00225BF3">
            <w:pPr>
              <w:pStyle w:val="PargrafodaLista"/>
              <w:numPr>
                <w:ilvl w:val="0"/>
                <w:numId w:val="1"/>
              </w:numPr>
              <w:jc w:val="both"/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</w:pPr>
            <w:r w:rsidRPr="0055678D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indenização por danos morais e materiais;</w:t>
            </w:r>
          </w:p>
          <w:p w14:paraId="13D561EC" w14:textId="77777777" w:rsidR="00DB1AAB" w:rsidRPr="0055678D" w:rsidRDefault="00DB1AAB" w:rsidP="00225BF3">
            <w:pPr>
              <w:pStyle w:val="PargrafodaLista"/>
              <w:numPr>
                <w:ilvl w:val="0"/>
                <w:numId w:val="1"/>
              </w:numPr>
              <w:jc w:val="both"/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</w:pPr>
            <w:r w:rsidRPr="0055678D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responsabilização criminal por eventuais delitos praticados (ex: estupro por conta de atos libidinosos perpetrados durante a revista íntima).</w:t>
            </w:r>
          </w:p>
          <w:p w14:paraId="7C1A5553" w14:textId="77777777" w:rsidR="00DB1AAB" w:rsidRPr="0055678D" w:rsidRDefault="00DB1AAB" w:rsidP="00DB1AAB">
            <w:pPr>
              <w:jc w:val="both"/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</w:pPr>
          </w:p>
          <w:p w14:paraId="19485301" w14:textId="77777777" w:rsidR="00DB1AAB" w:rsidRPr="0055678D" w:rsidRDefault="00225BF3" w:rsidP="00225BF3">
            <w:pPr>
              <w:jc w:val="both"/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</w:pPr>
            <w:r w:rsidRPr="0055678D">
              <w:rPr>
                <w:rFonts w:ascii="Book Antiqua" w:eastAsia="Times New Roman" w:hAnsi="Book Antiqua" w:cs="Times New Roman"/>
                <w:b/>
                <w:i/>
                <w:sz w:val="19"/>
                <w:szCs w:val="19"/>
                <w:highlight w:val="magenta"/>
                <w:u w:val="single"/>
                <w:lang w:eastAsia="pt-BR"/>
              </w:rPr>
              <w:t>OBS5:</w:t>
            </w:r>
            <w:r w:rsidRPr="0055678D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 </w:t>
            </w:r>
            <w:r w:rsidR="00DB1AAB" w:rsidRPr="0055678D">
              <w:rPr>
                <w:rFonts w:ascii="Book Antiqua" w:eastAsia="Times New Roman" w:hAnsi="Book Antiqua" w:cs="Times New Roman"/>
                <w:b/>
                <w:i/>
                <w:sz w:val="19"/>
                <w:szCs w:val="19"/>
                <w:highlight w:val="yellow"/>
                <w:lang w:eastAsia="pt-BR"/>
              </w:rPr>
              <w:t>Apesar de a indenização e a responsabilização só estarem descritas no inciso II</w:t>
            </w:r>
            <w:r w:rsidR="00DB1AAB" w:rsidRPr="0055678D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 do art. 2º da Lei, </w:t>
            </w:r>
            <w:r w:rsidR="00DB1AAB" w:rsidRPr="0055678D">
              <w:rPr>
                <w:rFonts w:ascii="Book Antiqua" w:eastAsia="Times New Roman" w:hAnsi="Book Antiqua" w:cs="Times New Roman"/>
                <w:b/>
                <w:i/>
                <w:sz w:val="19"/>
                <w:szCs w:val="19"/>
                <w:highlight w:val="yellow"/>
                <w:lang w:eastAsia="pt-BR"/>
              </w:rPr>
              <w:t>é certo que elas também poderão ser aplicadas desde a primeira vez que o infrator praticar a revista íntima</w:t>
            </w:r>
            <w:r w:rsidR="00DB1AAB" w:rsidRPr="0055678D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. Em outras palavras, não é necessário que o infrator seja reincidente (inciso II) para que possa ser condenado por danos morais e materiais ou que possa ser processado criminalmente. Ainda que não houvesse o inciso II, o transgressor poderia ser condenado a ressarcir e poderia responder por crime. Isso porque </w:t>
            </w:r>
            <w:r w:rsidR="00DB1AAB" w:rsidRPr="0055678D">
              <w:rPr>
                <w:rFonts w:ascii="Book Antiqua" w:eastAsia="Times New Roman" w:hAnsi="Book Antiqua" w:cs="Times New Roman"/>
                <w:b/>
                <w:i/>
                <w:sz w:val="19"/>
                <w:szCs w:val="19"/>
                <w:highlight w:val="yellow"/>
                <w:lang w:eastAsia="pt-BR"/>
              </w:rPr>
              <w:t>tais sanções não decorrem da Lei nº 13271/16 já existindo antes mesmo de sua ed</w:t>
            </w:r>
            <w:r w:rsidRPr="0055678D">
              <w:rPr>
                <w:rFonts w:ascii="Book Antiqua" w:eastAsia="Times New Roman" w:hAnsi="Book Antiqua" w:cs="Times New Roman"/>
                <w:b/>
                <w:i/>
                <w:sz w:val="19"/>
                <w:szCs w:val="19"/>
                <w:highlight w:val="yellow"/>
                <w:lang w:eastAsia="pt-BR"/>
              </w:rPr>
              <w:t>ição</w:t>
            </w:r>
            <w:r w:rsidRPr="0055678D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. A única novidade da Lei</w:t>
            </w:r>
            <w:r w:rsidR="00DB1AAB" w:rsidRPr="0055678D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 13271/16 foi ter previsto a multa.</w:t>
            </w:r>
          </w:p>
        </w:tc>
      </w:tr>
    </w:tbl>
    <w:p w14:paraId="07A195CB" w14:textId="77777777" w:rsidR="006B68A2" w:rsidRPr="0055678D" w:rsidRDefault="006B68A2" w:rsidP="006B68A2">
      <w:pPr>
        <w:spacing w:before="300" w:after="300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bookmarkStart w:id="2" w:name="art4"/>
      <w:bookmarkEnd w:id="2"/>
      <w:r w:rsidRPr="0055678D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lastRenderedPageBreak/>
        <w:t>Art. 3</w:t>
      </w:r>
      <w:r w:rsidRPr="0055678D">
        <w:rPr>
          <w:rFonts w:ascii="Book Antiqua" w:eastAsia="Times New Roman" w:hAnsi="Book Antiqua" w:cs="Times New Roman"/>
          <w:color w:val="000000"/>
          <w:sz w:val="19"/>
          <w:szCs w:val="19"/>
          <w:u w:val="single"/>
          <w:vertAlign w:val="superscript"/>
          <w:lang w:eastAsia="pt-BR"/>
        </w:rPr>
        <w:t>o</w:t>
      </w:r>
      <w:r w:rsidRPr="0055678D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 xml:space="preserve">  (VETADO).</w:t>
      </w:r>
    </w:p>
    <w:tbl>
      <w:tblPr>
        <w:tblStyle w:val="Tabelacomgrade"/>
        <w:tblW w:w="0" w:type="auto"/>
        <w:shd w:val="clear" w:color="auto" w:fill="CCFFFF"/>
        <w:tblLook w:val="04A0" w:firstRow="1" w:lastRow="0" w:firstColumn="1" w:lastColumn="0" w:noHBand="0" w:noVBand="1"/>
      </w:tblPr>
      <w:tblGrid>
        <w:gridCol w:w="8494"/>
      </w:tblGrid>
      <w:tr w:rsidR="00225BF3" w:rsidRPr="0055678D" w14:paraId="5EDA9464" w14:textId="77777777" w:rsidTr="00225BF3">
        <w:tc>
          <w:tcPr>
            <w:tcW w:w="8494" w:type="dxa"/>
            <w:shd w:val="clear" w:color="auto" w:fill="CCFFFF"/>
          </w:tcPr>
          <w:p w14:paraId="5CFC38BA" w14:textId="77777777" w:rsidR="00225BF3" w:rsidRPr="0055678D" w:rsidRDefault="00225BF3" w:rsidP="00225BF3">
            <w:pPr>
              <w:jc w:val="both"/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</w:pPr>
            <w:r w:rsidRPr="0055678D">
              <w:rPr>
                <w:rFonts w:ascii="Book Antiqua" w:eastAsia="Times New Roman" w:hAnsi="Book Antiqua" w:cs="Times New Roman"/>
                <w:b/>
                <w:i/>
                <w:sz w:val="19"/>
                <w:szCs w:val="19"/>
                <w:highlight w:val="magenta"/>
                <w:u w:val="single"/>
                <w:lang w:eastAsia="pt-BR"/>
              </w:rPr>
              <w:t>OBS1:</w:t>
            </w:r>
            <w:r w:rsidRPr="0055678D">
              <w:rPr>
                <w:rFonts w:ascii="Book Antiqua" w:eastAsia="Times New Roman" w:hAnsi="Book Antiqua" w:cs="Times New Roman"/>
                <w:b/>
                <w:i/>
                <w:sz w:val="19"/>
                <w:szCs w:val="19"/>
                <w:lang w:eastAsia="pt-BR"/>
              </w:rPr>
              <w:t xml:space="preserve">  </w:t>
            </w:r>
            <w:r w:rsidRPr="0055678D">
              <w:rPr>
                <w:rFonts w:ascii="Book Antiqua" w:eastAsia="Times New Roman" w:hAnsi="Book Antiqua" w:cs="Times New Roman"/>
                <w:b/>
                <w:i/>
                <w:sz w:val="19"/>
                <w:szCs w:val="19"/>
                <w:u w:val="single"/>
                <w:lang w:eastAsia="pt-BR"/>
              </w:rPr>
              <w:t>Revista íntima em presídios:</w:t>
            </w:r>
            <w:r w:rsidRPr="0055678D">
              <w:rPr>
                <w:rFonts w:ascii="Book Antiqua" w:eastAsia="Times New Roman" w:hAnsi="Book Antiqua" w:cs="Times New Roman"/>
                <w:b/>
                <w:i/>
                <w:sz w:val="19"/>
                <w:szCs w:val="19"/>
                <w:lang w:eastAsia="pt-BR"/>
              </w:rPr>
              <w:t xml:space="preserve"> </w:t>
            </w:r>
            <w:r w:rsidRPr="0055678D">
              <w:rPr>
                <w:rFonts w:ascii="Book Antiqua" w:eastAsia="Times New Roman" w:hAnsi="Book Antiqua" w:cs="Times New Roman"/>
                <w:b/>
                <w:i/>
                <w:sz w:val="19"/>
                <w:szCs w:val="19"/>
                <w:highlight w:val="yellow"/>
                <w:u w:val="single"/>
                <w:lang w:eastAsia="pt-BR"/>
              </w:rPr>
              <w:t>É possível a revista íntima em presídios?</w:t>
            </w:r>
          </w:p>
          <w:p w14:paraId="53192950" w14:textId="77777777" w:rsidR="00225BF3" w:rsidRPr="0055678D" w:rsidRDefault="00225BF3" w:rsidP="00225BF3">
            <w:pPr>
              <w:jc w:val="both"/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</w:pPr>
            <w:r w:rsidRPr="0055678D"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  <w:t xml:space="preserve">Sobre o tema, </w:t>
            </w:r>
            <w:r w:rsidRPr="0055678D">
              <w:rPr>
                <w:rFonts w:ascii="Book Antiqua" w:eastAsia="Times New Roman" w:hAnsi="Book Antiqua" w:cs="Times New Roman"/>
                <w:b/>
                <w:sz w:val="19"/>
                <w:szCs w:val="19"/>
                <w:u w:val="single"/>
                <w:lang w:eastAsia="pt-BR"/>
              </w:rPr>
              <w:t>existem duas correntes</w:t>
            </w:r>
            <w:r w:rsidRPr="0055678D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:</w:t>
            </w:r>
          </w:p>
          <w:p w14:paraId="0752B191" w14:textId="77777777" w:rsidR="00225BF3" w:rsidRPr="0055678D" w:rsidRDefault="00225BF3" w:rsidP="00225BF3">
            <w:pPr>
              <w:jc w:val="both"/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</w:pPr>
            <w:r w:rsidRPr="0055678D">
              <w:rPr>
                <w:rFonts w:ascii="Book Antiqua" w:eastAsia="Times New Roman" w:hAnsi="Book Antiqua" w:cs="Times New Roman"/>
                <w:b/>
                <w:sz w:val="19"/>
                <w:szCs w:val="19"/>
                <w:highlight w:val="green"/>
                <w:lang w:eastAsia="pt-BR"/>
              </w:rPr>
              <w:t>1ª)</w:t>
            </w:r>
            <w:r w:rsidRPr="0055678D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 </w:t>
            </w:r>
            <w:r w:rsidRPr="0055678D"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  <w:t>Sim</w:t>
            </w:r>
            <w:r w:rsidRPr="0055678D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, é possível com base em uma ponderação de interesses já que existe uma necessidade de que seja controlada a entrada de produtos proibidos nos presídios, em especial drogas e armas, de forma que imperativos de segurança pública autorizariam a medida, desde que tomadas certas cautelas, como o fato de que esta revista, se feita em mulheres, deverá ser realizada por agentes públicos do sexo feminino.</w:t>
            </w:r>
          </w:p>
          <w:p w14:paraId="0A72B071" w14:textId="77777777" w:rsidR="00225BF3" w:rsidRPr="0055678D" w:rsidRDefault="00225BF3" w:rsidP="00225BF3">
            <w:pPr>
              <w:jc w:val="both"/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</w:pPr>
          </w:p>
          <w:p w14:paraId="6CE78B55" w14:textId="77777777" w:rsidR="00225BF3" w:rsidRPr="0055678D" w:rsidRDefault="00225BF3" w:rsidP="00225BF3">
            <w:pPr>
              <w:jc w:val="both"/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</w:pPr>
            <w:r w:rsidRPr="0055678D">
              <w:rPr>
                <w:rFonts w:ascii="Book Antiqua" w:eastAsia="Times New Roman" w:hAnsi="Book Antiqua" w:cs="Times New Roman"/>
                <w:b/>
                <w:sz w:val="19"/>
                <w:szCs w:val="19"/>
                <w:highlight w:val="green"/>
                <w:lang w:eastAsia="pt-BR"/>
              </w:rPr>
              <w:t>2ª)</w:t>
            </w:r>
            <w:r w:rsidRPr="0055678D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 </w:t>
            </w:r>
            <w:r w:rsidRPr="0055678D">
              <w:rPr>
                <w:rFonts w:ascii="Book Antiqua" w:eastAsia="Times New Roman" w:hAnsi="Book Antiqua" w:cs="Times New Roman"/>
                <w:sz w:val="19"/>
                <w:szCs w:val="19"/>
                <w:highlight w:val="green"/>
                <w:lang w:eastAsia="pt-BR"/>
              </w:rPr>
              <w:t>Não</w:t>
            </w:r>
            <w:r w:rsidRPr="0055678D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. A revista íntima é vexatória e atenta contra a dignidade da pessoa humana. </w:t>
            </w:r>
          </w:p>
          <w:p w14:paraId="09D92322" w14:textId="77777777" w:rsidR="00225BF3" w:rsidRPr="0055678D" w:rsidRDefault="00225BF3" w:rsidP="00225BF3">
            <w:pPr>
              <w:jc w:val="both"/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</w:pPr>
          </w:p>
          <w:p w14:paraId="6A258E84" w14:textId="77777777" w:rsidR="00225BF3" w:rsidRPr="0055678D" w:rsidRDefault="00225BF3" w:rsidP="00225BF3">
            <w:pPr>
              <w:jc w:val="both"/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</w:pPr>
            <w:r w:rsidRPr="0055678D">
              <w:rPr>
                <w:rFonts w:ascii="Book Antiqua" w:eastAsia="Times New Roman" w:hAnsi="Book Antiqua" w:cs="Times New Roman"/>
                <w:b/>
                <w:i/>
                <w:sz w:val="19"/>
                <w:szCs w:val="19"/>
                <w:highlight w:val="magenta"/>
                <w:u w:val="single"/>
                <w:lang w:eastAsia="pt-BR"/>
              </w:rPr>
              <w:t>OBS2:</w:t>
            </w:r>
            <w:r w:rsidRPr="0055678D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 A Lei 13271/16 tratava timidamente sobre o tema no seu art. 3º, adotando o raciocínio exposto na primeira corrente acima. Veja o que previa o dispositivo: </w:t>
            </w:r>
          </w:p>
          <w:p w14:paraId="3DD93C83" w14:textId="77777777" w:rsidR="00225BF3" w:rsidRPr="0055678D" w:rsidRDefault="00225BF3" w:rsidP="00225BF3">
            <w:pPr>
              <w:jc w:val="both"/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</w:pPr>
          </w:p>
          <w:p w14:paraId="51F35045" w14:textId="77777777" w:rsidR="00225BF3" w:rsidRPr="0055678D" w:rsidRDefault="00225BF3" w:rsidP="00225BF3">
            <w:pPr>
              <w:ind w:left="1730"/>
              <w:jc w:val="both"/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</w:pPr>
            <w:r w:rsidRPr="0055678D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Art. 3º Nos casos previstos em lei, para revistas em ambientes prisionais e sob investigação policial, a revista será unicamente realizada por funcionários servidores femininos.</w:t>
            </w:r>
          </w:p>
          <w:p w14:paraId="7E5B495E" w14:textId="77777777" w:rsidR="00225BF3" w:rsidRPr="0055678D" w:rsidRDefault="00225BF3" w:rsidP="00225BF3">
            <w:pPr>
              <w:jc w:val="both"/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</w:pPr>
          </w:p>
          <w:p w14:paraId="0F1AA758" w14:textId="77777777" w:rsidR="00225BF3" w:rsidRPr="0055678D" w:rsidRDefault="00225BF3" w:rsidP="00225BF3">
            <w:pPr>
              <w:jc w:val="both"/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</w:pPr>
            <w:r w:rsidRPr="0055678D">
              <w:rPr>
                <w:rFonts w:ascii="Book Antiqua" w:eastAsia="Times New Roman" w:hAnsi="Book Antiqua" w:cs="Times New Roman"/>
                <w:b/>
                <w:i/>
                <w:sz w:val="19"/>
                <w:szCs w:val="19"/>
                <w:u w:val="single"/>
                <w:lang w:eastAsia="pt-BR"/>
              </w:rPr>
              <w:t>Ocorre que este art. 3º foi vetado pela Presidente da República com base na seguinte justificativa</w:t>
            </w:r>
            <w:r w:rsidRPr="0055678D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: "A redação do dispositivo possibilitaria interpretação no sentido de ser permitida a revista íntima nos estabelecimentos prisionais. Além disso, permitiria interpretação de que quaisquer revistas seriam realizadas unicamente por servidores femininos, tanto em pessoas do sexo masculino quanto do feminino."</w:t>
            </w:r>
          </w:p>
          <w:p w14:paraId="0C9288C1" w14:textId="77777777" w:rsidR="00225BF3" w:rsidRPr="0055678D" w:rsidRDefault="00225BF3" w:rsidP="00225BF3">
            <w:pPr>
              <w:jc w:val="both"/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</w:pPr>
          </w:p>
          <w:p w14:paraId="6C9506EA" w14:textId="77777777" w:rsidR="00225BF3" w:rsidRPr="0055678D" w:rsidRDefault="00225BF3" w:rsidP="00225BF3">
            <w:pPr>
              <w:jc w:val="both"/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</w:pPr>
            <w:r w:rsidRPr="0055678D">
              <w:rPr>
                <w:rFonts w:ascii="Book Antiqua" w:eastAsia="Times New Roman" w:hAnsi="Book Antiqua" w:cs="Times New Roman"/>
                <w:b/>
                <w:i/>
                <w:sz w:val="19"/>
                <w:szCs w:val="19"/>
                <w:u w:val="single"/>
                <w:lang w:eastAsia="pt-BR"/>
              </w:rPr>
              <w:t>Principal objetivo do veto</w:t>
            </w:r>
            <w:r w:rsidRPr="0055678D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: Foi o de evitar que a Lei passasse a adotar expressamente a 1ª corrente. Isso porque se o art. 3º permanecesse estaria autorizada, por lei federal, a revista íntima em presídios, desde que feita por servidora do sexo feminino. Com o veto, a questão continua sem disciplina expressa na legislação federal.</w:t>
            </w:r>
          </w:p>
          <w:p w14:paraId="2C371EB1" w14:textId="77777777" w:rsidR="00225BF3" w:rsidRPr="0055678D" w:rsidRDefault="00225BF3" w:rsidP="00225BF3">
            <w:pPr>
              <w:jc w:val="both"/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</w:pPr>
          </w:p>
          <w:p w14:paraId="59A1447D" w14:textId="77777777" w:rsidR="00225BF3" w:rsidRPr="0055678D" w:rsidRDefault="00225BF3" w:rsidP="00225BF3">
            <w:pPr>
              <w:jc w:val="both"/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</w:pPr>
            <w:r w:rsidRPr="0055678D">
              <w:rPr>
                <w:rFonts w:ascii="Book Antiqua" w:eastAsia="Times New Roman" w:hAnsi="Book Antiqua" w:cs="Times New Roman"/>
                <w:b/>
                <w:i/>
                <w:sz w:val="19"/>
                <w:szCs w:val="19"/>
                <w:highlight w:val="magenta"/>
                <w:u w:val="single"/>
                <w:lang w:eastAsia="pt-BR"/>
              </w:rPr>
              <w:t>OBS3:</w:t>
            </w:r>
            <w:r w:rsidRPr="0055678D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 Os partidários da 1ª corrente permanecerão sustentando que é possível com base na ponderação de interesses. Os filiados à 2ª corrente, por sua vez, afirmarão que o veto é mais uma demonstração inequívoca de que é proibida a revista íntima nos presídios.</w:t>
            </w:r>
          </w:p>
          <w:p w14:paraId="1ACD6799" w14:textId="77777777" w:rsidR="00225BF3" w:rsidRPr="0055678D" w:rsidRDefault="00225BF3" w:rsidP="00225BF3">
            <w:pPr>
              <w:jc w:val="both"/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</w:pPr>
          </w:p>
          <w:p w14:paraId="550C198B" w14:textId="77777777" w:rsidR="00225BF3" w:rsidRPr="0055678D" w:rsidRDefault="00A05A94" w:rsidP="00225BF3">
            <w:pPr>
              <w:jc w:val="both"/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</w:pPr>
            <w:r w:rsidRPr="0055678D">
              <w:rPr>
                <w:rFonts w:ascii="Book Antiqua" w:eastAsia="Times New Roman" w:hAnsi="Book Antiqua" w:cs="Times New Roman"/>
                <w:b/>
                <w:i/>
                <w:sz w:val="19"/>
                <w:szCs w:val="19"/>
                <w:highlight w:val="magenta"/>
                <w:u w:val="single"/>
                <w:lang w:eastAsia="pt-BR"/>
              </w:rPr>
              <w:t>OBS4:</w:t>
            </w:r>
            <w:r w:rsidRPr="0055678D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 </w:t>
            </w:r>
            <w:r w:rsidR="00225BF3" w:rsidRPr="0055678D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Alguns Estados editaram leis estaduais proibindo as revistas íntimas. Em outros locais, a medida é proibida por força de decisões judiciais em ações civis públicas propostas pela Defensoria Pública ou pelo próprio Ministério Público.</w:t>
            </w:r>
          </w:p>
          <w:p w14:paraId="4C3CD5D8" w14:textId="77777777" w:rsidR="00225BF3" w:rsidRPr="0055678D" w:rsidRDefault="00225BF3" w:rsidP="00225BF3">
            <w:pPr>
              <w:jc w:val="both"/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</w:pPr>
          </w:p>
          <w:p w14:paraId="54E48BF8" w14:textId="77777777" w:rsidR="00225BF3" w:rsidRPr="0055678D" w:rsidRDefault="00A05A94" w:rsidP="00A05A94">
            <w:pPr>
              <w:jc w:val="both"/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</w:pPr>
            <w:r w:rsidRPr="0055678D">
              <w:rPr>
                <w:rFonts w:ascii="Book Antiqua" w:eastAsia="Times New Roman" w:hAnsi="Book Antiqua" w:cs="Times New Roman"/>
                <w:b/>
                <w:i/>
                <w:sz w:val="19"/>
                <w:szCs w:val="19"/>
                <w:highlight w:val="magenta"/>
                <w:u w:val="single"/>
                <w:lang w:eastAsia="pt-BR"/>
              </w:rPr>
              <w:t>OBS5:</w:t>
            </w:r>
            <w:r w:rsidR="00225BF3" w:rsidRPr="0055678D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 </w:t>
            </w:r>
            <w:r w:rsidRPr="0055678D">
              <w:rPr>
                <w:rFonts w:ascii="Book Antiqua" w:eastAsia="Times New Roman" w:hAnsi="Book Antiqua" w:cs="Times New Roman"/>
                <w:b/>
                <w:i/>
                <w:sz w:val="19"/>
                <w:szCs w:val="19"/>
                <w:highlight w:val="yellow"/>
                <w:lang w:eastAsia="pt-BR"/>
              </w:rPr>
              <w:t xml:space="preserve">A </w:t>
            </w:r>
            <w:r w:rsidR="00225BF3" w:rsidRPr="0055678D">
              <w:rPr>
                <w:rFonts w:ascii="Book Antiqua" w:eastAsia="Times New Roman" w:hAnsi="Book Antiqua" w:cs="Times New Roman"/>
                <w:b/>
                <w:i/>
                <w:sz w:val="19"/>
                <w:szCs w:val="19"/>
                <w:highlight w:val="yellow"/>
                <w:lang w:eastAsia="pt-BR"/>
              </w:rPr>
              <w:t>revista íntima não é sinônimo de revista pessoal</w:t>
            </w:r>
            <w:r w:rsidR="00225BF3" w:rsidRPr="0055678D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. Não há dúvidas de que a revista pessoal é permitida, se não for íntima. É o caso, por exemplo, da utilização de scanners corporais ou detectores de metais, que são exemplos de revista pessoal, mas não íntima.</w:t>
            </w:r>
          </w:p>
        </w:tc>
      </w:tr>
    </w:tbl>
    <w:p w14:paraId="027B9E5E" w14:textId="77777777" w:rsidR="006B68A2" w:rsidRPr="0055678D" w:rsidRDefault="006B68A2" w:rsidP="006B68A2">
      <w:pPr>
        <w:spacing w:before="300" w:after="300" w:line="240" w:lineRule="auto"/>
        <w:ind w:firstLine="570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bookmarkStart w:id="3" w:name="art5"/>
      <w:bookmarkEnd w:id="3"/>
      <w:r w:rsidRPr="0055678D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>Art. 4</w:t>
      </w:r>
      <w:r w:rsidRPr="0055678D">
        <w:rPr>
          <w:rFonts w:ascii="Book Antiqua" w:eastAsia="Times New Roman" w:hAnsi="Book Antiqua" w:cs="Times New Roman"/>
          <w:color w:val="000000"/>
          <w:sz w:val="19"/>
          <w:szCs w:val="19"/>
          <w:u w:val="single"/>
          <w:vertAlign w:val="superscript"/>
          <w:lang w:eastAsia="pt-BR"/>
        </w:rPr>
        <w:t>o</w:t>
      </w:r>
      <w:r w:rsidRPr="0055678D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 xml:space="preserve">  Esta Lei entra em vigor na data de sua publicação.</w:t>
      </w:r>
    </w:p>
    <w:p w14:paraId="5B772E0D" w14:textId="77777777" w:rsidR="006B68A2" w:rsidRPr="0055678D" w:rsidRDefault="006B68A2" w:rsidP="006B68A2">
      <w:pPr>
        <w:spacing w:before="300" w:after="300" w:line="240" w:lineRule="auto"/>
        <w:ind w:firstLine="570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55678D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>Brasília,  15  de  abril  de 2016; 195</w:t>
      </w:r>
      <w:r w:rsidRPr="0055678D">
        <w:rPr>
          <w:rFonts w:ascii="Book Antiqua" w:eastAsia="Times New Roman" w:hAnsi="Book Antiqua" w:cs="Times New Roman"/>
          <w:color w:val="000000"/>
          <w:sz w:val="19"/>
          <w:szCs w:val="19"/>
          <w:u w:val="single"/>
          <w:vertAlign w:val="superscript"/>
          <w:lang w:eastAsia="pt-BR"/>
        </w:rPr>
        <w:t>o</w:t>
      </w:r>
      <w:r w:rsidRPr="0055678D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 xml:space="preserve"> da Independência e 128</w:t>
      </w:r>
      <w:r w:rsidRPr="0055678D">
        <w:rPr>
          <w:rFonts w:ascii="Book Antiqua" w:eastAsia="Times New Roman" w:hAnsi="Book Antiqua" w:cs="Times New Roman"/>
          <w:color w:val="000000"/>
          <w:sz w:val="19"/>
          <w:szCs w:val="19"/>
          <w:u w:val="single"/>
          <w:vertAlign w:val="superscript"/>
          <w:lang w:eastAsia="pt-BR"/>
        </w:rPr>
        <w:t>o</w:t>
      </w:r>
      <w:r w:rsidRPr="0055678D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 xml:space="preserve"> da República.</w:t>
      </w:r>
    </w:p>
    <w:p w14:paraId="062E8185" w14:textId="77777777" w:rsidR="006B68A2" w:rsidRPr="0055678D" w:rsidRDefault="006B68A2" w:rsidP="006B68A2">
      <w:pPr>
        <w:spacing w:before="100" w:beforeAutospacing="1" w:after="100" w:afterAutospacing="1" w:line="240" w:lineRule="auto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55678D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lastRenderedPageBreak/>
        <w:t>DILMA ROUSSEFF</w:t>
      </w:r>
      <w:r w:rsidRPr="0055678D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br/>
      </w:r>
      <w:r w:rsidRPr="0055678D">
        <w:rPr>
          <w:rFonts w:ascii="Book Antiqua" w:eastAsia="Times New Roman" w:hAnsi="Book Antiqua" w:cs="Times New Roman"/>
          <w:i/>
          <w:iCs/>
          <w:color w:val="000000"/>
          <w:sz w:val="19"/>
          <w:szCs w:val="19"/>
          <w:lang w:eastAsia="pt-BR"/>
        </w:rPr>
        <w:t>Eugênio José Guilherme de Aragão</w:t>
      </w:r>
    </w:p>
    <w:p w14:paraId="412B78CC" w14:textId="77777777" w:rsidR="006B68A2" w:rsidRPr="0055678D" w:rsidRDefault="006B68A2" w:rsidP="006B68A2">
      <w:pPr>
        <w:spacing w:before="100" w:beforeAutospacing="1" w:after="100" w:afterAutospacing="1" w:line="240" w:lineRule="auto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55678D">
        <w:rPr>
          <w:rFonts w:ascii="Book Antiqua" w:eastAsia="Times New Roman" w:hAnsi="Book Antiqua" w:cs="Times New Roman"/>
          <w:color w:val="FF0000"/>
          <w:sz w:val="19"/>
          <w:szCs w:val="19"/>
          <w:lang w:eastAsia="pt-BR"/>
        </w:rPr>
        <w:t>Este texto não substitui o publicado no DOU de 18.4.2016</w:t>
      </w:r>
    </w:p>
    <w:p w14:paraId="3BC60DC4" w14:textId="77777777" w:rsidR="006B68A2" w:rsidRPr="0055678D" w:rsidRDefault="006B68A2" w:rsidP="006B68A2">
      <w:pPr>
        <w:spacing w:before="100" w:beforeAutospacing="1" w:after="100" w:afterAutospacing="1" w:line="240" w:lineRule="auto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55678D">
        <w:rPr>
          <w:rFonts w:ascii="Book Antiqua" w:eastAsia="Times New Roman" w:hAnsi="Book Antiqua" w:cs="Times New Roman"/>
          <w:sz w:val="19"/>
          <w:szCs w:val="19"/>
          <w:lang w:eastAsia="pt-BR"/>
        </w:rPr>
        <w:t> </w:t>
      </w:r>
    </w:p>
    <w:p w14:paraId="380AE202" w14:textId="77777777" w:rsidR="006B68A2" w:rsidRPr="0055678D" w:rsidRDefault="006B68A2" w:rsidP="006B68A2">
      <w:pPr>
        <w:spacing w:before="100" w:beforeAutospacing="1" w:after="100" w:afterAutospacing="1" w:line="240" w:lineRule="auto"/>
        <w:rPr>
          <w:rFonts w:ascii="Book Antiqua" w:eastAsia="Times New Roman" w:hAnsi="Book Antiqua" w:cs="Times New Roman"/>
          <w:sz w:val="19"/>
          <w:szCs w:val="19"/>
          <w:lang w:eastAsia="pt-BR"/>
        </w:rPr>
      </w:pPr>
    </w:p>
    <w:p w14:paraId="148D3D59" w14:textId="77777777" w:rsidR="006B68A2" w:rsidRPr="0055678D" w:rsidRDefault="006B68A2" w:rsidP="006B68A2">
      <w:pPr>
        <w:spacing w:before="100" w:beforeAutospacing="1" w:after="100" w:afterAutospacing="1" w:line="240" w:lineRule="auto"/>
        <w:rPr>
          <w:rFonts w:ascii="Book Antiqua" w:eastAsia="Times New Roman" w:hAnsi="Book Antiqua" w:cs="Times New Roman"/>
          <w:sz w:val="19"/>
          <w:szCs w:val="19"/>
          <w:lang w:eastAsia="pt-BR"/>
        </w:rPr>
      </w:pPr>
    </w:p>
    <w:p w14:paraId="097731EA" w14:textId="77777777" w:rsidR="006B68A2" w:rsidRPr="0055678D" w:rsidRDefault="006B68A2" w:rsidP="006B68A2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55678D">
        <w:rPr>
          <w:rFonts w:ascii="Book Antiqua" w:eastAsia="Times New Roman" w:hAnsi="Book Antiqua" w:cs="Times New Roman"/>
          <w:sz w:val="19"/>
          <w:szCs w:val="19"/>
          <w:lang w:eastAsia="pt-BR"/>
        </w:rPr>
        <w:t> </w:t>
      </w:r>
    </w:p>
    <w:p w14:paraId="3CC2826C" w14:textId="77777777" w:rsidR="00DD7E38" w:rsidRPr="0055678D" w:rsidRDefault="00DD7E38" w:rsidP="00A05A94">
      <w:pPr>
        <w:spacing w:before="100" w:beforeAutospacing="1" w:after="100" w:afterAutospacing="1" w:line="240" w:lineRule="auto"/>
        <w:rPr>
          <w:rFonts w:ascii="Book Antiqua" w:eastAsia="Times New Roman" w:hAnsi="Book Antiqua" w:cs="Times New Roman"/>
          <w:sz w:val="19"/>
          <w:szCs w:val="19"/>
          <w:lang w:eastAsia="pt-BR"/>
        </w:rPr>
      </w:pPr>
    </w:p>
    <w:sectPr w:rsidR="00DD7E38" w:rsidRPr="0055678D" w:rsidSect="00390F15">
      <w:pgSz w:w="11906" w:h="16838"/>
      <w:pgMar w:top="1417" w:right="1701" w:bottom="851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Book Antiqua">
    <w:altName w:val="Book Antiqua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9BD0CE9"/>
    <w:multiLevelType w:val="hybridMultilevel"/>
    <w:tmpl w:val="7E4CBDC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85559"/>
    <w:rsid w:val="00085559"/>
    <w:rsid w:val="00225BF3"/>
    <w:rsid w:val="00390F15"/>
    <w:rsid w:val="0055678D"/>
    <w:rsid w:val="006B68A2"/>
    <w:rsid w:val="00767DF5"/>
    <w:rsid w:val="00A05A94"/>
    <w:rsid w:val="00DB1AAB"/>
    <w:rsid w:val="00DD7E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3C2F37"/>
  <w15:chartTrackingRefBased/>
  <w15:docId w15:val="{D8A57506-0266-44AC-89F1-80BC4CE76C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39"/>
    <w:rsid w:val="00DB1AA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grafodaLista">
    <w:name w:val="List Paragraph"/>
    <w:basedOn w:val="Normal"/>
    <w:uiPriority w:val="34"/>
    <w:qFormat/>
    <w:rsid w:val="00225BF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55149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legislacao.planalto.gov.br/legisla/legislacao.nsf/Viw_Identificacao/lei%2013.271-2016?OpenDocument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1123</Words>
  <Characters>6069</Characters>
  <Application>Microsoft Office Word</Application>
  <DocSecurity>0</DocSecurity>
  <Lines>50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Eduardo Belisário Silva Teixeira</dc:creator>
  <cp:keywords/>
  <dc:description/>
  <cp:lastModifiedBy>Eduardo Belisário</cp:lastModifiedBy>
  <cp:revision>8</cp:revision>
  <dcterms:created xsi:type="dcterms:W3CDTF">2016-04-19T17:06:00Z</dcterms:created>
  <dcterms:modified xsi:type="dcterms:W3CDTF">2021-11-22T19:16:00Z</dcterms:modified>
</cp:coreProperties>
</file>