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328CB" w14:textId="1F6DF2DA" w:rsid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bookmarkStart w:id="0" w:name="_Hlk133148327"/>
      <w:r w:rsidRPr="0096040C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CB3217">
        <w:rPr>
          <w:rFonts w:ascii="Book Antiqua" w:hAnsi="Book Antiqua"/>
          <w:b/>
          <w:bCs/>
          <w:color w:val="FF0000"/>
          <w:sz w:val="19"/>
          <w:szCs w:val="19"/>
        </w:rPr>
        <w:t>24/08</w:t>
      </w:r>
      <w:r w:rsidRPr="0096040C">
        <w:rPr>
          <w:rFonts w:ascii="Book Antiqua" w:hAnsi="Book Antiqua"/>
          <w:b/>
          <w:bCs/>
          <w:color w:val="FF0000"/>
          <w:sz w:val="19"/>
          <w:szCs w:val="19"/>
        </w:rPr>
        <w:t>/202</w:t>
      </w:r>
      <w:r w:rsidR="00CB3217">
        <w:rPr>
          <w:rFonts w:ascii="Book Antiqua" w:hAnsi="Book Antiqua"/>
          <w:b/>
          <w:bCs/>
          <w:color w:val="FF0000"/>
          <w:sz w:val="19"/>
          <w:szCs w:val="19"/>
        </w:rPr>
        <w:t>4</w:t>
      </w:r>
      <w:r w:rsidRPr="0096040C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  <w:bookmarkEnd w:id="0"/>
    </w:p>
    <w:p w14:paraId="473BA3C4" w14:textId="7BD4AC4E" w:rsidR="00BB7FE6" w:rsidRP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713B4F">
        <w:rPr>
          <w:rFonts w:ascii="Book Antiqua" w:hAnsi="Book Antiqua"/>
          <w:b/>
          <w:bCs/>
          <w:sz w:val="19"/>
          <w:szCs w:val="19"/>
        </w:rPr>
        <w:t>Provimento Nº 103 de 04/06/2020</w:t>
      </w:r>
    </w:p>
    <w:p w14:paraId="6DAD6A95" w14:textId="7375EC43" w:rsidR="00713B4F" w:rsidRPr="00713B4F" w:rsidRDefault="00713B4F" w:rsidP="00713B4F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Dispõe sobre a Autorização Eletrônica de Viagem nacional e internacional de crianças e adolescentes até 16 (dezesseis) anos desacompanhados de ambos ou um de seus pais e dá outras providências.</w:t>
      </w:r>
    </w:p>
    <w:p w14:paraId="335937D7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O CORREGEDOR NACIONAL DE JUSTIÇA, usando de suas atribuições constitucionais, legais e regimentais e</w:t>
      </w:r>
    </w:p>
    <w:p w14:paraId="62C33153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o poder de fiscalização e de normatização do Poder Judiciário dos atos praticados por seus órgãos (art. 103-B, § 4º, I, II e III, da Constituição Federal de 1988);</w:t>
      </w:r>
    </w:p>
    <w:p w14:paraId="6E193832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a competência do Poder Judiciário de fiscalizar os serviços notariais e de registro (</w:t>
      </w:r>
      <w:proofErr w:type="spellStart"/>
      <w:r w:rsidRPr="00713B4F">
        <w:rPr>
          <w:rFonts w:ascii="Book Antiqua" w:hAnsi="Book Antiqua"/>
          <w:sz w:val="19"/>
          <w:szCs w:val="19"/>
        </w:rPr>
        <w:t>arts</w:t>
      </w:r>
      <w:proofErr w:type="spellEnd"/>
      <w:r w:rsidRPr="00713B4F">
        <w:rPr>
          <w:rFonts w:ascii="Book Antiqua" w:hAnsi="Book Antiqua"/>
          <w:sz w:val="19"/>
          <w:szCs w:val="19"/>
        </w:rPr>
        <w:t>. 103-B, § 4º, I e III, e 236, § 1º, da Constituição Federal);</w:t>
      </w:r>
    </w:p>
    <w:p w14:paraId="500A5813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a competência do Corregedor Nacional de Justiça para expedir provimentos e outros atos normativos destinados ao aperfeiçoamento das atividades dos serviços notariais e de registro (art. 8º, X, do Regimento Interno do Conselho Nacional de Justiça);</w:t>
      </w:r>
    </w:p>
    <w:p w14:paraId="6682B6A7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a obrigação dos notários e registradores de cumprir as normas técnicas estabelecidas pelo Poder Judiciário (</w:t>
      </w:r>
      <w:proofErr w:type="spellStart"/>
      <w:r w:rsidRPr="00713B4F">
        <w:rPr>
          <w:rFonts w:ascii="Book Antiqua" w:hAnsi="Book Antiqua"/>
          <w:sz w:val="19"/>
          <w:szCs w:val="19"/>
        </w:rPr>
        <w:t>arts</w:t>
      </w:r>
      <w:proofErr w:type="spellEnd"/>
      <w:r w:rsidRPr="00713B4F">
        <w:rPr>
          <w:rFonts w:ascii="Book Antiqua" w:hAnsi="Book Antiqua"/>
          <w:sz w:val="19"/>
          <w:szCs w:val="19"/>
        </w:rPr>
        <w:t>. 37 e 38 da Lei n. 8.935, de 18 de novembro de 1994);</w:t>
      </w:r>
    </w:p>
    <w:p w14:paraId="5F9FE1B2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 xml:space="preserve">CONSIDERANDO o disposto nos </w:t>
      </w:r>
      <w:proofErr w:type="spellStart"/>
      <w:r w:rsidRPr="00713B4F">
        <w:rPr>
          <w:rFonts w:ascii="Book Antiqua" w:hAnsi="Book Antiqua"/>
          <w:sz w:val="19"/>
          <w:szCs w:val="19"/>
        </w:rPr>
        <w:t>arts</w:t>
      </w:r>
      <w:proofErr w:type="spellEnd"/>
      <w:r w:rsidRPr="00713B4F">
        <w:rPr>
          <w:rFonts w:ascii="Book Antiqua" w:hAnsi="Book Antiqua"/>
          <w:sz w:val="19"/>
          <w:szCs w:val="19"/>
        </w:rPr>
        <w:t>. 83 a 85 da Lei n. 8.069, de 13 de julho de 1990, com redação dada pela Lei n. 13.812/2019, que disciplina a viagem de menores para fora de suas comarcas de residência e a necessidade de possibilitar que as autorizações sejam realizadas por meio eletrônico;</w:t>
      </w:r>
    </w:p>
    <w:p w14:paraId="570C6F1B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a Resolução CNJ n. 131, de 26 de maio de 2011, que dispõe sobre a concessão de autorização de viagem para o exterior de crianças e adolescentes brasileiros;</w:t>
      </w:r>
    </w:p>
    <w:p w14:paraId="4C6CCDEA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 xml:space="preserve">CONSIDERANDO a deliberação do Plenário do Conselho Nacional de Justiça na 296ª Sessão Ordinária, realizada em 10 de setembro de 2019, nos autos do Pedido de Providências 0001171-89.2018.2.00.0000, no sentido de que os efeitos da Resolução CNJ n. 131/2011 devem ser estendidos para as autorizações de viagens nacionais de crianças e adolescentes até 16 anos desacompanhados, o que originou a edição da Resolução CNJ n. 295, de 13 de setembro de 2019; </w:t>
      </w:r>
    </w:p>
    <w:p w14:paraId="5E3D02D7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que a recente Lei n. 13.726, de 8 de outubro e 2018, estimula a adoção de procedimentos mais racionais com a utilização de soluções tecnológicas ou organizacionais que se mostrem aptas a desburocratizar e simplificar a prestação dos serviços públicos;</w:t>
      </w:r>
    </w:p>
    <w:p w14:paraId="35900562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a edição do Provimento n. 100/2020 da Corregedoria Nacional de Justiça, que regulamentou, em todo o território nacional, a expedição de atos notariais eletrônicos por meio do Sistema de Atos Notariais Eletrônicos – e-Notariado;</w:t>
      </w:r>
    </w:p>
    <w:p w14:paraId="25F4A157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CONSIDERANDO o que consta dos Pedidos de Providências n. 00007672-25.2019.2.00.0000 e 011315-25.2018.2.00.0000; e</w:t>
      </w:r>
    </w:p>
    <w:p w14:paraId="4D24C0C4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 xml:space="preserve">CONSIDERANDO, finalmente, o que consta do Pedido de Providências n. 0003601-43.2020.2.00.0000, no qual o Ministério da Mulher, da Família e dos Direitos Humanos – Secretaria Nacional de Proteção consulta o Conselho Nacional de Justiça sobre a possibilidade de promover medidas voltadas à disseminação da tecnologia de selo digital (QR </w:t>
      </w:r>
      <w:proofErr w:type="spellStart"/>
      <w:r w:rsidRPr="00713B4F">
        <w:rPr>
          <w:rFonts w:ascii="Book Antiqua" w:hAnsi="Book Antiqua"/>
          <w:sz w:val="19"/>
          <w:szCs w:val="19"/>
        </w:rPr>
        <w:t>Code</w:t>
      </w:r>
      <w:proofErr w:type="spellEnd"/>
      <w:r w:rsidRPr="00713B4F">
        <w:rPr>
          <w:rFonts w:ascii="Book Antiqua" w:hAnsi="Book Antiqua"/>
          <w:sz w:val="19"/>
          <w:szCs w:val="19"/>
        </w:rPr>
        <w:t>) para que os atos relativos à autorização de viagem de crianças e adolescentes possam contar com essa tecnologia e ter sua autenticidade conferida digitalmente no local em que a criança ou adolescente se encontre,</w:t>
      </w:r>
    </w:p>
    <w:p w14:paraId="7B626645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RESOLVE:</w:t>
      </w:r>
    </w:p>
    <w:p w14:paraId="59B54A32" w14:textId="77777777" w:rsidR="00713B4F" w:rsidRP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713B4F">
        <w:rPr>
          <w:rFonts w:ascii="Book Antiqua" w:hAnsi="Book Antiqua"/>
          <w:b/>
          <w:bCs/>
          <w:sz w:val="19"/>
          <w:szCs w:val="19"/>
        </w:rPr>
        <w:t>CAPÍTULO I</w:t>
      </w:r>
    </w:p>
    <w:p w14:paraId="76A1C5B1" w14:textId="77777777" w:rsidR="00713B4F" w:rsidRP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713B4F">
        <w:rPr>
          <w:rFonts w:ascii="Book Antiqua" w:hAnsi="Book Antiqua"/>
          <w:b/>
          <w:bCs/>
          <w:sz w:val="19"/>
          <w:szCs w:val="19"/>
        </w:rPr>
        <w:lastRenderedPageBreak/>
        <w:t>DA AUTORIZAÇÃO ELETRÔNICA DE VIAGEM</w:t>
      </w:r>
    </w:p>
    <w:p w14:paraId="63B22EBF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Art. 1º Fica instituída a Autorização Eletrônica de Viagem – AEV, nacional e internacional, de crianças e adolescentes até 16 (dezesseis) anos desacompanhados de ambos ou um de seus pais, a ser emitida, exclusivamente, por intermédio do Sistema de Atos Notariais Eletrônicos – e-Notariado, acessível por meio do link www.e-notariado.org.br.</w:t>
      </w:r>
    </w:p>
    <w:p w14:paraId="4720A86C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Parágrafo único. O Colégio Notarial Brasil – Conselho Federal desenvolverá, em 60 (sessenta) dias, módulo do e-Notariado para a emissão da Autorização Eletrônica de Viagem.</w:t>
      </w:r>
    </w:p>
    <w:p w14:paraId="102DBC9F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3217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713B4F">
        <w:rPr>
          <w:rFonts w:ascii="Book Antiqua" w:hAnsi="Book Antiqua"/>
          <w:sz w:val="19"/>
          <w:szCs w:val="19"/>
        </w:rPr>
        <w:t xml:space="preserve"> A Autorização Eletrônica de Viagem obedecerá a todas as formalidades exigidas para a prática do ato notarial eletrônico previstas no Provimento n. 100/2020 da Corregedoria Nacional de Justiça, bem como na Resolução CNJ n. 131, de 26 de maio de 2011, e na Resolução CNJ n. 295, de 13 de setembro de 2019.</w:t>
      </w:r>
    </w:p>
    <w:p w14:paraId="201F3111" w14:textId="2872AE84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3217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CB3217">
        <w:rPr>
          <w:rFonts w:ascii="Book Antiqua" w:hAnsi="Book Antiqua"/>
          <w:b/>
          <w:bCs/>
          <w:sz w:val="19"/>
          <w:szCs w:val="19"/>
        </w:rPr>
        <w:t>: O ato eletrônico emitido com a inobservância dos requisitos estabelecidos nos atos normativos previstos no caput deste artigo é nulo de pleno direito, independentemente de declaração judicial</w:t>
      </w:r>
      <w:r w:rsidRPr="00713B4F">
        <w:rPr>
          <w:rFonts w:ascii="Book Antiqua" w:hAnsi="Book Antiqua"/>
          <w:sz w:val="19"/>
          <w:szCs w:val="19"/>
        </w:rPr>
        <w:t xml:space="preserve">. </w:t>
      </w:r>
      <w:bookmarkStart w:id="1" w:name="_Hlk175413622"/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1"/>
    </w:p>
    <w:p w14:paraId="02ED863F" w14:textId="5A86C729" w:rsidR="00713B4F" w:rsidRPr="00CB3217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713B4F">
        <w:rPr>
          <w:rFonts w:ascii="Book Antiqua" w:hAnsi="Book Antiqua"/>
          <w:b/>
          <w:bCs/>
          <w:sz w:val="19"/>
          <w:szCs w:val="19"/>
          <w:highlight w:val="magenta"/>
        </w:rPr>
        <w:t>Art. 3o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 A emissão de Autorização Eletrônica de Viagem – AEV é </w:t>
      </w:r>
      <w:r w:rsidRPr="00713B4F">
        <w:rPr>
          <w:rFonts w:ascii="Book Antiqua" w:hAnsi="Book Antiqua"/>
          <w:b/>
          <w:bCs/>
          <w:sz w:val="19"/>
          <w:szCs w:val="19"/>
          <w:highlight w:val="cyan"/>
        </w:rPr>
        <w:t>facultativa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, permanecendo </w:t>
      </w:r>
      <w:r w:rsidRPr="00713B4F">
        <w:rPr>
          <w:rFonts w:ascii="Book Antiqua" w:hAnsi="Book Antiqua"/>
          <w:b/>
          <w:bCs/>
          <w:sz w:val="19"/>
          <w:szCs w:val="19"/>
          <w:highlight w:val="cyan"/>
        </w:rPr>
        <w:t>válidas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 as autorizações de viagens emitidas em meio físico</w:t>
      </w:r>
      <w:r w:rsidRPr="00CB3217">
        <w:rPr>
          <w:rFonts w:ascii="Book Antiqua" w:hAnsi="Book Antiqua"/>
          <w:sz w:val="18"/>
          <w:szCs w:val="18"/>
        </w:rPr>
        <w:t xml:space="preserve">. </w:t>
      </w:r>
      <w:r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(Cartórios/TJGO-2021)</w:t>
      </w:r>
      <w:r w:rsidR="00CB321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0E9344B6" w14:textId="77777777" w:rsidR="00713B4F" w:rsidRP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713B4F">
        <w:rPr>
          <w:rFonts w:ascii="Book Antiqua" w:hAnsi="Book Antiqua"/>
          <w:b/>
          <w:bCs/>
          <w:sz w:val="19"/>
          <w:szCs w:val="19"/>
        </w:rPr>
        <w:t>CAPÍTULO II</w:t>
      </w:r>
    </w:p>
    <w:p w14:paraId="517B8EF9" w14:textId="77777777" w:rsidR="00713B4F" w:rsidRP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713B4F">
        <w:rPr>
          <w:rFonts w:ascii="Book Antiqua" w:hAnsi="Book Antiqua"/>
          <w:b/>
          <w:bCs/>
          <w:sz w:val="19"/>
          <w:szCs w:val="19"/>
        </w:rPr>
        <w:t>DO PROCEDIMENTO</w:t>
      </w:r>
    </w:p>
    <w:p w14:paraId="5D75DB76" w14:textId="7DB8463D" w:rsidR="00713B4F" w:rsidRPr="00CB3217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713B4F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 Os pais ou responsáveis, nas hipóteses em que não seja necessária a autorização judicial, poderão autorizar a viagem da criança e do adolescente por </w:t>
      </w:r>
      <w:r w:rsidRPr="00713B4F">
        <w:rPr>
          <w:rFonts w:ascii="Book Antiqua" w:hAnsi="Book Antiqua"/>
          <w:b/>
          <w:bCs/>
          <w:sz w:val="19"/>
          <w:szCs w:val="19"/>
          <w:highlight w:val="cyan"/>
        </w:rPr>
        <w:t>instrumento particular eletrônico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, </w:t>
      </w:r>
      <w:r w:rsidRPr="00713B4F">
        <w:rPr>
          <w:rFonts w:ascii="Book Antiqua" w:hAnsi="Book Antiqua"/>
          <w:b/>
          <w:bCs/>
          <w:sz w:val="19"/>
          <w:szCs w:val="19"/>
          <w:highlight w:val="yellow"/>
        </w:rPr>
        <w:t>com firma reconhecida por autenticidade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 por um tabelião de notas, nos termos do art. 8º da Resolução CNJ n. 131, de 26 de maio de 2011, e do art. 2º da Resolução CNJ n. 295, de 13 de setembro de 2019</w:t>
      </w:r>
      <w:r w:rsidRPr="00713B4F">
        <w:rPr>
          <w:rFonts w:ascii="Book Antiqua" w:hAnsi="Book Antiqua"/>
          <w:sz w:val="19"/>
          <w:szCs w:val="19"/>
        </w:rPr>
        <w:t>. (redação dada pelo Provimento n. 120, de 8.7.2021)</w:t>
      </w:r>
      <w:r>
        <w:rPr>
          <w:rFonts w:ascii="Book Antiqua" w:hAnsi="Book Antiqua"/>
          <w:sz w:val="19"/>
          <w:szCs w:val="19"/>
        </w:rPr>
        <w:t xml:space="preserve"> </w:t>
      </w:r>
      <w:r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(Cartórios/TJGO-2021)</w:t>
      </w:r>
    </w:p>
    <w:p w14:paraId="48C3B41D" w14:textId="51273B78" w:rsidR="00713B4F" w:rsidRPr="00CB3217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713B4F">
        <w:rPr>
          <w:rFonts w:ascii="Book Antiqua" w:hAnsi="Book Antiqua"/>
          <w:b/>
          <w:bCs/>
          <w:sz w:val="19"/>
          <w:szCs w:val="19"/>
          <w:highlight w:val="magenta"/>
        </w:rPr>
        <w:t>Art. 5º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 O requerimento eletrônico de autorização de viagem será efetuado, </w:t>
      </w:r>
      <w:r w:rsidRPr="00713B4F">
        <w:rPr>
          <w:rFonts w:ascii="Book Antiqua" w:hAnsi="Book Antiqua"/>
          <w:b/>
          <w:bCs/>
          <w:sz w:val="19"/>
          <w:szCs w:val="19"/>
          <w:highlight w:val="cyan"/>
        </w:rPr>
        <w:t>exclusivamente</w:t>
      </w:r>
      <w:r w:rsidRPr="00713B4F">
        <w:rPr>
          <w:rFonts w:ascii="Book Antiqua" w:hAnsi="Book Antiqua"/>
          <w:b/>
          <w:bCs/>
          <w:sz w:val="19"/>
          <w:szCs w:val="19"/>
        </w:rPr>
        <w:t>, por meio de eventuais modelos ou formulários produzidos, divulgados e disponibilizados por meio de links pelo Poder Judiciário ou órgãos governamentais nos termos do parágrafo único do art. 11 da Resolução CNJ n. 131/2011</w:t>
      </w:r>
      <w:r w:rsidRPr="00CB3217">
        <w:rPr>
          <w:rFonts w:ascii="Book Antiqua" w:hAnsi="Book Antiqua"/>
          <w:sz w:val="18"/>
          <w:szCs w:val="18"/>
        </w:rPr>
        <w:t xml:space="preserve">. </w:t>
      </w:r>
      <w:r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(Cartórios/TJGO-2021)</w:t>
      </w:r>
      <w:r w:rsidR="00CB321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66220041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Parágrafo único: Os formulários deverão constar do Sistema de Atos Notariais Eletrônicos – e-Notariado, a fim de que o interessado possa, gratuitamente, efetuar o seu download.</w:t>
      </w:r>
    </w:p>
    <w:p w14:paraId="518AF7CC" w14:textId="3AE6B808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3217">
        <w:rPr>
          <w:rFonts w:ascii="Book Antiqua" w:hAnsi="Book Antiqua"/>
          <w:b/>
          <w:bCs/>
          <w:sz w:val="19"/>
          <w:szCs w:val="19"/>
          <w:highlight w:val="magenta"/>
        </w:rPr>
        <w:t>Art. 6º</w:t>
      </w:r>
      <w:r w:rsidRPr="00CB3217">
        <w:rPr>
          <w:rFonts w:ascii="Book Antiqua" w:hAnsi="Book Antiqua"/>
          <w:b/>
          <w:bCs/>
          <w:sz w:val="19"/>
          <w:szCs w:val="19"/>
        </w:rPr>
        <w:t xml:space="preserve"> Para a assinatura da Autorização Eletrônica de Viagem é imprescindível a realização de videoconferência notarial para confirmação da identidade e da autoria daquele que assina, a utilização da assinatura digital </w:t>
      </w:r>
      <w:proofErr w:type="spellStart"/>
      <w:r w:rsidRPr="00CB3217">
        <w:rPr>
          <w:rFonts w:ascii="Book Antiqua" w:hAnsi="Book Antiqua"/>
          <w:b/>
          <w:bCs/>
          <w:sz w:val="19"/>
          <w:szCs w:val="19"/>
        </w:rPr>
        <w:t>notarizada</w:t>
      </w:r>
      <w:proofErr w:type="spellEnd"/>
      <w:r w:rsidRPr="00CB3217">
        <w:rPr>
          <w:rFonts w:ascii="Book Antiqua" w:hAnsi="Book Antiqua"/>
          <w:b/>
          <w:bCs/>
          <w:sz w:val="19"/>
          <w:szCs w:val="19"/>
        </w:rPr>
        <w:t xml:space="preserve"> pelas partes e a assinatura do Tabelião de Notas com o uso do certificado digital, segundo a Infraestrutura de Chaves Públicas Brasileira – ICP</w:t>
      </w:r>
      <w:r w:rsidRPr="00713B4F">
        <w:rPr>
          <w:rFonts w:ascii="Book Antiqua" w:hAnsi="Book Antiqua"/>
          <w:sz w:val="19"/>
          <w:szCs w:val="19"/>
        </w:rPr>
        <w:t>. (redação dada pelo Provimento n. 120, de 8.7.2021)</w:t>
      </w:r>
      <w:r w:rsidR="00CB3217">
        <w:rPr>
          <w:rFonts w:ascii="Book Antiqua" w:hAnsi="Book Antiqua"/>
          <w:sz w:val="19"/>
          <w:szCs w:val="19"/>
        </w:rPr>
        <w:t xml:space="preserve"> 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35B896E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 xml:space="preserve">Parágrafo único. Os interessados poderão obter, gratuitamente, do tabelião de notas responsável pela lavratura da autorização de viagem, certificado digital </w:t>
      </w:r>
      <w:proofErr w:type="spellStart"/>
      <w:r w:rsidRPr="00713B4F">
        <w:rPr>
          <w:rFonts w:ascii="Book Antiqua" w:hAnsi="Book Antiqua"/>
          <w:sz w:val="19"/>
          <w:szCs w:val="19"/>
        </w:rPr>
        <w:t>notarizado</w:t>
      </w:r>
      <w:proofErr w:type="spellEnd"/>
      <w:r w:rsidRPr="00713B4F">
        <w:rPr>
          <w:rFonts w:ascii="Book Antiqua" w:hAnsi="Book Antiqua"/>
          <w:sz w:val="19"/>
          <w:szCs w:val="19"/>
        </w:rPr>
        <w:t>, para uso exclusivo e por tempo determinado, na plataforma e-Notariado e demais plataformas autorizadas pelo Colégio Notarial Brasil – CF.</w:t>
      </w:r>
    </w:p>
    <w:p w14:paraId="10AB1729" w14:textId="63D070A0" w:rsidR="00713B4F" w:rsidRPr="00CB3217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4F4EE3">
        <w:rPr>
          <w:rFonts w:ascii="Book Antiqua" w:hAnsi="Book Antiqua"/>
          <w:b/>
          <w:bCs/>
          <w:sz w:val="19"/>
          <w:szCs w:val="19"/>
          <w:highlight w:val="magenta"/>
        </w:rPr>
        <w:t>Art. 7º</w:t>
      </w:r>
      <w:r w:rsidRPr="004F4EE3">
        <w:rPr>
          <w:rFonts w:ascii="Book Antiqua" w:hAnsi="Book Antiqua"/>
          <w:b/>
          <w:bCs/>
          <w:sz w:val="19"/>
          <w:szCs w:val="19"/>
        </w:rPr>
        <w:t xml:space="preserve"> A Autorização Eletrônica de Viagem firmada pelos pais ou responsáveis </w:t>
      </w:r>
      <w:r w:rsidRPr="004F4EE3">
        <w:rPr>
          <w:rFonts w:ascii="Book Antiqua" w:hAnsi="Book Antiqua"/>
          <w:b/>
          <w:bCs/>
          <w:sz w:val="19"/>
          <w:szCs w:val="19"/>
          <w:highlight w:val="cyan"/>
        </w:rPr>
        <w:t>possui o mesmo valor do instrumento particular</w:t>
      </w:r>
      <w:r w:rsidRPr="004F4EE3">
        <w:rPr>
          <w:rFonts w:ascii="Book Antiqua" w:hAnsi="Book Antiqua"/>
          <w:b/>
          <w:bCs/>
          <w:sz w:val="19"/>
          <w:szCs w:val="19"/>
        </w:rPr>
        <w:t xml:space="preserve"> emitido de forma física e poderá ser apresentada à Polícia Federal e às empresas de transporte rodoviário, marítimo ou aeroportuário</w:t>
      </w:r>
      <w:r w:rsidRPr="00CB3217">
        <w:rPr>
          <w:rFonts w:ascii="Book Antiqua" w:hAnsi="Book Antiqua"/>
          <w:sz w:val="18"/>
          <w:szCs w:val="18"/>
        </w:rPr>
        <w:t>.</w:t>
      </w:r>
      <w:r w:rsidR="004F4EE3" w:rsidRPr="00CB3217">
        <w:rPr>
          <w:rFonts w:ascii="Book Antiqua" w:hAnsi="Book Antiqua"/>
          <w:sz w:val="18"/>
          <w:szCs w:val="18"/>
        </w:rPr>
        <w:t xml:space="preserve"> </w:t>
      </w:r>
      <w:r w:rsidR="004F4EE3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(Cartórios/TJGO-2021)</w:t>
      </w:r>
      <w:r w:rsidR="00CB321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4DDA8398" w14:textId="4FE368FD" w:rsidR="00713B4F" w:rsidRPr="00CB3217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713B4F">
        <w:rPr>
          <w:rFonts w:ascii="Book Antiqua" w:hAnsi="Book Antiqua"/>
          <w:b/>
          <w:bCs/>
          <w:sz w:val="19"/>
          <w:szCs w:val="19"/>
          <w:highlight w:val="magenta"/>
        </w:rPr>
        <w:t>Art. 8º</w:t>
      </w:r>
      <w:r w:rsidRPr="00713B4F">
        <w:rPr>
          <w:rFonts w:ascii="Book Antiqua" w:hAnsi="Book Antiqua"/>
          <w:b/>
          <w:bCs/>
          <w:sz w:val="19"/>
          <w:szCs w:val="19"/>
        </w:rPr>
        <w:t xml:space="preserve"> É competente para a lavratura da autorização de viagem eletrônica o tabelião de notas do domicílio dos pais ou dos responsáveis pela criança ou adolescente</w:t>
      </w:r>
      <w:r w:rsidRPr="00CB3217">
        <w:rPr>
          <w:rFonts w:ascii="Book Antiqua" w:hAnsi="Book Antiqua"/>
          <w:sz w:val="18"/>
          <w:szCs w:val="18"/>
        </w:rPr>
        <w:t xml:space="preserve">. </w:t>
      </w:r>
      <w:r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(Cartórios/TJGO-2021)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3B4F" w14:paraId="236534F4" w14:textId="77777777" w:rsidTr="00EC3254">
        <w:tc>
          <w:tcPr>
            <w:tcW w:w="8494" w:type="dxa"/>
            <w:shd w:val="clear" w:color="auto" w:fill="CCFFFF"/>
          </w:tcPr>
          <w:p w14:paraId="7027012E" w14:textId="1CCDFCCA" w:rsidR="00713B4F" w:rsidRPr="00600145" w:rsidRDefault="00713B4F" w:rsidP="00EC3254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lastRenderedPageBreak/>
              <w:t>(</w:t>
            </w:r>
            <w:r w:rsidRPr="00600145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Cartórios/TJGO-2021-VUNESP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13B4F">
              <w:rPr>
                <w:rFonts w:ascii="Book Antiqua" w:hAnsi="Book Antiqua"/>
                <w:sz w:val="19"/>
                <w:szCs w:val="19"/>
              </w:rPr>
              <w:t>De acordo com o Provimento nº 103/2020 do Conselho Nacional de Justiça, assinale a alternativa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13B4F">
              <w:rPr>
                <w:rFonts w:ascii="Book Antiqua" w:hAnsi="Book Antiqua"/>
                <w:sz w:val="19"/>
                <w:szCs w:val="19"/>
              </w:rPr>
              <w:t>É competente para a lavratura da autorização de viagem eletrônica o tabelião de notas do domicílio dos pais ou dos responsáveis pela criança ou pelo adolescente.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8º, Prov. 103/20, CNJ.</w:t>
            </w:r>
          </w:p>
        </w:tc>
      </w:tr>
    </w:tbl>
    <w:p w14:paraId="735C1007" w14:textId="20123995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Parágrafo único. Se os pais ou responsáveis possuírem domicílio distintos, o tabelião de notas de qualquer dos domicílios poderá lavrar o ato.</w:t>
      </w:r>
    </w:p>
    <w:p w14:paraId="00FED34F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 xml:space="preserve">Art. 9º A Autorização Eletrônica de Viagem conterá, em destaque, a chave de acesso e QR </w:t>
      </w:r>
      <w:proofErr w:type="spellStart"/>
      <w:r w:rsidRPr="00713B4F">
        <w:rPr>
          <w:rFonts w:ascii="Book Antiqua" w:hAnsi="Book Antiqua"/>
          <w:sz w:val="19"/>
          <w:szCs w:val="19"/>
        </w:rPr>
        <w:t>Code</w:t>
      </w:r>
      <w:proofErr w:type="spellEnd"/>
      <w:r w:rsidRPr="00713B4F">
        <w:rPr>
          <w:rFonts w:ascii="Book Antiqua" w:hAnsi="Book Antiqua"/>
          <w:sz w:val="19"/>
          <w:szCs w:val="19"/>
        </w:rPr>
        <w:t xml:space="preserve"> para consulta e verificação da autenticidade na internet. </w:t>
      </w:r>
    </w:p>
    <w:p w14:paraId="6E5CFCA1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 xml:space="preserve">§ 1º O QR </w:t>
      </w:r>
      <w:proofErr w:type="spellStart"/>
      <w:r w:rsidRPr="00713B4F">
        <w:rPr>
          <w:rFonts w:ascii="Book Antiqua" w:hAnsi="Book Antiqua"/>
          <w:sz w:val="19"/>
          <w:szCs w:val="19"/>
        </w:rPr>
        <w:t>Code</w:t>
      </w:r>
      <w:proofErr w:type="spellEnd"/>
      <w:r w:rsidRPr="00713B4F">
        <w:rPr>
          <w:rFonts w:ascii="Book Antiqua" w:hAnsi="Book Antiqua"/>
          <w:sz w:val="19"/>
          <w:szCs w:val="19"/>
        </w:rPr>
        <w:t xml:space="preserve"> constante da Autorização Eletrônica de Viagem poderá ser validado sem a necessidade de conexão com a internet.</w:t>
      </w:r>
    </w:p>
    <w:p w14:paraId="4B3E1660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§ 2º A versão impressa da autorização eletrônica de viagem poderá ser apresentada pelo interessado, desde que observados os requisitos do caput.</w:t>
      </w:r>
    </w:p>
    <w:p w14:paraId="538AB7AF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§ 3º Autorização Eletrônica de Viagem poderá ser apresentada em aplicativo desenvolvido pelo CNB-CF, Polícia Federal, empresas de transporte aéreo, rodoviário e marítimo.</w:t>
      </w:r>
    </w:p>
    <w:p w14:paraId="501F5EED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Art. 10. O Colégio Notarial do Brasil – Conselho Federal promoverá acordos de cooperação técnica com órgãos públicos e empresas de transporte para a viabilização da apresentação e validação da Autorização Eletrônica de Viagem pelos interessados.</w:t>
      </w:r>
    </w:p>
    <w:p w14:paraId="6049154F" w14:textId="40536B5E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3217">
        <w:rPr>
          <w:rFonts w:ascii="Book Antiqua" w:hAnsi="Book Antiqua"/>
          <w:b/>
          <w:bCs/>
          <w:sz w:val="19"/>
          <w:szCs w:val="19"/>
          <w:highlight w:val="magenta"/>
        </w:rPr>
        <w:t>Art. 11</w:t>
      </w:r>
      <w:r w:rsidRPr="00CB3217">
        <w:rPr>
          <w:rFonts w:ascii="Book Antiqua" w:hAnsi="Book Antiqua"/>
          <w:b/>
          <w:bCs/>
          <w:sz w:val="19"/>
          <w:szCs w:val="19"/>
        </w:rPr>
        <w:t>. A Autorização Eletrônica de Viagem poderá contemplar a necessidade de hospedagem do menor, em caso de emergência decorrente de atrasos, alterações ou cancelamentos de voos ou viagens, nos termos art. 82 do Estatuto da Criança e do Adolescente</w:t>
      </w:r>
      <w:r w:rsidRPr="00713B4F">
        <w:rPr>
          <w:rFonts w:ascii="Book Antiqua" w:hAnsi="Book Antiqua"/>
          <w:sz w:val="19"/>
          <w:szCs w:val="19"/>
        </w:rPr>
        <w:t>.</w:t>
      </w:r>
      <w:r w:rsidR="00CB3217">
        <w:rPr>
          <w:rFonts w:ascii="Book Antiqua" w:hAnsi="Book Antiqua"/>
          <w:sz w:val="19"/>
          <w:szCs w:val="19"/>
        </w:rPr>
        <w:t xml:space="preserve"> 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9D361FF" w14:textId="60B1490B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3217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CB3217">
        <w:rPr>
          <w:rFonts w:ascii="Book Antiqua" w:hAnsi="Book Antiqua"/>
          <w:b/>
          <w:bCs/>
          <w:sz w:val="19"/>
          <w:szCs w:val="19"/>
        </w:rPr>
        <w:t>: O tabelião deverá indagar aos pais ou responsáveis acerca da hipótese prevista no caput, a fim de consigná-la na autorização eletrônica de viagem</w:t>
      </w:r>
      <w:r w:rsidRPr="00713B4F">
        <w:rPr>
          <w:rFonts w:ascii="Book Antiqua" w:hAnsi="Book Antiqua"/>
          <w:sz w:val="19"/>
          <w:szCs w:val="19"/>
        </w:rPr>
        <w:t>.</w:t>
      </w:r>
      <w:r w:rsidR="00CB3217">
        <w:rPr>
          <w:rFonts w:ascii="Book Antiqua" w:hAnsi="Book Antiqua"/>
          <w:sz w:val="19"/>
          <w:szCs w:val="19"/>
        </w:rPr>
        <w:t xml:space="preserve"> 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081E3649" w14:textId="0C4C274E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3217">
        <w:rPr>
          <w:rFonts w:ascii="Book Antiqua" w:hAnsi="Book Antiqua"/>
          <w:b/>
          <w:bCs/>
          <w:sz w:val="19"/>
          <w:szCs w:val="19"/>
          <w:highlight w:val="magenta"/>
        </w:rPr>
        <w:t>Art. 12</w:t>
      </w:r>
      <w:r w:rsidRPr="00713B4F">
        <w:rPr>
          <w:rFonts w:ascii="Book Antiqua" w:hAnsi="Book Antiqua"/>
          <w:sz w:val="19"/>
          <w:szCs w:val="19"/>
        </w:rPr>
        <w:t>. A Autorização Eletrônica de Viagem disciplinada neste provimento poderá ser expedida pelo prazo ou evento a ser indicado pelos pais ou responsáveis da criança ou adolescente.</w:t>
      </w:r>
      <w:r w:rsidR="00CB3217">
        <w:rPr>
          <w:rFonts w:ascii="Book Antiqua" w:hAnsi="Book Antiqua"/>
          <w:sz w:val="19"/>
          <w:szCs w:val="19"/>
        </w:rPr>
        <w:t xml:space="preserve"> </w:t>
      </w:r>
    </w:p>
    <w:p w14:paraId="6D609BFF" w14:textId="0D469C9B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B3217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CB3217">
        <w:rPr>
          <w:rFonts w:ascii="Book Antiqua" w:hAnsi="Book Antiqua"/>
          <w:b/>
          <w:bCs/>
          <w:sz w:val="19"/>
          <w:szCs w:val="19"/>
        </w:rPr>
        <w:t>. Os documentos de autorizações eletrônicas dadas pelos pais ou responsáveis deverão fazer constar o prazo de validade, compreendendo-se, em caso de omissão, que a autorização é válida por dois anos</w:t>
      </w:r>
      <w:r w:rsidRPr="00713B4F">
        <w:rPr>
          <w:rFonts w:ascii="Book Antiqua" w:hAnsi="Book Antiqua"/>
          <w:sz w:val="19"/>
          <w:szCs w:val="19"/>
        </w:rPr>
        <w:t>.</w:t>
      </w:r>
      <w:r w:rsidR="00CB3217">
        <w:rPr>
          <w:rFonts w:ascii="Book Antiqua" w:hAnsi="Book Antiqua"/>
          <w:sz w:val="19"/>
          <w:szCs w:val="19"/>
        </w:rPr>
        <w:t xml:space="preserve"> 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SP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CB3217" w:rsidRPr="00CB321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6ACA4C41" w14:textId="77777777" w:rsidR="00713B4F" w:rsidRPr="00713B4F" w:rsidRDefault="00713B4F" w:rsidP="00713B4F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Art. 13. Este Provimento entra em vigor em 60 (sessenta) dias após a sua publicação.</w:t>
      </w:r>
    </w:p>
    <w:p w14:paraId="6DDC3B51" w14:textId="77777777" w:rsidR="00713B4F" w:rsidRPr="00713B4F" w:rsidRDefault="00713B4F" w:rsidP="00713B4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3698A207" w14:textId="7611BC94" w:rsidR="00713B4F" w:rsidRP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MINISTRO HUMBERTO MARTINS</w:t>
      </w:r>
    </w:p>
    <w:p w14:paraId="2886B78D" w14:textId="6A1688C6" w:rsidR="00713B4F" w:rsidRPr="00713B4F" w:rsidRDefault="00713B4F" w:rsidP="00713B4F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713B4F">
        <w:rPr>
          <w:rFonts w:ascii="Book Antiqua" w:hAnsi="Book Antiqua"/>
          <w:sz w:val="19"/>
          <w:szCs w:val="19"/>
        </w:rPr>
        <w:t>Corregedor Nacional de Justiça</w:t>
      </w:r>
    </w:p>
    <w:sectPr w:rsidR="00713B4F" w:rsidRPr="00713B4F" w:rsidSect="004F4EE3">
      <w:pgSz w:w="11906" w:h="16838"/>
      <w:pgMar w:top="127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43"/>
    <w:rsid w:val="00054F43"/>
    <w:rsid w:val="004F4EE3"/>
    <w:rsid w:val="00713B4F"/>
    <w:rsid w:val="00AA46F7"/>
    <w:rsid w:val="00BB7FE6"/>
    <w:rsid w:val="00CB3217"/>
    <w:rsid w:val="00D346F6"/>
    <w:rsid w:val="00FB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498C"/>
  <w15:chartTrackingRefBased/>
  <w15:docId w15:val="{85BB1B18-0AA3-4BA3-AAC9-BF7C6535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13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1431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2023-04-23T16:37:00Z</dcterms:created>
  <dcterms:modified xsi:type="dcterms:W3CDTF">2024-08-24T20:54:00Z</dcterms:modified>
</cp:coreProperties>
</file>