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B27D" w14:textId="415D58E1" w:rsidR="008C5F87" w:rsidRPr="008C5F87" w:rsidRDefault="008C5F87" w:rsidP="008C5F8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8C5F87">
        <w:rPr>
          <w:rFonts w:ascii="Book Antiqua" w:hAnsi="Book Antiqua"/>
          <w:b/>
          <w:bCs/>
          <w:color w:val="FF0000"/>
          <w:sz w:val="19"/>
          <w:szCs w:val="19"/>
        </w:rPr>
        <w:t>(Atualização em 15/04/2023: questões de concurso)</w:t>
      </w:r>
    </w:p>
    <w:p w14:paraId="79321674" w14:textId="05A877AC" w:rsidR="008C5F87" w:rsidRPr="008C5F87" w:rsidRDefault="008C5F87" w:rsidP="008C5F8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C5F87">
        <w:rPr>
          <w:rFonts w:ascii="Book Antiqua" w:hAnsi="Book Antiqua"/>
          <w:b/>
          <w:bCs/>
          <w:sz w:val="19"/>
          <w:szCs w:val="19"/>
        </w:rPr>
        <w:t>PROVIMENTO N.º 27</w:t>
      </w:r>
    </w:p>
    <w:p w14:paraId="62D084EF" w14:textId="50F73C87" w:rsidR="008C5F87" w:rsidRPr="008C5F87" w:rsidRDefault="008C5F87" w:rsidP="008C5F87">
      <w:pPr>
        <w:spacing w:before="100" w:beforeAutospacing="1" w:after="100" w:afterAutospacing="1" w:line="240" w:lineRule="auto"/>
        <w:ind w:left="3261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Dispõe sobre a facultatividade e a competência para o registro de contratos de alienação fiduciária</w:t>
      </w:r>
      <w:r>
        <w:rPr>
          <w:rFonts w:ascii="Book Antiqua" w:hAnsi="Book Antiqua"/>
          <w:sz w:val="19"/>
          <w:szCs w:val="19"/>
        </w:rPr>
        <w:t xml:space="preserve"> </w:t>
      </w:r>
      <w:r w:rsidRPr="008C5F87">
        <w:rPr>
          <w:rFonts w:ascii="Book Antiqua" w:hAnsi="Book Antiqua"/>
          <w:sz w:val="19"/>
          <w:szCs w:val="19"/>
        </w:rPr>
        <w:t>e de arrendamento mercantil de veículos por Oficial de Registro de Títulos e Documentos.</w:t>
      </w:r>
    </w:p>
    <w:p w14:paraId="12B96D2F" w14:textId="77777777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O CORREGEDOR NACIONAL DE JUSTIÇA, Ministro</w:t>
      </w:r>
      <w:r>
        <w:rPr>
          <w:rFonts w:ascii="Book Antiqua" w:hAnsi="Book Antiqua"/>
          <w:sz w:val="19"/>
          <w:szCs w:val="19"/>
        </w:rPr>
        <w:t xml:space="preserve"> </w:t>
      </w:r>
      <w:r w:rsidRPr="008C5F87">
        <w:rPr>
          <w:rFonts w:ascii="Book Antiqua" w:hAnsi="Book Antiqua"/>
          <w:sz w:val="19"/>
          <w:szCs w:val="19"/>
        </w:rPr>
        <w:t>Francisco Falcão, no uso de suas atribuições</w:t>
      </w:r>
      <w:r>
        <w:rPr>
          <w:rFonts w:ascii="Book Antiqua" w:hAnsi="Book Antiqua"/>
          <w:sz w:val="19"/>
          <w:szCs w:val="19"/>
        </w:rPr>
        <w:t xml:space="preserve"> </w:t>
      </w:r>
      <w:r w:rsidRPr="008C5F87">
        <w:rPr>
          <w:rFonts w:ascii="Book Antiqua" w:hAnsi="Book Antiqua"/>
          <w:sz w:val="19"/>
          <w:szCs w:val="19"/>
        </w:rPr>
        <w:t>legais e regimentais;</w:t>
      </w:r>
    </w:p>
    <w:p w14:paraId="3B9805D6" w14:textId="77777777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CONSIDERANDO que compete ao Conselho Nacional de Justiça o controle da atuação administrativa do Poder Judiciário (artigo 103-B,§ 4º, incisos I, II e III da Constituição Federal);</w:t>
      </w:r>
    </w:p>
    <w:p w14:paraId="3EE21B6B" w14:textId="77777777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CONSIDERANDO que compete ao Poder Judiciário a fiscalização dos serviços notariais e de registro (art. 103-B, § 4º, I e III, e art. 236, § 1º, ambos da Constituição Federal);</w:t>
      </w:r>
    </w:p>
    <w:p w14:paraId="044C4D34" w14:textId="77777777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CONSIDERANDO que compete ao Corregedor Nacional de Justiça expedir Provimentos, e outros atos normativos, destinados ao aperfeiçoamento das atividades dos serviços notariais e de registro (artigo 8º, inciso X, do Regimento Interno do Conselho Nacional de Justiça);</w:t>
      </w:r>
    </w:p>
    <w:p w14:paraId="17074FE3" w14:textId="77777777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CONSIDERANDO o disposto no artigo 1.361 do Código Civil, no artigo 6º, §§ 1º e 2º, da Lei n. 11.882, de 23 de dezembro de 2008, e no artigo 130 da Lei nº 6.015/73;</w:t>
      </w:r>
    </w:p>
    <w:p w14:paraId="3EEDFB2C" w14:textId="593A84FE" w:rsidR="008C5F87" w:rsidRP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CONSIDERANDO a necessidade de regulamentação da matéria, para afastar a adoção de procedimentos conflitantes pelos Oficiais de Registro de Títulos e Documentos;</w:t>
      </w:r>
    </w:p>
    <w:p w14:paraId="6FD08986" w14:textId="77777777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R E S O L V E:</w:t>
      </w:r>
    </w:p>
    <w:p w14:paraId="171138D4" w14:textId="4161423E" w:rsidR="008C5F87" w:rsidRP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8C5F87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8C5F87">
        <w:rPr>
          <w:rFonts w:ascii="Book Antiqua" w:hAnsi="Book Antiqua"/>
          <w:b/>
          <w:bCs/>
          <w:sz w:val="19"/>
          <w:szCs w:val="19"/>
        </w:rPr>
        <w:t>. É facultativo o registro de contrato de alienação fiduciária e de arrendamento mercantil de veículo por Oficial de Registro de Títulos e Documentos</w:t>
      </w:r>
      <w:r w:rsidRPr="008C5F87">
        <w:rPr>
          <w:rFonts w:ascii="Book Antiqua" w:hAnsi="Book Antiqua"/>
          <w:sz w:val="18"/>
          <w:szCs w:val="18"/>
        </w:rPr>
        <w:t xml:space="preserve">; </w:t>
      </w:r>
      <w:r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(Cartórios/TJPI-2013)</w:t>
      </w:r>
    </w:p>
    <w:p w14:paraId="5B6A4AC3" w14:textId="4717ED4E" w:rsid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8C5F87">
        <w:rPr>
          <w:rFonts w:ascii="Book Antiqua" w:hAnsi="Book Antiqua"/>
          <w:b/>
          <w:bCs/>
          <w:sz w:val="19"/>
          <w:szCs w:val="19"/>
        </w:rPr>
        <w:t>. É vedada a celebração de convênios, acordos, termos de cooperação ou outras espécies de contratos entre Oficiais de Registro de Títulos e Documentos e repartições de trânsito, destinados à prática de ato de qualquer natureza para licenciamento de veículos, nesses incluídos a disponibilização, o acesso e o uso de qualquer meio para a comunicação (inclusive eletrônica feita por Intranet, Internet ou sistema similar) visando noticiar a realização de registro ou averbação em Registro de Títulos e Documentos</w:t>
      </w:r>
      <w:r w:rsidRPr="008C5F87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(Cartórios/TJPI-2013)</w:t>
      </w:r>
    </w:p>
    <w:p w14:paraId="7658A66D" w14:textId="5F3D755E" w:rsidR="008C5F87" w:rsidRPr="0067168A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8C5F87">
        <w:rPr>
          <w:rFonts w:ascii="Book Antiqua" w:hAnsi="Book Antiqua"/>
          <w:b/>
          <w:bCs/>
          <w:sz w:val="19"/>
          <w:szCs w:val="19"/>
        </w:rPr>
        <w:t>. O Oficial de Registro de Títulos e Documentos do domicílio das partes contratantes é o competente para o registro, facultativo, de contrato de alienação fiduciária e de arrendamento mercantil de veículo, para conservação ou eficácia</w:t>
      </w:r>
      <w:r w:rsidRPr="008C5F87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(Cartórios/TJPI-2013)</w:t>
      </w:r>
      <w:r w:rsidR="0067168A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67168A">
        <w:rPr>
          <w:rFonts w:ascii="Book Antiqua" w:hAnsi="Book Antiqua"/>
          <w:b/>
          <w:color w:val="FF0000"/>
          <w:sz w:val="18"/>
          <w:szCs w:val="18"/>
          <w:u w:val="single"/>
        </w:rPr>
        <w:t>(Cartórios/TJRJ-2017)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168A" w14:paraId="66AF5F0A" w14:textId="77777777" w:rsidTr="0067168A">
        <w:tc>
          <w:tcPr>
            <w:tcW w:w="8494" w:type="dxa"/>
            <w:shd w:val="clear" w:color="auto" w:fill="CCFFFF"/>
          </w:tcPr>
          <w:p w14:paraId="2ACBC773" w14:textId="5394171E" w:rsidR="0067168A" w:rsidRPr="0067168A" w:rsidRDefault="0067168A" w:rsidP="0067168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67168A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Cartórios/TJRJ-2017-FGV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67168A">
              <w:rPr>
                <w:rFonts w:ascii="Book Antiqua" w:hAnsi="Book Antiqua"/>
                <w:sz w:val="19"/>
                <w:szCs w:val="19"/>
              </w:rPr>
              <w:t>Com base na legislação civil e nos provimentos do Conselho Nacional de Justiça, assinale a alternativa que está de acordo com as regras de competência territorial do Serviço de Registro de Títulos e Documentos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67168A">
              <w:rPr>
                <w:rFonts w:ascii="Book Antiqua" w:hAnsi="Book Antiqua"/>
                <w:sz w:val="19"/>
                <w:szCs w:val="19"/>
              </w:rPr>
              <w:t>O registro facultativo para conservação ou eficácia do contrato de alienação fiduciária de veículo deverá ser registrado no domicílio das partes contratantes.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3º, Prov. 27/12.</w:t>
            </w:r>
          </w:p>
        </w:tc>
      </w:tr>
    </w:tbl>
    <w:p w14:paraId="0EAAC65C" w14:textId="53CC91A8" w:rsidR="008C5F87" w:rsidRPr="008C5F87" w:rsidRDefault="008C5F87" w:rsidP="008C5F8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Art. 4º Este provimento entrará em vigor na data de sua publicação.</w:t>
      </w:r>
    </w:p>
    <w:p w14:paraId="488869C6" w14:textId="77777777" w:rsidR="008C5F87" w:rsidRPr="008C5F87" w:rsidRDefault="008C5F87" w:rsidP="008C5F8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Brasília, 12 de dezembro de 2012</w:t>
      </w:r>
    </w:p>
    <w:p w14:paraId="344EAD2B" w14:textId="77777777" w:rsidR="008C5F87" w:rsidRPr="008C5F87" w:rsidRDefault="008C5F87" w:rsidP="008C5F8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MINISTRO FRANCISCO FALCÃO</w:t>
      </w:r>
    </w:p>
    <w:p w14:paraId="1262A5B0" w14:textId="06744F0E" w:rsidR="00BB7FE6" w:rsidRPr="008C5F87" w:rsidRDefault="008C5F87" w:rsidP="008C5F8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C5F87">
        <w:rPr>
          <w:rFonts w:ascii="Book Antiqua" w:hAnsi="Book Antiqua"/>
          <w:sz w:val="19"/>
          <w:szCs w:val="19"/>
        </w:rPr>
        <w:t>Corregedor Nacional de Justiça</w:t>
      </w:r>
    </w:p>
    <w:sectPr w:rsidR="00BB7FE6" w:rsidRPr="008C5F87" w:rsidSect="008C5F87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7E"/>
    <w:rsid w:val="0067168A"/>
    <w:rsid w:val="007A257E"/>
    <w:rsid w:val="008C5F87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98059"/>
  <w15:chartTrackingRefBased/>
  <w15:docId w15:val="{943363FD-BE50-499A-A718-26BA0A3F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7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455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2023-04-15T16:07:00Z</dcterms:created>
  <dcterms:modified xsi:type="dcterms:W3CDTF">2023-04-18T16:43:00Z</dcterms:modified>
</cp:coreProperties>
</file>