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99050" w14:textId="7FBF72B4" w:rsidR="00384C10" w:rsidRPr="00384C10" w:rsidRDefault="00384C10" w:rsidP="00384C10">
      <w:pPr>
        <w:spacing w:before="100" w:beforeAutospacing="1" w:after="100" w:afterAutospacing="1" w:line="240" w:lineRule="auto"/>
        <w:jc w:val="center"/>
        <w:rPr>
          <w:rFonts w:ascii="Book Antiqua" w:hAnsi="Book Antiqua"/>
          <w:b/>
          <w:bCs/>
          <w:color w:val="FF0000"/>
          <w:sz w:val="19"/>
          <w:szCs w:val="19"/>
        </w:rPr>
      </w:pPr>
      <w:r w:rsidRPr="00384C10">
        <w:rPr>
          <w:rFonts w:ascii="Book Antiqua" w:hAnsi="Book Antiqua"/>
          <w:b/>
          <w:bCs/>
          <w:color w:val="FF0000"/>
          <w:sz w:val="19"/>
          <w:szCs w:val="19"/>
        </w:rPr>
        <w:t>(Atualização em 1</w:t>
      </w:r>
      <w:r w:rsidR="00660ADE">
        <w:rPr>
          <w:rFonts w:ascii="Book Antiqua" w:hAnsi="Book Antiqua"/>
          <w:b/>
          <w:bCs/>
          <w:color w:val="FF0000"/>
          <w:sz w:val="19"/>
          <w:szCs w:val="19"/>
        </w:rPr>
        <w:t>5</w:t>
      </w:r>
      <w:r w:rsidRPr="00384C10">
        <w:rPr>
          <w:rFonts w:ascii="Book Antiqua" w:hAnsi="Book Antiqua"/>
          <w:b/>
          <w:bCs/>
          <w:color w:val="FF0000"/>
          <w:sz w:val="19"/>
          <w:szCs w:val="19"/>
        </w:rPr>
        <w:t>/04/2023: questões de concurso)</w:t>
      </w:r>
    </w:p>
    <w:p w14:paraId="71B3D77F" w14:textId="439E0884" w:rsidR="00384C10" w:rsidRPr="00384C10" w:rsidRDefault="00384C10" w:rsidP="00384C10">
      <w:pPr>
        <w:spacing w:before="100" w:beforeAutospacing="1" w:after="100" w:afterAutospacing="1" w:line="240" w:lineRule="auto"/>
        <w:jc w:val="center"/>
        <w:rPr>
          <w:rFonts w:ascii="Book Antiqua" w:hAnsi="Book Antiqua"/>
          <w:b/>
          <w:bCs/>
          <w:sz w:val="19"/>
          <w:szCs w:val="19"/>
        </w:rPr>
      </w:pPr>
      <w:r w:rsidRPr="00384C10">
        <w:rPr>
          <w:rFonts w:ascii="Book Antiqua" w:hAnsi="Book Antiqua"/>
          <w:b/>
          <w:bCs/>
          <w:sz w:val="19"/>
          <w:szCs w:val="19"/>
        </w:rPr>
        <w:t>PROVIMENTO Nº 30</w:t>
      </w:r>
    </w:p>
    <w:p w14:paraId="7EE5001B" w14:textId="75710A49" w:rsidR="00384C10" w:rsidRPr="00384C10" w:rsidRDefault="00384C10" w:rsidP="00384C10">
      <w:pPr>
        <w:spacing w:before="100" w:beforeAutospacing="1" w:after="100" w:afterAutospacing="1" w:line="240" w:lineRule="auto"/>
        <w:ind w:left="3261"/>
        <w:jc w:val="both"/>
        <w:rPr>
          <w:rFonts w:ascii="Book Antiqua" w:hAnsi="Book Antiqua"/>
          <w:sz w:val="19"/>
          <w:szCs w:val="19"/>
        </w:rPr>
      </w:pPr>
      <w:r w:rsidRPr="00384C10">
        <w:rPr>
          <w:rFonts w:ascii="Book Antiqua" w:hAnsi="Book Antiqua"/>
          <w:sz w:val="19"/>
          <w:szCs w:val="19"/>
        </w:rPr>
        <w:t>Disciplina a recepção e protesto de cheques, nas hipóteses que relaciona, visando coibir fraudes que possam acarretar prejuízos aos devedores ou a terceiros</w:t>
      </w:r>
    </w:p>
    <w:p w14:paraId="55CC3049"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O CORREGEDOR NACIONAL DE JUSTIÇA, Ministro Francisco Falcão, no uso de suas atribuições legais e constitucionais;</w:t>
      </w:r>
    </w:p>
    <w:p w14:paraId="64E25509"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as notícias de protestos de cheques antigos, com valores irrisórios, apresentados por terceiros, isoladamente ou em lote, sem a correta indicação dos endereços dos respectivos emitentes;</w:t>
      </w:r>
    </w:p>
    <w:p w14:paraId="1BB2D8EE"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que os apresentantes dos títulos, em observância da boa-fé, têm o dever de indicar os corretos endereços dos emitentes, para possibilitar que sejam notificados pessoalmente para pagar seus débitos, ou para que possam adotar as providências, judiciais ou extrajudiciais, eventualmente cabíveis para a tutela dos direitos que entenderem possuir;</w:t>
      </w:r>
    </w:p>
    <w:p w14:paraId="3631D9A4"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a existência de legislações estaduais que diferem o pagamento dos emolumentos para momento posterior à apresentação e lavratura do protesto, o que permite a aquisição por terceiros de cheques antigos, geralmente em lote e por baixos valores, e seu apontamento para protesto sem cautela quanto à indicação dos corretos endereços dos emitentes;</w:t>
      </w:r>
    </w:p>
    <w:p w14:paraId="60BC7ECA"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a notícia de lavratura de protestos de cheques que tiveram os pagamentos sustados em razão de comunicação de furto, de roubo, ou em decorrência de extravio ou subtração no interior da instituição bancária ou durante a remessa, pela instituição bancária, aos titulares das contas bancárias;</w:t>
      </w:r>
    </w:p>
    <w:p w14:paraId="0FE5E74E"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que o titular de um direito deve exercê-lo dentro dos limites impostos pelo seu fim econômico ou social, pela boa-fé ou pelos bons costumes (art. 188 do Código Civil), deve guardar nas relações</w:t>
      </w:r>
      <w:r>
        <w:rPr>
          <w:rFonts w:ascii="Book Antiqua" w:hAnsi="Book Antiqua"/>
          <w:sz w:val="19"/>
          <w:szCs w:val="19"/>
        </w:rPr>
        <w:t xml:space="preserve"> </w:t>
      </w:r>
      <w:r w:rsidRPr="00384C10">
        <w:rPr>
          <w:rFonts w:ascii="Book Antiqua" w:hAnsi="Book Antiqua"/>
          <w:sz w:val="19"/>
          <w:szCs w:val="19"/>
        </w:rPr>
        <w:t>contratuais o princípio da boa-fé (art. 422 do Código Civil), e que a boa-fé é princípio que norteia as relações de consumo;</w:t>
      </w:r>
      <w:r>
        <w:rPr>
          <w:rFonts w:ascii="Book Antiqua" w:hAnsi="Book Antiqua"/>
          <w:sz w:val="19"/>
          <w:szCs w:val="19"/>
        </w:rPr>
        <w:t xml:space="preserve"> </w:t>
      </w:r>
    </w:p>
    <w:p w14:paraId="2D474835"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CONSIDERANDO as medidas já adotadas por Corregedorias Gerais da Justiça, com sucesso, para coibir fraudes e práticas ditadas por má-fé que desvirtuam a finalidade do protesto de títulos e outros documentos de dívida;</w:t>
      </w:r>
    </w:p>
    <w:p w14:paraId="3B37F7AC"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RESOLVE;</w:t>
      </w:r>
    </w:p>
    <w:p w14:paraId="10F9D033" w14:textId="01FA310F"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660ADE">
        <w:rPr>
          <w:rFonts w:ascii="Book Antiqua" w:hAnsi="Book Antiqua"/>
          <w:b/>
          <w:bCs/>
          <w:sz w:val="19"/>
          <w:szCs w:val="19"/>
          <w:highlight w:val="magenta"/>
        </w:rPr>
        <w:t>Art. 1º</w:t>
      </w:r>
      <w:r w:rsidRPr="00660ADE">
        <w:rPr>
          <w:rFonts w:ascii="Book Antiqua" w:hAnsi="Book Antiqua"/>
          <w:b/>
          <w:bCs/>
          <w:sz w:val="19"/>
          <w:szCs w:val="19"/>
        </w:rPr>
        <w:t xml:space="preserve"> O cheque poderá ser protestado no lugar do pagamento, ou no domicílio do emitente, e deverá conter a prova da apresentação ao banco sacado e o motivo da recusa de pagamento, salvo se o protesto tiver por finalidade instruir medidas contra o estabelecimento de crédito</w:t>
      </w:r>
      <w:r w:rsidRPr="00384C10">
        <w:rPr>
          <w:rFonts w:ascii="Book Antiqua" w:hAnsi="Book Antiqua"/>
          <w:sz w:val="19"/>
          <w:szCs w:val="19"/>
        </w:rPr>
        <w:t>.</w:t>
      </w:r>
      <w:r w:rsidR="00660ADE">
        <w:rPr>
          <w:rFonts w:ascii="Book Antiqua" w:hAnsi="Book Antiqua"/>
          <w:sz w:val="19"/>
          <w:szCs w:val="19"/>
        </w:rPr>
        <w:t xml:space="preserve"> </w:t>
      </w:r>
      <w:r w:rsidR="00660ADE" w:rsidRPr="00A055AB">
        <w:rPr>
          <w:rFonts w:ascii="Book Antiqua" w:eastAsia="Times New Roman" w:hAnsi="Book Antiqua" w:cs="Times New Roman"/>
          <w:b/>
          <w:bCs/>
          <w:color w:val="FF0000"/>
          <w:sz w:val="18"/>
          <w:szCs w:val="18"/>
          <w:u w:val="single"/>
          <w:lang w:eastAsia="pt-BR"/>
        </w:rPr>
        <w:t>(Cartórios/TJ</w:t>
      </w:r>
      <w:r w:rsidR="00660ADE">
        <w:rPr>
          <w:rFonts w:ascii="Book Antiqua" w:eastAsia="Times New Roman" w:hAnsi="Book Antiqua" w:cs="Times New Roman"/>
          <w:b/>
          <w:bCs/>
          <w:color w:val="FF0000"/>
          <w:sz w:val="18"/>
          <w:szCs w:val="18"/>
          <w:u w:val="single"/>
          <w:lang w:eastAsia="pt-BR"/>
        </w:rPr>
        <w:t>AL</w:t>
      </w:r>
      <w:r w:rsidR="00660ADE" w:rsidRPr="00A055AB">
        <w:rPr>
          <w:rFonts w:ascii="Book Antiqua" w:eastAsia="Times New Roman" w:hAnsi="Book Antiqua" w:cs="Times New Roman"/>
          <w:b/>
          <w:bCs/>
          <w:color w:val="FF0000"/>
          <w:sz w:val="18"/>
          <w:szCs w:val="18"/>
          <w:u w:val="single"/>
          <w:lang w:eastAsia="pt-BR"/>
        </w:rPr>
        <w:t>-2019)</w:t>
      </w:r>
    </w:p>
    <w:p w14:paraId="5A3C460D" w14:textId="16E374F5" w:rsidR="00384C10" w:rsidRPr="00660ADE" w:rsidRDefault="00384C10" w:rsidP="00384C10">
      <w:pPr>
        <w:spacing w:before="100" w:beforeAutospacing="1" w:after="100" w:afterAutospacing="1" w:line="240" w:lineRule="auto"/>
        <w:ind w:firstLine="567"/>
        <w:jc w:val="both"/>
        <w:rPr>
          <w:rFonts w:ascii="Book Antiqua" w:hAnsi="Book Antiqua"/>
          <w:b/>
          <w:bCs/>
          <w:sz w:val="19"/>
          <w:szCs w:val="19"/>
        </w:rPr>
      </w:pPr>
      <w:r w:rsidRPr="00384C10">
        <w:rPr>
          <w:rFonts w:ascii="Book Antiqua" w:hAnsi="Book Antiqua"/>
          <w:b/>
          <w:bCs/>
          <w:sz w:val="19"/>
          <w:szCs w:val="19"/>
          <w:highlight w:val="magenta"/>
        </w:rPr>
        <w:t>Art. 2º</w:t>
      </w:r>
      <w:r w:rsidRPr="00384C10">
        <w:rPr>
          <w:rFonts w:ascii="Book Antiqua" w:hAnsi="Book Antiqua"/>
          <w:b/>
          <w:bCs/>
          <w:sz w:val="19"/>
          <w:szCs w:val="19"/>
        </w:rPr>
        <w:t xml:space="preserve"> É vedado o protesto de cheques devolvidos pelo banco sacado por motivo de furto, roubo ou extravio de folhas ou talonários, ou por fraude, nos casos dos motivos números 20, 25, 28, 30 e 35, da Resolução 1.682, de 31.01.1990, da Circular 2.313, de 26.05.1993, da Circular 3.050, de 02.08.2001, e da Circular 3.535, de 16 de maio de 2011, do Banco Central do Brasil, desde que os títulos não tenham circulado por meio de endosso, nem estejam garantidos por aval</w:t>
      </w:r>
      <w:r w:rsidRPr="00384C10">
        <w:rPr>
          <w:rFonts w:ascii="Book Antiqua" w:hAnsi="Book Antiqua"/>
          <w:sz w:val="18"/>
          <w:szCs w:val="18"/>
        </w:rPr>
        <w:t xml:space="preserve">. </w:t>
      </w:r>
      <w:r w:rsidRPr="00384C10">
        <w:rPr>
          <w:rFonts w:ascii="Book Antiqua" w:hAnsi="Book Antiqua"/>
          <w:b/>
          <w:bCs/>
          <w:color w:val="FF0000"/>
          <w:sz w:val="18"/>
          <w:szCs w:val="18"/>
          <w:u w:val="single"/>
        </w:rPr>
        <w:t>(Cartórios/TJPI-2013)</w:t>
      </w:r>
      <w:r w:rsidR="00660ADE">
        <w:rPr>
          <w:rFonts w:ascii="Book Antiqua" w:hAnsi="Book Antiqua"/>
          <w:b/>
          <w:bCs/>
          <w:color w:val="FF0000"/>
          <w:sz w:val="18"/>
          <w:szCs w:val="18"/>
        </w:rPr>
        <w:t xml:space="preserve"> </w:t>
      </w:r>
      <w:r w:rsidR="00660ADE" w:rsidRPr="00A055AB">
        <w:rPr>
          <w:rFonts w:ascii="Book Antiqua" w:eastAsia="Times New Roman" w:hAnsi="Book Antiqua" w:cs="Times New Roman"/>
          <w:b/>
          <w:bCs/>
          <w:color w:val="FF0000"/>
          <w:sz w:val="18"/>
          <w:szCs w:val="18"/>
          <w:u w:val="single"/>
          <w:lang w:eastAsia="pt-BR"/>
        </w:rPr>
        <w:t>(Cartórios/TJ</w:t>
      </w:r>
      <w:r w:rsidR="00660ADE">
        <w:rPr>
          <w:rFonts w:ascii="Book Antiqua" w:eastAsia="Times New Roman" w:hAnsi="Book Antiqua" w:cs="Times New Roman"/>
          <w:b/>
          <w:bCs/>
          <w:color w:val="FF0000"/>
          <w:sz w:val="18"/>
          <w:szCs w:val="18"/>
          <w:u w:val="single"/>
          <w:lang w:eastAsia="pt-BR"/>
        </w:rPr>
        <w:t>AL</w:t>
      </w:r>
      <w:r w:rsidR="00660ADE" w:rsidRPr="00A055AB">
        <w:rPr>
          <w:rFonts w:ascii="Book Antiqua" w:eastAsia="Times New Roman" w:hAnsi="Book Antiqua" w:cs="Times New Roman"/>
          <w:b/>
          <w:bCs/>
          <w:color w:val="FF0000"/>
          <w:sz w:val="18"/>
          <w:szCs w:val="18"/>
          <w:u w:val="single"/>
          <w:lang w:eastAsia="pt-BR"/>
        </w:rPr>
        <w:t>-2019)</w:t>
      </w:r>
    </w:p>
    <w:p w14:paraId="71E297D7"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1º A pessoa que figurar como emitente de cheque referido no caput deste artigo, já protestado, poderá solicitar diretamente ao Tabelião, sem ônus, o cancelamento do protesto tirado por falta de pagamento, instruindo o requerimento com prova do motivo da devolução do cheque pelo Banco sacado. O Tabelião, sendo suficiente a prova apresentada, promoverá, em até 30 dias, o cancelamento do protesto e a comunicação dessa medida ao apresentante, pelo Correio ou outro meio hábil.</w:t>
      </w:r>
    </w:p>
    <w:p w14:paraId="259D6281"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lastRenderedPageBreak/>
        <w:t>§ 2º Existindo nos cheques referidos no caput deste artigo endosso ou aval, não constarão nos assentamentos de serviços de protesto os nomes e números do CPF dos titulares da respectiva conta corrente bancária, anotandose nos campos próprios que o emitente é desconhecido e elaborando-se, em separado, índice pelo nome do apresentante.</w:t>
      </w:r>
    </w:p>
    <w:p w14:paraId="07923157" w14:textId="426D9D5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660ADE">
        <w:rPr>
          <w:rFonts w:ascii="Book Antiqua" w:hAnsi="Book Antiqua"/>
          <w:b/>
          <w:bCs/>
          <w:sz w:val="19"/>
          <w:szCs w:val="19"/>
          <w:highlight w:val="magenta"/>
        </w:rPr>
        <w:t>Art. 3º</w:t>
      </w:r>
      <w:r w:rsidRPr="00660ADE">
        <w:rPr>
          <w:rFonts w:ascii="Book Antiqua" w:hAnsi="Book Antiqua"/>
          <w:b/>
          <w:bCs/>
          <w:sz w:val="19"/>
          <w:szCs w:val="19"/>
        </w:rPr>
        <w:t xml:space="preserve"> Quando o cheque for apresentado para protesto mais de um ano após sua emissão será obrigatória a comprovação, pelo apresentante, do endereço do emitente</w:t>
      </w:r>
      <w:r w:rsidRPr="00384C10">
        <w:rPr>
          <w:rFonts w:ascii="Book Antiqua" w:hAnsi="Book Antiqua"/>
          <w:sz w:val="19"/>
          <w:szCs w:val="19"/>
        </w:rPr>
        <w:t>.</w:t>
      </w:r>
      <w:r w:rsidR="00660ADE">
        <w:rPr>
          <w:rFonts w:ascii="Book Antiqua" w:hAnsi="Book Antiqua"/>
          <w:sz w:val="19"/>
          <w:szCs w:val="19"/>
        </w:rPr>
        <w:t xml:space="preserve"> </w:t>
      </w:r>
      <w:r w:rsidR="00660ADE" w:rsidRPr="00A055AB">
        <w:rPr>
          <w:rFonts w:ascii="Book Antiqua" w:eastAsia="Times New Roman" w:hAnsi="Book Antiqua" w:cs="Times New Roman"/>
          <w:b/>
          <w:bCs/>
          <w:color w:val="FF0000"/>
          <w:sz w:val="18"/>
          <w:szCs w:val="18"/>
          <w:u w:val="single"/>
          <w:lang w:eastAsia="pt-BR"/>
        </w:rPr>
        <w:t>(Cartórios/TJ</w:t>
      </w:r>
      <w:r w:rsidR="00660ADE">
        <w:rPr>
          <w:rFonts w:ascii="Book Antiqua" w:eastAsia="Times New Roman" w:hAnsi="Book Antiqua" w:cs="Times New Roman"/>
          <w:b/>
          <w:bCs/>
          <w:color w:val="FF0000"/>
          <w:sz w:val="18"/>
          <w:szCs w:val="18"/>
          <w:u w:val="single"/>
          <w:lang w:eastAsia="pt-BR"/>
        </w:rPr>
        <w:t>AL</w:t>
      </w:r>
      <w:r w:rsidR="00660ADE" w:rsidRPr="00A055AB">
        <w:rPr>
          <w:rFonts w:ascii="Book Antiqua" w:eastAsia="Times New Roman" w:hAnsi="Book Antiqua" w:cs="Times New Roman"/>
          <w:b/>
          <w:bCs/>
          <w:color w:val="FF0000"/>
          <w:sz w:val="18"/>
          <w:szCs w:val="18"/>
          <w:u w:val="single"/>
          <w:lang w:eastAsia="pt-BR"/>
        </w:rPr>
        <w:t>-2019)</w:t>
      </w:r>
    </w:p>
    <w:p w14:paraId="434C29F6"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1º Igual comprovação poderá ser exigida pelo Tabelião quando o lugar de pagamento do cheque for diverso da comarca em que apresentado (ou do município em que sediado o Tabelião), ou houver razão para suspeitar da veracidade do endereço fornecido.</w:t>
      </w:r>
    </w:p>
    <w:p w14:paraId="2CE8C50F"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2º A comprovação do endereço do emitente, quando a devolução do cheque decorrer dos motivos correspondentes aos números 11, 12, 13, 14, 21, 22 e 31, previstos nos diplomas mencionados no art. 2º, será realizada mediante apresentação de declaração do Banco sacado, em papel timbrado e</w:t>
      </w:r>
      <w:r>
        <w:rPr>
          <w:rFonts w:ascii="Book Antiqua" w:hAnsi="Book Antiqua"/>
          <w:sz w:val="19"/>
          <w:szCs w:val="19"/>
        </w:rPr>
        <w:t xml:space="preserve"> </w:t>
      </w:r>
      <w:r w:rsidRPr="00384C10">
        <w:rPr>
          <w:rFonts w:ascii="Book Antiqua" w:hAnsi="Book Antiqua"/>
          <w:sz w:val="19"/>
          <w:szCs w:val="19"/>
        </w:rPr>
        <w:t>com identificação do signatário, fornecida nos termos do artigo 6º da Resolução nº 3.972, de 28 de abril de 2011, do Banco Central do Brasil. Certificando o Banco sacado que não pode fornecer a declaração, poderá o apresentante comprovar o endereço do emitente por outro meio hábil.</w:t>
      </w:r>
    </w:p>
    <w:p w14:paraId="763E98E6"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3º Devolvido o cheque por outro motivo, a comprovação do endereço poderá ser feita por meio da declaração do apresentante, ou outras provas documentais idôneas.</w:t>
      </w:r>
    </w:p>
    <w:p w14:paraId="3A4D9789"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4º Na hipótese prevista no art. 3º deste Provimento, o apresentante de título para protesto preencherá formulário de apresentação, a ser arquivado na serventia, em que informará, sob sua responsabilidade, as características essenciais do título e os dados do devedor.</w:t>
      </w:r>
    </w:p>
    <w:p w14:paraId="632CC266"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1º O formulário será assinado pelo apresentante ou seu representante legal, se for pessoa jurídica, ou, se não comparecer</w:t>
      </w:r>
      <w:r>
        <w:rPr>
          <w:rFonts w:ascii="Book Antiqua" w:hAnsi="Book Antiqua"/>
          <w:sz w:val="19"/>
          <w:szCs w:val="19"/>
        </w:rPr>
        <w:t xml:space="preserve"> </w:t>
      </w:r>
      <w:r w:rsidRPr="00384C10">
        <w:rPr>
          <w:rFonts w:ascii="Book Antiqua" w:hAnsi="Book Antiqua"/>
          <w:sz w:val="19"/>
          <w:szCs w:val="19"/>
        </w:rPr>
        <w:t>pessoalmente, pela pessoa que exibir o título ou o documento de dívida para ser protocolizado, devendo constar os nomes completos de ambos, os números de suas cédulas de identidade, de seus endereços e telefones.</w:t>
      </w:r>
    </w:p>
    <w:p w14:paraId="1BD60F03"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2º Para a recepção do título será conferida a cédula de identidade do apresentante, visando a apuração de sua correspondência com os dados lançados no formulário de apresentação.</w:t>
      </w:r>
    </w:p>
    <w:p w14:paraId="0D34B6C0"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3º Sendo o título exibido para recepção por pessoa distinta do apresentante ou de seu representante legal, além de conferida sua cédula de identidade será o formulário de apresentação instruído com cópia da cédula de identidade do apresentante, ou de seu representante legal se for pessoa jurídica, a ser arquivada na serventia.</w:t>
      </w:r>
    </w:p>
    <w:p w14:paraId="08D03F34"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4º Onde houver mais de um Tabelião de Protesto, o formulário de apresentação será entregue ao distribuidor de títulos, ou ao serviço de distribuição de títulos.</w:t>
      </w:r>
    </w:p>
    <w:p w14:paraId="7D35CE48"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 5º O formulário poderá ser preenchido em duas vias, uma para arquivamento e outra para servir como recibo a ser entregue ao apresentante, e poderá conter outras informações conforme dispuser norma da Corregedoria Geral da Justiça, ou do Juiz Corregedor Permanente ou Juiz competente na forma da organização local.</w:t>
      </w:r>
    </w:p>
    <w:p w14:paraId="1E92A522"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5º O Tabelião recusará o protesto de cheque quando tiver fundada suspeita de que o endereço indicado como sendo do devedor é incorreto.</w:t>
      </w:r>
    </w:p>
    <w:p w14:paraId="52E9F50E"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Parágrafo único. O Tabelião de Protesto comunicará o fato à Autoridade Policial quando constatar que o apresentante, agindo de má-fé,</w:t>
      </w:r>
      <w:r>
        <w:rPr>
          <w:rFonts w:ascii="Book Antiqua" w:hAnsi="Book Antiqua"/>
          <w:sz w:val="19"/>
          <w:szCs w:val="19"/>
        </w:rPr>
        <w:t xml:space="preserve"> </w:t>
      </w:r>
      <w:r w:rsidRPr="00384C10">
        <w:rPr>
          <w:rFonts w:ascii="Book Antiqua" w:hAnsi="Book Antiqua"/>
          <w:sz w:val="19"/>
          <w:szCs w:val="19"/>
        </w:rPr>
        <w:t>declarou endereço incorreto do devedor.</w:t>
      </w:r>
    </w:p>
    <w:p w14:paraId="31401430" w14:textId="093E4B07" w:rsidR="00384C10" w:rsidRPr="005B088A" w:rsidRDefault="00384C10" w:rsidP="00384C10">
      <w:pPr>
        <w:spacing w:before="100" w:beforeAutospacing="1" w:after="100" w:afterAutospacing="1" w:line="240" w:lineRule="auto"/>
        <w:ind w:firstLine="567"/>
        <w:jc w:val="both"/>
        <w:rPr>
          <w:rFonts w:ascii="Book Antiqua" w:hAnsi="Book Antiqua"/>
          <w:b/>
          <w:bCs/>
          <w:sz w:val="19"/>
          <w:szCs w:val="19"/>
        </w:rPr>
      </w:pPr>
      <w:r w:rsidRPr="005B088A">
        <w:rPr>
          <w:rFonts w:ascii="Book Antiqua" w:hAnsi="Book Antiqua"/>
          <w:b/>
          <w:bCs/>
          <w:sz w:val="19"/>
          <w:szCs w:val="19"/>
          <w:highlight w:val="magenta"/>
        </w:rPr>
        <w:t>Art. 6º</w:t>
      </w:r>
      <w:r w:rsidRPr="005B088A">
        <w:rPr>
          <w:rFonts w:ascii="Book Antiqua" w:hAnsi="Book Antiqua"/>
          <w:b/>
          <w:bCs/>
          <w:sz w:val="19"/>
          <w:szCs w:val="19"/>
        </w:rPr>
        <w:t xml:space="preserve"> Nos Estados em que o recolhimento dos emolumentos for diferido para data posterior à da apresentação e protesto, o protesto facultativo será recusado pelo Tabelião quando as circunstâncias da apresentação indicarem exercício abusivo de direito. Dentre outras, para tal finalidade, o Tabelião verificará as seguintes hipóteses:</w:t>
      </w:r>
      <w:r w:rsidR="005B088A" w:rsidRPr="005B088A">
        <w:rPr>
          <w:rFonts w:ascii="Book Antiqua" w:hAnsi="Book Antiqua"/>
          <w:b/>
          <w:bCs/>
          <w:sz w:val="19"/>
          <w:szCs w:val="19"/>
        </w:rPr>
        <w:t xml:space="preserve"> </w:t>
      </w:r>
      <w:r w:rsidR="005B088A" w:rsidRPr="005B088A">
        <w:rPr>
          <w:rFonts w:ascii="Book Antiqua" w:eastAsia="Times New Roman" w:hAnsi="Book Antiqua" w:cs="Times New Roman"/>
          <w:b/>
          <w:bCs/>
          <w:color w:val="FF0000"/>
          <w:spacing w:val="-3"/>
          <w:sz w:val="18"/>
          <w:szCs w:val="18"/>
          <w:u w:val="single"/>
          <w:lang w:eastAsia="pt-BR"/>
        </w:rPr>
        <w:t>(Cartórios/TJSP-2014)</w:t>
      </w:r>
    </w:p>
    <w:p w14:paraId="601D859E" w14:textId="30B6F341" w:rsidR="00384C10" w:rsidRPr="005B088A" w:rsidRDefault="00384C10" w:rsidP="00384C10">
      <w:pPr>
        <w:spacing w:before="100" w:beforeAutospacing="1" w:after="100" w:afterAutospacing="1" w:line="240" w:lineRule="auto"/>
        <w:ind w:firstLine="567"/>
        <w:jc w:val="both"/>
        <w:rPr>
          <w:rFonts w:ascii="Book Antiqua" w:hAnsi="Book Antiqua"/>
          <w:b/>
          <w:bCs/>
          <w:sz w:val="19"/>
          <w:szCs w:val="19"/>
        </w:rPr>
      </w:pPr>
      <w:r w:rsidRPr="005B088A">
        <w:rPr>
          <w:rFonts w:ascii="Book Antiqua" w:hAnsi="Book Antiqua"/>
          <w:b/>
          <w:bCs/>
          <w:sz w:val="19"/>
          <w:szCs w:val="19"/>
        </w:rPr>
        <w:lastRenderedPageBreak/>
        <w:t>I. cheques com datas antigas e valores irrisórios, apresentados, isoladamente ou em lote, por terceiros que não sejam seus beneficiários originais ou emitidos sem indicação do favorecido;</w:t>
      </w:r>
      <w:r w:rsidR="005B088A" w:rsidRPr="005B088A">
        <w:rPr>
          <w:rFonts w:ascii="Book Antiqua" w:hAnsi="Book Antiqua"/>
          <w:b/>
          <w:bCs/>
          <w:sz w:val="19"/>
          <w:szCs w:val="19"/>
        </w:rPr>
        <w:t xml:space="preserve"> </w:t>
      </w:r>
      <w:r w:rsidR="005B088A" w:rsidRPr="005B088A">
        <w:rPr>
          <w:rFonts w:ascii="Book Antiqua" w:eastAsia="Times New Roman" w:hAnsi="Book Antiqua" w:cs="Times New Roman"/>
          <w:b/>
          <w:bCs/>
          <w:color w:val="FF0000"/>
          <w:spacing w:val="-3"/>
          <w:sz w:val="18"/>
          <w:szCs w:val="18"/>
          <w:u w:val="single"/>
          <w:lang w:eastAsia="pt-BR"/>
        </w:rPr>
        <w:t>(Cartórios/TJSP-2014)</w:t>
      </w:r>
    </w:p>
    <w:p w14:paraId="4F8D6687" w14:textId="6739A2CF" w:rsidR="00384C10" w:rsidRPr="005B088A" w:rsidRDefault="00384C10" w:rsidP="00384C10">
      <w:pPr>
        <w:spacing w:before="100" w:beforeAutospacing="1" w:after="100" w:afterAutospacing="1" w:line="240" w:lineRule="auto"/>
        <w:ind w:firstLine="567"/>
        <w:jc w:val="both"/>
        <w:rPr>
          <w:rFonts w:ascii="Book Antiqua" w:hAnsi="Book Antiqua"/>
          <w:b/>
          <w:bCs/>
          <w:sz w:val="19"/>
          <w:szCs w:val="19"/>
        </w:rPr>
      </w:pPr>
      <w:r w:rsidRPr="005B088A">
        <w:rPr>
          <w:rFonts w:ascii="Book Antiqua" w:hAnsi="Book Antiqua"/>
          <w:b/>
          <w:bCs/>
          <w:sz w:val="19"/>
          <w:szCs w:val="19"/>
        </w:rPr>
        <w:t>II. indicação de endereço onde o emitente não residir, feita de modo a inviabilizar a intimação pessoal.</w:t>
      </w:r>
      <w:r w:rsidR="005B088A" w:rsidRPr="005B088A">
        <w:rPr>
          <w:rFonts w:ascii="Book Antiqua" w:hAnsi="Book Antiqua"/>
          <w:b/>
          <w:bCs/>
          <w:sz w:val="19"/>
          <w:szCs w:val="19"/>
        </w:rPr>
        <w:t xml:space="preserve"> </w:t>
      </w:r>
      <w:r w:rsidR="005B088A" w:rsidRPr="005B088A">
        <w:rPr>
          <w:rFonts w:ascii="Book Antiqua" w:eastAsia="Times New Roman" w:hAnsi="Book Antiqua" w:cs="Times New Roman"/>
          <w:b/>
          <w:bCs/>
          <w:color w:val="FF0000"/>
          <w:spacing w:val="-3"/>
          <w:sz w:val="18"/>
          <w:szCs w:val="18"/>
          <w:u w:val="single"/>
          <w:lang w:eastAsia="pt-BR"/>
        </w:rPr>
        <w:t>(Cartórios/TJSP-2014)</w:t>
      </w:r>
    </w:p>
    <w:p w14:paraId="3793A172"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Parágrafo único. Para apuração da legitimidade da pretensão, o Tabelião poderá exigir, de forma escrita e fundamentada, que o apresentante preste esclarecimentos sobre os motivos que justificam o protesto, assim como apresente provas complementares do endereço do emitente, arquivando na serventia a declaração e os documentos comprobatórios que lhe forem apresentados.</w:t>
      </w:r>
    </w:p>
    <w:p w14:paraId="27C4D4BE"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7º A recusa da lavratura do protesto deverá ser manifestada em nota devolutiva, por escrito, com exposição de seus fundamentos.</w:t>
      </w:r>
    </w:p>
    <w:p w14:paraId="318595C1"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Parágrafo único. Não se conformando com a recusa, o apresentante poderá requerer, em procedimento administrativo, sua revisão pelo Juiz Corregedor Permanente, ou pelo Juiz competente na forma da organização local, que poderá mantê-la ou determinar a lavratura do instrumento de</w:t>
      </w:r>
      <w:r>
        <w:rPr>
          <w:rFonts w:ascii="Book Antiqua" w:hAnsi="Book Antiqua"/>
          <w:sz w:val="19"/>
          <w:szCs w:val="19"/>
        </w:rPr>
        <w:t xml:space="preserve"> </w:t>
      </w:r>
      <w:r w:rsidRPr="00384C10">
        <w:rPr>
          <w:rFonts w:ascii="Book Antiqua" w:hAnsi="Book Antiqua"/>
          <w:sz w:val="19"/>
          <w:szCs w:val="19"/>
        </w:rPr>
        <w:t>protesto.</w:t>
      </w:r>
    </w:p>
    <w:p w14:paraId="3A1D5AF0"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8º As declarações e documentos comprobatórios de endereço previstos neste Provimento poderão ser arquivados em mídia eletrônica ou digital, inclusive com extração de imagem mediante uso de "scanner", fotografia ou outro meio hábil.</w:t>
      </w:r>
    </w:p>
    <w:p w14:paraId="56899D42"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9º Este Provimento não revoga as normas editadas pelas Corregedorias Gerais da Justiça e pelos Juízes Corregedores, ou Juízes</w:t>
      </w:r>
      <w:r>
        <w:rPr>
          <w:rFonts w:ascii="Book Antiqua" w:hAnsi="Book Antiqua"/>
          <w:sz w:val="19"/>
          <w:szCs w:val="19"/>
        </w:rPr>
        <w:t xml:space="preserve"> </w:t>
      </w:r>
      <w:r w:rsidRPr="00384C10">
        <w:rPr>
          <w:rFonts w:ascii="Book Antiqua" w:hAnsi="Book Antiqua"/>
          <w:sz w:val="19"/>
          <w:szCs w:val="19"/>
        </w:rPr>
        <w:t>competentes na forma da organização local, para o protesto de cheque, no que forem compatíveis.</w:t>
      </w:r>
    </w:p>
    <w:p w14:paraId="3AFA5A49" w14:textId="77777777" w:rsid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10. As Corregedorias Gerais da Justiça deverão dar ciência deste Provimento aos Juízes e aos responsáveis pelas unidades do serviço extrajudicial de protesto de títulos e documentos.</w:t>
      </w:r>
    </w:p>
    <w:p w14:paraId="363225AD" w14:textId="31667B89" w:rsidR="00384C10" w:rsidRPr="00384C10" w:rsidRDefault="00384C10" w:rsidP="00384C10">
      <w:pPr>
        <w:spacing w:before="100" w:beforeAutospacing="1" w:after="100" w:afterAutospacing="1" w:line="240" w:lineRule="auto"/>
        <w:ind w:firstLine="567"/>
        <w:jc w:val="both"/>
        <w:rPr>
          <w:rFonts w:ascii="Book Antiqua" w:hAnsi="Book Antiqua"/>
          <w:sz w:val="19"/>
          <w:szCs w:val="19"/>
        </w:rPr>
      </w:pPr>
      <w:r w:rsidRPr="00384C10">
        <w:rPr>
          <w:rFonts w:ascii="Book Antiqua" w:hAnsi="Book Antiqua"/>
          <w:sz w:val="19"/>
          <w:szCs w:val="19"/>
        </w:rPr>
        <w:t>Art. 11. Este Provimento entrará em vigência na data de sua Publicação.</w:t>
      </w:r>
    </w:p>
    <w:p w14:paraId="6A8B6789" w14:textId="77777777" w:rsidR="00384C10" w:rsidRPr="00384C10" w:rsidRDefault="00384C10" w:rsidP="00384C10">
      <w:pPr>
        <w:spacing w:before="100" w:beforeAutospacing="1" w:after="100" w:afterAutospacing="1" w:line="240" w:lineRule="auto"/>
        <w:jc w:val="center"/>
        <w:rPr>
          <w:rFonts w:ascii="Book Antiqua" w:hAnsi="Book Antiqua"/>
          <w:sz w:val="19"/>
          <w:szCs w:val="19"/>
        </w:rPr>
      </w:pPr>
      <w:r w:rsidRPr="00384C10">
        <w:rPr>
          <w:rFonts w:ascii="Book Antiqua" w:hAnsi="Book Antiqua"/>
          <w:sz w:val="19"/>
          <w:szCs w:val="19"/>
        </w:rPr>
        <w:t>Brasília, 16 de abril de 2013.</w:t>
      </w:r>
    </w:p>
    <w:p w14:paraId="1AB4A140" w14:textId="010FF333" w:rsidR="00384C10" w:rsidRPr="00384C10" w:rsidRDefault="00384C10" w:rsidP="00384C10">
      <w:pPr>
        <w:spacing w:before="100" w:beforeAutospacing="1" w:after="100" w:afterAutospacing="1" w:line="240" w:lineRule="auto"/>
        <w:jc w:val="center"/>
        <w:rPr>
          <w:rFonts w:ascii="Book Antiqua" w:hAnsi="Book Antiqua"/>
          <w:sz w:val="19"/>
          <w:szCs w:val="19"/>
        </w:rPr>
      </w:pPr>
      <w:r w:rsidRPr="00384C10">
        <w:rPr>
          <w:rFonts w:ascii="Book Antiqua" w:hAnsi="Book Antiqua"/>
          <w:sz w:val="19"/>
          <w:szCs w:val="19"/>
        </w:rPr>
        <w:t>Ministro FRANCISCO FALCÃO</w:t>
      </w:r>
    </w:p>
    <w:p w14:paraId="04A1F635" w14:textId="77777777" w:rsidR="00384C10" w:rsidRPr="00384C10" w:rsidRDefault="00384C10" w:rsidP="00384C10">
      <w:pPr>
        <w:spacing w:before="100" w:beforeAutospacing="1" w:after="100" w:afterAutospacing="1" w:line="240" w:lineRule="auto"/>
        <w:rPr>
          <w:rFonts w:ascii="Book Antiqua" w:hAnsi="Book Antiqua"/>
          <w:sz w:val="19"/>
          <w:szCs w:val="19"/>
        </w:rPr>
      </w:pPr>
    </w:p>
    <w:sectPr w:rsidR="00384C10" w:rsidRPr="00384C10" w:rsidSect="00384C10">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A0B"/>
    <w:rsid w:val="00384C10"/>
    <w:rsid w:val="003E0725"/>
    <w:rsid w:val="005B088A"/>
    <w:rsid w:val="00623E67"/>
    <w:rsid w:val="00660ADE"/>
    <w:rsid w:val="00BB7FE6"/>
    <w:rsid w:val="00D346F6"/>
    <w:rsid w:val="00F86E41"/>
    <w:rsid w:val="00F95A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DC07"/>
  <w15:chartTrackingRefBased/>
  <w15:docId w15:val="{ED5CAF66-6FE6-4B11-8343-92E5D381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C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1420</Words>
  <Characters>7668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2023-04-14T16:05:00Z</dcterms:created>
  <dcterms:modified xsi:type="dcterms:W3CDTF">2023-04-15T20:49:00Z</dcterms:modified>
</cp:coreProperties>
</file>