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4A9F3" w14:textId="59ECA0B9" w:rsidR="00BB7FE6" w:rsidRPr="00E22E0E" w:rsidRDefault="00E22E0E" w:rsidP="00E22E0E">
      <w:pPr>
        <w:jc w:val="center"/>
        <w:rPr>
          <w:rFonts w:ascii="Book Antiqua" w:hAnsi="Book Antiqua"/>
          <w:b/>
          <w:bCs/>
          <w:sz w:val="19"/>
          <w:szCs w:val="19"/>
        </w:rPr>
      </w:pPr>
      <w:r w:rsidRPr="00E22E0E">
        <w:rPr>
          <w:rFonts w:ascii="Book Antiqua" w:hAnsi="Book Antiqua"/>
          <w:b/>
          <w:bCs/>
          <w:sz w:val="19"/>
          <w:szCs w:val="19"/>
        </w:rPr>
        <w:t>Provimento Nº 45</w:t>
      </w:r>
    </w:p>
    <w:p w14:paraId="543CE14E" w14:textId="66F67311" w:rsidR="00E22E0E" w:rsidRDefault="00E22E0E" w:rsidP="00E22E0E">
      <w:pPr>
        <w:ind w:left="3544"/>
        <w:jc w:val="both"/>
        <w:rPr>
          <w:rFonts w:ascii="Book Antiqua" w:hAnsi="Book Antiqua"/>
          <w:sz w:val="19"/>
          <w:szCs w:val="19"/>
        </w:rPr>
      </w:pPr>
      <w:r w:rsidRPr="00E22E0E">
        <w:rPr>
          <w:rFonts w:ascii="Book Antiqua" w:hAnsi="Book Antiqua"/>
          <w:sz w:val="19"/>
          <w:szCs w:val="19"/>
        </w:rPr>
        <w:t>Revoga o Provimento 34 de 09/07/2013 e a Orientação 6 de 25/11/2013 e consolida as normas relativas à manutenção e escrituração dos livros Diário Auxiliar, Visitas e Correições e Controle de Depósito Prévio pelos titulares de delegações e responsáveis interinos do serviço extrajudicial de notas e registros públicos, e dá outras providências.</w:t>
      </w:r>
    </w:p>
    <w:p w14:paraId="777E4FB3" w14:textId="77777777" w:rsidR="00E22E0E" w:rsidRPr="00E22E0E" w:rsidRDefault="00E22E0E" w:rsidP="00E22E0E">
      <w:pPr>
        <w:jc w:val="both"/>
        <w:rPr>
          <w:rFonts w:ascii="Book Antiqua" w:hAnsi="Book Antiqua"/>
          <w:sz w:val="19"/>
          <w:szCs w:val="19"/>
        </w:rPr>
      </w:pPr>
    </w:p>
    <w:p w14:paraId="6F70511E"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 CORREGEDORA NACIONAL DE JUSTIÇA, Ministra NANCY ANDRIGHI, no uso de suas atribuições legais e constitucionais; </w:t>
      </w:r>
    </w:p>
    <w:p w14:paraId="63F4AB2C"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CONSIDERANDO o poder de fiscalização e normatização pelo Poder Judiciário segundo o disposto nos </w:t>
      </w:r>
      <w:proofErr w:type="spellStart"/>
      <w:r w:rsidRPr="00E22E0E">
        <w:rPr>
          <w:rFonts w:ascii="Book Antiqua" w:hAnsi="Book Antiqua"/>
          <w:sz w:val="19"/>
          <w:szCs w:val="19"/>
        </w:rPr>
        <w:t>arts</w:t>
      </w:r>
      <w:proofErr w:type="spellEnd"/>
      <w:r w:rsidRPr="00E22E0E">
        <w:rPr>
          <w:rFonts w:ascii="Book Antiqua" w:hAnsi="Book Antiqua"/>
          <w:sz w:val="19"/>
          <w:szCs w:val="19"/>
        </w:rPr>
        <w:t>. 103-B, § 4º, I e III, e 236, § 1º, da Constituição Federal de 1988 e no art. 8º, X, do Regimento Interno do Conselho Nacional de Justiça;</w:t>
      </w:r>
    </w:p>
    <w:p w14:paraId="0949FE93"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CONSIDERANDO a necessidade de aprimoramento e consolidação das normas relativas à escrituração dos livros administrativos obrigatórios mantidos pelo delegatários de serviços extrajudiciais, bem como por aqueles que a qualquer título respondam provisoriamente por tais serviços;</w:t>
      </w:r>
    </w:p>
    <w:p w14:paraId="0BBEACA6"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CONSIDERANDO que a fiscalização da prestação do serviço extrajudicial de notas e registros públicos abrange a verificação da regular observância das obrigações tributárias a que estão sujeitos seus titulares e os responsáveis interinamente por delegações vagas, no que tange ao lançamento de valores que compõem as bases de cálculo do Imposto de Renda (IR) e do Imposto Sobre Serviços (ISS), inclusive;</w:t>
      </w:r>
    </w:p>
    <w:p w14:paraId="5B7712CB"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CONSIDERANDO ainda a obrigatoriedade de fiscalização da regular observância da limitação remuneratória dos responsáveis interinamente por delegações vagas de notas e de registros públicos;</w:t>
      </w:r>
    </w:p>
    <w:p w14:paraId="4CAC25B2"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RESOLVE:</w:t>
      </w:r>
    </w:p>
    <w:p w14:paraId="17A28FB4" w14:textId="5CBA734A" w:rsidR="00E22E0E" w:rsidRPr="00034D2D" w:rsidRDefault="00E22E0E" w:rsidP="00E22E0E">
      <w:pPr>
        <w:ind w:firstLine="567"/>
        <w:jc w:val="both"/>
        <w:rPr>
          <w:rFonts w:ascii="Book Antiqua" w:hAnsi="Book Antiqua"/>
          <w:b/>
          <w:bCs/>
          <w:sz w:val="19"/>
          <w:szCs w:val="19"/>
        </w:rPr>
      </w:pPr>
      <w:r w:rsidRPr="00034D2D">
        <w:rPr>
          <w:rFonts w:ascii="Book Antiqua" w:hAnsi="Book Antiqua"/>
          <w:b/>
          <w:bCs/>
          <w:sz w:val="19"/>
          <w:szCs w:val="19"/>
          <w:highlight w:val="magenta"/>
        </w:rPr>
        <w:t>Art. 1º</w:t>
      </w:r>
      <w:r w:rsidRPr="00034D2D">
        <w:rPr>
          <w:rFonts w:ascii="Book Antiqua" w:hAnsi="Book Antiqua"/>
          <w:b/>
          <w:bCs/>
          <w:sz w:val="19"/>
          <w:szCs w:val="19"/>
        </w:rPr>
        <w:t xml:space="preserve"> Os serviços notariais e de registros públicos prestados mediante delegação do Poder Público possuirão os seguintes livros administrativos, salvo aqueles previstos em lei especial:</w:t>
      </w:r>
      <w:r w:rsidR="00034D2D" w:rsidRPr="00034D2D">
        <w:rPr>
          <w:rFonts w:ascii="Book Antiqua" w:hAnsi="Book Antiqua"/>
          <w:b/>
          <w:bCs/>
          <w:sz w:val="19"/>
          <w:szCs w:val="19"/>
        </w:rPr>
        <w:t xml:space="preserve"> </w:t>
      </w:r>
      <w:r w:rsidR="00034D2D" w:rsidRPr="00034D2D">
        <w:rPr>
          <w:rFonts w:ascii="Book Antiqua" w:hAnsi="Book Antiqua" w:cs="Times New Roman"/>
          <w:b/>
          <w:bCs/>
          <w:color w:val="FF0000"/>
          <w:sz w:val="18"/>
          <w:szCs w:val="18"/>
          <w:u w:val="single"/>
        </w:rPr>
        <w:t>(Cartórios/TJMG-2019)</w:t>
      </w:r>
    </w:p>
    <w:p w14:paraId="1E5DA472" w14:textId="5A982152" w:rsidR="00E22E0E" w:rsidRPr="00034D2D" w:rsidRDefault="00E22E0E" w:rsidP="00E22E0E">
      <w:pPr>
        <w:ind w:firstLine="567"/>
        <w:jc w:val="both"/>
        <w:rPr>
          <w:rFonts w:ascii="Book Antiqua" w:hAnsi="Book Antiqua"/>
          <w:b/>
          <w:bCs/>
          <w:sz w:val="19"/>
          <w:szCs w:val="19"/>
        </w:rPr>
      </w:pPr>
      <w:r w:rsidRPr="00034D2D">
        <w:rPr>
          <w:rFonts w:ascii="Book Antiqua" w:hAnsi="Book Antiqua"/>
          <w:b/>
          <w:bCs/>
          <w:sz w:val="19"/>
          <w:szCs w:val="19"/>
        </w:rPr>
        <w:t>a) Visitas e Correições;</w:t>
      </w:r>
      <w:r w:rsidR="00034D2D" w:rsidRPr="00034D2D">
        <w:rPr>
          <w:rFonts w:ascii="Book Antiqua" w:hAnsi="Book Antiqua"/>
          <w:b/>
          <w:bCs/>
          <w:sz w:val="19"/>
          <w:szCs w:val="19"/>
        </w:rPr>
        <w:t xml:space="preserve"> </w:t>
      </w:r>
      <w:r w:rsidR="00034D2D" w:rsidRPr="00034D2D">
        <w:rPr>
          <w:rFonts w:ascii="Book Antiqua" w:hAnsi="Book Antiqua" w:cs="Times New Roman"/>
          <w:b/>
          <w:bCs/>
          <w:color w:val="FF0000"/>
          <w:sz w:val="18"/>
          <w:szCs w:val="18"/>
          <w:u w:val="single"/>
        </w:rPr>
        <w:t>(Cartórios/TJMG-2019)</w:t>
      </w:r>
    </w:p>
    <w:p w14:paraId="3797D980" w14:textId="21BD2AE5" w:rsidR="00E22E0E" w:rsidRPr="00034D2D" w:rsidRDefault="00E22E0E" w:rsidP="00E22E0E">
      <w:pPr>
        <w:ind w:firstLine="567"/>
        <w:jc w:val="both"/>
        <w:rPr>
          <w:rFonts w:ascii="Book Antiqua" w:hAnsi="Book Antiqua"/>
          <w:b/>
          <w:bCs/>
          <w:sz w:val="19"/>
          <w:szCs w:val="19"/>
        </w:rPr>
      </w:pPr>
      <w:r w:rsidRPr="00034D2D">
        <w:rPr>
          <w:rFonts w:ascii="Book Antiqua" w:hAnsi="Book Antiqua"/>
          <w:b/>
          <w:bCs/>
          <w:sz w:val="19"/>
          <w:szCs w:val="19"/>
        </w:rPr>
        <w:t>b) Diário Auxiliar da Receita e da Despesa;</w:t>
      </w:r>
      <w:r w:rsidR="00034D2D" w:rsidRPr="00034D2D">
        <w:rPr>
          <w:rFonts w:ascii="Book Antiqua" w:hAnsi="Book Antiqua"/>
          <w:b/>
          <w:bCs/>
          <w:sz w:val="19"/>
          <w:szCs w:val="19"/>
        </w:rPr>
        <w:t xml:space="preserve"> </w:t>
      </w:r>
      <w:r w:rsidR="00034D2D" w:rsidRPr="00034D2D">
        <w:rPr>
          <w:rFonts w:ascii="Book Antiqua" w:hAnsi="Book Antiqua" w:cs="Times New Roman"/>
          <w:b/>
          <w:bCs/>
          <w:color w:val="FF0000"/>
          <w:sz w:val="18"/>
          <w:szCs w:val="18"/>
          <w:u w:val="single"/>
        </w:rPr>
        <w:t>(Cartórios/TJMG-2019)</w:t>
      </w:r>
    </w:p>
    <w:p w14:paraId="5CA38393" w14:textId="5269D819" w:rsidR="00E22E0E" w:rsidRPr="00E22E0E" w:rsidRDefault="00E22E0E" w:rsidP="00E22E0E">
      <w:pPr>
        <w:ind w:firstLine="567"/>
        <w:jc w:val="both"/>
        <w:rPr>
          <w:rFonts w:ascii="Book Antiqua" w:hAnsi="Book Antiqua"/>
          <w:sz w:val="19"/>
          <w:szCs w:val="19"/>
        </w:rPr>
      </w:pPr>
      <w:r w:rsidRPr="00034D2D">
        <w:rPr>
          <w:rFonts w:ascii="Book Antiqua" w:hAnsi="Book Antiqua"/>
          <w:b/>
          <w:bCs/>
          <w:sz w:val="19"/>
          <w:szCs w:val="19"/>
        </w:rPr>
        <w:t>c) Controle de Depósito Prévio, nos termos do art. 4º deste Provimento</w:t>
      </w:r>
      <w:r w:rsidRPr="00E22E0E">
        <w:rPr>
          <w:rFonts w:ascii="Book Antiqua" w:hAnsi="Book Antiqua"/>
          <w:sz w:val="19"/>
          <w:szCs w:val="19"/>
        </w:rPr>
        <w:t>.</w:t>
      </w:r>
      <w:r w:rsidR="00034D2D">
        <w:rPr>
          <w:rFonts w:ascii="Book Antiqua" w:hAnsi="Book Antiqua"/>
          <w:sz w:val="19"/>
          <w:szCs w:val="19"/>
        </w:rPr>
        <w:t xml:space="preserve"> </w:t>
      </w:r>
      <w:r w:rsidR="00034D2D">
        <w:rPr>
          <w:rFonts w:ascii="Book Antiqua" w:hAnsi="Book Antiqua" w:cs="Times New Roman"/>
          <w:b/>
          <w:bCs/>
          <w:color w:val="FF0000"/>
          <w:sz w:val="18"/>
          <w:szCs w:val="18"/>
          <w:u w:val="single"/>
        </w:rPr>
        <w:t>(Cartórios/TJMG-2019)</w:t>
      </w:r>
    </w:p>
    <w:p w14:paraId="5529B53B"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2º Os livros previstos neste Provimento serão abertos, numerados, autenticados e encerrados pelo delegatário, podendo utilizar-se, para esse fim, processo mecânico de autenticação previamente aprovado pela autoridade judiciária competente na esfera estadual ou distrital. </w:t>
      </w:r>
    </w:p>
    <w:p w14:paraId="5CBE8330"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Parágrafo único. O termo de abertura deverá conter o número do livro, o fim a que se destina, o número de folhas que contém, a declaração de que todas as suas folhas estão rubricadas e o fecho, com data, nome do delegatário e assinatura. </w:t>
      </w:r>
    </w:p>
    <w:p w14:paraId="2269B727" w14:textId="0866B20D" w:rsidR="00E22E0E" w:rsidRPr="00E22E0E" w:rsidRDefault="00E22E0E" w:rsidP="00E22E0E">
      <w:pPr>
        <w:ind w:firstLine="567"/>
        <w:jc w:val="both"/>
        <w:rPr>
          <w:rFonts w:ascii="Book Antiqua" w:hAnsi="Book Antiqua"/>
          <w:b/>
          <w:bCs/>
          <w:sz w:val="19"/>
          <w:szCs w:val="19"/>
        </w:rPr>
      </w:pPr>
      <w:r w:rsidRPr="00E22E0E">
        <w:rPr>
          <w:rFonts w:ascii="Book Antiqua" w:hAnsi="Book Antiqua"/>
          <w:b/>
          <w:bCs/>
          <w:sz w:val="19"/>
          <w:szCs w:val="19"/>
          <w:highlight w:val="magenta"/>
        </w:rPr>
        <w:t>Art. 3º</w:t>
      </w:r>
      <w:r w:rsidRPr="00E22E0E">
        <w:rPr>
          <w:rFonts w:ascii="Book Antiqua" w:hAnsi="Book Antiqua"/>
          <w:b/>
          <w:bCs/>
          <w:sz w:val="19"/>
          <w:szCs w:val="19"/>
        </w:rPr>
        <w:t xml:space="preserve"> Com exceção do Livro de Visitas e Correições, a responsabilidade pela escrituração dos livros referidos neste provimento é de responsabilidade direta do delegatário, ainda quando escriturado por um seu preposto. </w:t>
      </w:r>
      <w:r w:rsidRPr="00E22E0E">
        <w:rPr>
          <w:rFonts w:ascii="Book Antiqua" w:eastAsia="Times New Roman" w:hAnsi="Book Antiqua" w:cs="Arial"/>
          <w:b/>
          <w:bCs/>
          <w:color w:val="FF0000"/>
          <w:sz w:val="18"/>
          <w:szCs w:val="18"/>
          <w:u w:val="single"/>
          <w:lang w:eastAsia="pt-BR"/>
        </w:rPr>
        <w:t>(Cartórios/TJMG-2017</w:t>
      </w:r>
      <w:r w:rsidR="00034D2D">
        <w:rPr>
          <w:rFonts w:ascii="Book Antiqua" w:eastAsia="Times New Roman" w:hAnsi="Book Antiqua" w:cs="Arial"/>
          <w:b/>
          <w:bCs/>
          <w:color w:val="FF0000"/>
          <w:sz w:val="18"/>
          <w:szCs w:val="18"/>
          <w:u w:val="single"/>
          <w:lang w:eastAsia="pt-BR"/>
        </w:rPr>
        <w:t>/2019</w:t>
      </w:r>
      <w:r w:rsidRPr="00E22E0E">
        <w:rPr>
          <w:rFonts w:ascii="Book Antiqua" w:eastAsia="Times New Roman" w:hAnsi="Book Antiqua" w:cs="Arial"/>
          <w:b/>
          <w:bCs/>
          <w:color w:val="FF0000"/>
          <w:sz w:val="18"/>
          <w:szCs w:val="18"/>
          <w:u w:val="single"/>
          <w:lang w:eastAsia="pt-BR"/>
        </w:rPr>
        <w:t>)</w:t>
      </w:r>
    </w:p>
    <w:p w14:paraId="502EC51B" w14:textId="6D9DB30B" w:rsidR="00E22E0E" w:rsidRPr="00E22E0E" w:rsidRDefault="00E22E0E" w:rsidP="00E22E0E">
      <w:pPr>
        <w:ind w:firstLine="567"/>
        <w:jc w:val="both"/>
        <w:rPr>
          <w:rFonts w:ascii="Book Antiqua" w:hAnsi="Book Antiqua"/>
          <w:sz w:val="19"/>
          <w:szCs w:val="19"/>
        </w:rPr>
      </w:pPr>
      <w:r w:rsidRPr="00E22E0E">
        <w:rPr>
          <w:rFonts w:ascii="Book Antiqua" w:hAnsi="Book Antiqua"/>
          <w:b/>
          <w:bCs/>
          <w:sz w:val="19"/>
          <w:szCs w:val="19"/>
          <w:highlight w:val="magenta"/>
        </w:rPr>
        <w:t>Parágrafo único</w:t>
      </w:r>
      <w:r w:rsidRPr="00E22E0E">
        <w:rPr>
          <w:rFonts w:ascii="Book Antiqua" w:hAnsi="Book Antiqua"/>
          <w:b/>
          <w:bCs/>
          <w:sz w:val="19"/>
          <w:szCs w:val="19"/>
        </w:rPr>
        <w:t>. O Livro de Visitas e Correições será escriturado pelas competentes autoridades judiciárias fiscalizadoras e conterá cem páginas, respondendo o delegatário pela guarda e integridade do conjunto de atos nele praticados</w:t>
      </w:r>
      <w:r w:rsidRPr="00E22E0E">
        <w:rPr>
          <w:rFonts w:ascii="Book Antiqua" w:hAnsi="Book Antiqua"/>
          <w:sz w:val="19"/>
          <w:szCs w:val="19"/>
        </w:rPr>
        <w:t>.</w:t>
      </w:r>
      <w:r>
        <w:rPr>
          <w:rFonts w:ascii="Book Antiqua" w:hAnsi="Book Antiqua"/>
          <w:sz w:val="19"/>
          <w:szCs w:val="19"/>
        </w:rPr>
        <w:t xml:space="preserve"> </w:t>
      </w:r>
      <w:r w:rsidRPr="00A47CA9">
        <w:rPr>
          <w:rFonts w:ascii="Book Antiqua" w:eastAsia="Times New Roman" w:hAnsi="Book Antiqua" w:cs="Arial"/>
          <w:b/>
          <w:bCs/>
          <w:color w:val="FF0000"/>
          <w:sz w:val="18"/>
          <w:szCs w:val="18"/>
          <w:u w:val="single"/>
          <w:lang w:eastAsia="pt-BR"/>
        </w:rPr>
        <w:t>(Cartórios/TJMG-2017</w:t>
      </w:r>
      <w:r w:rsidR="00034D2D">
        <w:rPr>
          <w:rFonts w:ascii="Book Antiqua" w:eastAsia="Times New Roman" w:hAnsi="Book Antiqua" w:cs="Arial"/>
          <w:b/>
          <w:bCs/>
          <w:color w:val="FF0000"/>
          <w:sz w:val="18"/>
          <w:szCs w:val="18"/>
          <w:u w:val="single"/>
          <w:lang w:eastAsia="pt-BR"/>
        </w:rPr>
        <w:t>/2019</w:t>
      </w:r>
      <w:r w:rsidRPr="00A47CA9">
        <w:rPr>
          <w:rFonts w:ascii="Book Antiqua" w:eastAsia="Times New Roman" w:hAnsi="Book Antiqua" w:cs="Arial"/>
          <w:b/>
          <w:bCs/>
          <w:color w:val="FF0000"/>
          <w:sz w:val="18"/>
          <w:szCs w:val="18"/>
          <w:u w:val="single"/>
          <w:lang w:eastAsia="pt-BR"/>
        </w:rPr>
        <w:t>)</w:t>
      </w:r>
    </w:p>
    <w:p w14:paraId="6B987725"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4º. Os delegatários de unidades cujos serviços admitam o depósito prévio de emolumentos manterão livro próprio, especialmente aberto para o controle das importâncias recebidas a esse título, livro em que deverão indicar-se o número do protocolo, a data do depósito e o valor depositado, além </w:t>
      </w:r>
      <w:r w:rsidRPr="00E22E0E">
        <w:rPr>
          <w:rFonts w:ascii="Book Antiqua" w:hAnsi="Book Antiqua"/>
          <w:sz w:val="19"/>
          <w:szCs w:val="19"/>
        </w:rPr>
        <w:lastRenderedPageBreak/>
        <w:t>da data de sua conversão em emolumentos resultante da prática do ato solicitado, ou, conforme o caso, da data da devolução do valor depositado, quando o ato não for praticado.</w:t>
      </w:r>
    </w:p>
    <w:p w14:paraId="016B63DA"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Parágrafo único. Considerando a natureza dinâmica do Livro de Controle de Depósito Prévio, poderá este ser escriturado apenas eletronicamente, a critério do delegatário, livro esse que será impresso sempre que a autoridade judiciária competente assim o determinar, sem prejuízo da manutenção de cópia atualizada em sistema de backup ou outro método hábil para sua preservação.</w:t>
      </w:r>
    </w:p>
    <w:p w14:paraId="7A144C9C"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Art. 5º O Livro Diário Auxiliar observará o modelo usual para a forma contábil e terá suas folhas divididas em colunas para anotação da data, da discriminação da receita e da despesa, além do valor respectivo, devendo, quando impresso em folhas soltas, encadernar-se tão logo encerrado.</w:t>
      </w:r>
    </w:p>
    <w:p w14:paraId="66EEE7D0" w14:textId="3F01E995" w:rsidR="00E22E0E" w:rsidRPr="00034D2D" w:rsidRDefault="00E22E0E" w:rsidP="00E22E0E">
      <w:pPr>
        <w:ind w:firstLine="567"/>
        <w:jc w:val="both"/>
        <w:rPr>
          <w:rFonts w:ascii="Book Antiqua" w:hAnsi="Book Antiqua"/>
          <w:b/>
          <w:bCs/>
          <w:sz w:val="19"/>
          <w:szCs w:val="19"/>
        </w:rPr>
      </w:pPr>
      <w:r w:rsidRPr="00E22E0E">
        <w:rPr>
          <w:rFonts w:ascii="Book Antiqua" w:hAnsi="Book Antiqua"/>
          <w:b/>
          <w:bCs/>
          <w:sz w:val="19"/>
          <w:szCs w:val="19"/>
          <w:highlight w:val="magenta"/>
        </w:rPr>
        <w:t>Art. 6º</w:t>
      </w:r>
      <w:r w:rsidRPr="00E22E0E">
        <w:rPr>
          <w:rFonts w:ascii="Book Antiqua" w:hAnsi="Book Antiqua"/>
          <w:sz w:val="19"/>
          <w:szCs w:val="19"/>
        </w:rPr>
        <w:t xml:space="preserve"> </w:t>
      </w:r>
      <w:r w:rsidRPr="00034D2D">
        <w:rPr>
          <w:rFonts w:ascii="Book Antiqua" w:hAnsi="Book Antiqua"/>
          <w:b/>
          <w:bCs/>
          <w:sz w:val="19"/>
          <w:szCs w:val="19"/>
        </w:rPr>
        <w:t xml:space="preserve">A receita será lançada no Livro Diário Auxiliar separadamente, por especialidade, de forma individualizada, no dia da prática do ato, ainda que o delegatário não tenha recebido os emolumentos, devendo discriminar-se sucintamente, de modo a possibilitar-lhe identificação com a indicação, quando existente, do número do ato, ou do livro e da folha em que praticado, ou ainda o do protocolo. </w:t>
      </w:r>
      <w:r w:rsidR="00034D2D" w:rsidRPr="00034D2D">
        <w:rPr>
          <w:rFonts w:ascii="Book Antiqua" w:hAnsi="Book Antiqua" w:cs="Times New Roman"/>
          <w:b/>
          <w:bCs/>
          <w:color w:val="FF0000"/>
          <w:sz w:val="18"/>
          <w:szCs w:val="18"/>
          <w:u w:val="single"/>
        </w:rPr>
        <w:t>(Cartórios/TJMG-2019)</w:t>
      </w:r>
    </w:p>
    <w:p w14:paraId="0FDF1B1C"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 § 1º Para a finalidade prevista no caput deste artigo, considera-se como dia da prática do ato o da lavratura e encerramento do ato notarial, para o serviço de notas; o do registro, para os serviços de registros de imóveis, títulos e documentos e civil de pessoa jurídica; o do registro, para os atos não compensáveis do Registro Civil das Pessoas Naturais, e para seus atos gratuitos, o do momento do recebimento do pagamento efetuado por fundo de reembolso de atos gratuitos e fundo de renda mínima.</w:t>
      </w:r>
    </w:p>
    <w:p w14:paraId="42CFA815" w14:textId="66BA8444" w:rsidR="00E22E0E" w:rsidRPr="00E22E0E" w:rsidRDefault="00E22E0E" w:rsidP="00E22E0E">
      <w:pPr>
        <w:ind w:firstLine="567"/>
        <w:jc w:val="both"/>
        <w:rPr>
          <w:rFonts w:ascii="Book Antiqua" w:hAnsi="Book Antiqua"/>
          <w:sz w:val="19"/>
          <w:szCs w:val="19"/>
        </w:rPr>
      </w:pPr>
      <w:r w:rsidRPr="00034D2D">
        <w:rPr>
          <w:rFonts w:ascii="Book Antiqua" w:hAnsi="Book Antiqua"/>
          <w:b/>
          <w:bCs/>
          <w:sz w:val="19"/>
          <w:szCs w:val="19"/>
          <w:highlight w:val="magenta"/>
        </w:rPr>
        <w:t>§ 2º</w:t>
      </w:r>
      <w:r w:rsidRPr="00034D2D">
        <w:rPr>
          <w:rFonts w:ascii="Book Antiqua" w:hAnsi="Book Antiqua"/>
          <w:b/>
          <w:bCs/>
          <w:sz w:val="19"/>
          <w:szCs w:val="19"/>
        </w:rPr>
        <w:t xml:space="preserve"> Nos Estados em que o pagamento dos emolumentos para o serviço de protesto de título for diferido em virtude de previsão legal, será considerado como dia da prática do ato o da lavratura do termo de cancelamento, o do acatamento do pedido de desistência e o do pagamento do título, se outra data não decorrer de norma estadual específica</w:t>
      </w:r>
      <w:r w:rsidRPr="00E22E0E">
        <w:rPr>
          <w:rFonts w:ascii="Book Antiqua" w:hAnsi="Book Antiqua"/>
          <w:sz w:val="19"/>
          <w:szCs w:val="19"/>
        </w:rPr>
        <w:t>.</w:t>
      </w:r>
      <w:r w:rsidR="00034D2D">
        <w:rPr>
          <w:rFonts w:ascii="Book Antiqua" w:hAnsi="Book Antiqua"/>
          <w:sz w:val="19"/>
          <w:szCs w:val="19"/>
        </w:rPr>
        <w:t xml:space="preserve"> </w:t>
      </w:r>
      <w:r w:rsidR="00034D2D">
        <w:rPr>
          <w:rFonts w:ascii="Book Antiqua" w:hAnsi="Book Antiqua" w:cs="Times New Roman"/>
          <w:b/>
          <w:bCs/>
          <w:color w:val="FF0000"/>
          <w:sz w:val="18"/>
          <w:szCs w:val="18"/>
          <w:u w:val="single"/>
        </w:rPr>
        <w:t>(Cartórios/TJMG-2019)</w:t>
      </w:r>
    </w:p>
    <w:p w14:paraId="6C095632" w14:textId="5D135410" w:rsidR="00E22E0E" w:rsidRPr="00E22E0E" w:rsidRDefault="00E22E0E" w:rsidP="00E22E0E">
      <w:pPr>
        <w:ind w:firstLine="567"/>
        <w:jc w:val="both"/>
        <w:rPr>
          <w:rFonts w:ascii="Book Antiqua" w:hAnsi="Book Antiqua"/>
          <w:sz w:val="19"/>
          <w:szCs w:val="19"/>
        </w:rPr>
      </w:pPr>
      <w:r w:rsidRPr="00E22E0E">
        <w:rPr>
          <w:rFonts w:ascii="Book Antiqua" w:hAnsi="Book Antiqua"/>
          <w:b/>
          <w:bCs/>
          <w:sz w:val="19"/>
          <w:szCs w:val="19"/>
          <w:highlight w:val="magenta"/>
        </w:rPr>
        <w:t>§ 3º</w:t>
      </w:r>
      <w:r w:rsidRPr="00E22E0E">
        <w:rPr>
          <w:rFonts w:ascii="Book Antiqua" w:hAnsi="Book Antiqua"/>
          <w:b/>
          <w:bCs/>
          <w:sz w:val="19"/>
          <w:szCs w:val="19"/>
        </w:rPr>
        <w:t xml:space="preserve"> Os lançamentos relativos a receitas compreenderão os emolumentos previstos no regimento de custas estadual ou </w:t>
      </w:r>
      <w:r w:rsidRPr="00E22E0E">
        <w:rPr>
          <w:rFonts w:ascii="Book Antiqua" w:hAnsi="Book Antiqua"/>
          <w:b/>
          <w:bCs/>
          <w:sz w:val="19"/>
          <w:szCs w:val="19"/>
          <w:highlight w:val="yellow"/>
        </w:rPr>
        <w:t>distrital exclusivamente na parte percebida como receita do próprio delegatário</w:t>
      </w:r>
      <w:r w:rsidRPr="00E22E0E">
        <w:rPr>
          <w:rFonts w:ascii="Book Antiqua" w:hAnsi="Book Antiqua"/>
          <w:b/>
          <w:bCs/>
          <w:sz w:val="19"/>
          <w:szCs w:val="19"/>
        </w:rPr>
        <w:t xml:space="preserve">, em razão dos atos efetivamente praticados, </w:t>
      </w:r>
      <w:r w:rsidRPr="00E22E0E">
        <w:rPr>
          <w:rFonts w:ascii="Book Antiqua" w:hAnsi="Book Antiqua"/>
          <w:b/>
          <w:bCs/>
          <w:caps/>
          <w:sz w:val="19"/>
          <w:szCs w:val="19"/>
          <w:highlight w:val="green"/>
        </w:rPr>
        <w:t>excluídas</w:t>
      </w:r>
      <w:r w:rsidRPr="00E22E0E">
        <w:rPr>
          <w:rFonts w:ascii="Book Antiqua" w:hAnsi="Book Antiqua"/>
          <w:b/>
          <w:bCs/>
          <w:sz w:val="19"/>
          <w:szCs w:val="19"/>
        </w:rPr>
        <w:t xml:space="preserve"> as quantias recebidas em depósito para a prática futura de atos, os tributos recebidos a título de substituição tributária ou outro valor que constitua receita devida diretamente ao Estado, ao Distrito Federal, ao Tribunal de Justiça, a outras entidades de direito, e aos fundos de renda mínima e de custeio de atos gratuitos, conforme previsão legal específica.</w:t>
      </w:r>
      <w:r>
        <w:rPr>
          <w:rFonts w:ascii="Book Antiqua" w:hAnsi="Book Antiqua"/>
          <w:sz w:val="19"/>
          <w:szCs w:val="19"/>
        </w:rPr>
        <w:t xml:space="preserve"> </w:t>
      </w:r>
      <w:bookmarkStart w:id="0" w:name="_Hlk132713510"/>
      <w:r w:rsidRPr="00A47CA9">
        <w:rPr>
          <w:rFonts w:ascii="Book Antiqua" w:eastAsia="Times New Roman" w:hAnsi="Book Antiqua" w:cs="Arial"/>
          <w:b/>
          <w:bCs/>
          <w:color w:val="FF0000"/>
          <w:sz w:val="18"/>
          <w:szCs w:val="18"/>
          <w:u w:val="single"/>
          <w:lang w:eastAsia="pt-BR"/>
        </w:rPr>
        <w:t>(Cartórios/TJMG-2017)</w:t>
      </w:r>
      <w:bookmarkEnd w:id="0"/>
    </w:p>
    <w:p w14:paraId="59E02443"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Art.7º É vedada a prática de cobrança parcial ou de não cobrança de emolumentos, ressalvadas as hipóteses de isenção, não incidência ou diferimento previstas na legislação específica. </w:t>
      </w:r>
    </w:p>
    <w:p w14:paraId="41C9977E" w14:textId="033C8477" w:rsidR="00E22E0E" w:rsidRPr="00E22E0E" w:rsidRDefault="00E22E0E" w:rsidP="00E22E0E">
      <w:pPr>
        <w:ind w:firstLine="567"/>
        <w:jc w:val="both"/>
        <w:rPr>
          <w:rFonts w:ascii="Book Antiqua" w:hAnsi="Book Antiqua"/>
          <w:b/>
          <w:bCs/>
          <w:sz w:val="19"/>
          <w:szCs w:val="19"/>
        </w:rPr>
      </w:pPr>
      <w:r w:rsidRPr="00E22E0E">
        <w:rPr>
          <w:rFonts w:ascii="Book Antiqua" w:hAnsi="Book Antiqua"/>
          <w:b/>
          <w:bCs/>
          <w:sz w:val="19"/>
          <w:szCs w:val="19"/>
          <w:highlight w:val="magenta"/>
        </w:rPr>
        <w:t>Art.8º</w:t>
      </w:r>
      <w:r w:rsidRPr="00E22E0E">
        <w:rPr>
          <w:rFonts w:ascii="Book Antiqua" w:hAnsi="Book Antiqua"/>
          <w:b/>
          <w:bCs/>
          <w:sz w:val="19"/>
          <w:szCs w:val="19"/>
        </w:rPr>
        <w:t xml:space="preserve"> As despesas serão lançadas no dia em que se efetivarem e sempre deverão resultar da prestação do serviço delegado, sendo passíveis de lançamento no Livro Diário Auxiliar todas as relativas investimentos, custeio e pessoal, promovidas a critério do delegatário, dentre outras: </w:t>
      </w:r>
      <w:r w:rsidRPr="00E22E0E">
        <w:rPr>
          <w:rFonts w:ascii="Book Antiqua" w:eastAsia="Times New Roman" w:hAnsi="Book Antiqua" w:cs="Arial"/>
          <w:b/>
          <w:bCs/>
          <w:color w:val="FF0000"/>
          <w:sz w:val="18"/>
          <w:szCs w:val="18"/>
          <w:u w:val="single"/>
          <w:lang w:eastAsia="pt-BR"/>
        </w:rPr>
        <w:t>(Cartórios/TJMG-2017)</w:t>
      </w:r>
    </w:p>
    <w:p w14:paraId="3FA33135"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locação de bens móveis e imóveis utilizados para a prestação do serviço, incluídos os destinados à guarda de livros, equipamentos e restante do acervo da serventia;</w:t>
      </w:r>
    </w:p>
    <w:p w14:paraId="00C067D1"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contratação de obras e serviços para a conservação, ampliação ou melhoria dos prédios utilizados para a prestação do serviço público;</w:t>
      </w:r>
    </w:p>
    <w:p w14:paraId="3DA5B982"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contratação de serviços, os terceirizados inclusive, de limpeza e de segurança;</w:t>
      </w:r>
    </w:p>
    <w:p w14:paraId="50BAB533"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aquisição de móveis, utensílios, eletrodomésticos e equipamentos mantidos no local da prestação do serviço delegado, incluídos os destinados ao entretenimento dos usuários que aguardem a prestação do serviço e os de manutenção de refeitório;</w:t>
      </w:r>
    </w:p>
    <w:p w14:paraId="3615A497"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aquisição ou locação de equipamentos (hardware), de programas (software) e de serviços de informática, incluídos os de manutenção prestados de forma terceirizada;</w:t>
      </w:r>
    </w:p>
    <w:p w14:paraId="0234F5D1"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formação e manutenção de arquivo de segurança;</w:t>
      </w:r>
    </w:p>
    <w:p w14:paraId="7991219C"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aquisição de materiais utilizados na prestação do serviço, incluídos os utilizados para a manutenção das instalações da serventia;</w:t>
      </w:r>
    </w:p>
    <w:p w14:paraId="4DD99FB3"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 xml:space="preserve">plano individual ou coletivo de assistência médica e odontológica contratado com entidade privada de saúde em favor dos prepostos e seus dependentes legais, assim como do titular </w:t>
      </w:r>
      <w:r w:rsidRPr="00E22E0E">
        <w:rPr>
          <w:rFonts w:ascii="Book Antiqua" w:hAnsi="Book Antiqua"/>
          <w:sz w:val="19"/>
          <w:szCs w:val="19"/>
        </w:rPr>
        <w:lastRenderedPageBreak/>
        <w:t>da delegação e seus dependentes legais, caso se trate de plano coletivo em que também incluídos os prepostos do delegatário;</w:t>
      </w:r>
    </w:p>
    <w:p w14:paraId="59E7EB76"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despesas trabalhistas com prepostos, incluídos FGTS, vale alimentação, vale transporte e quaisquer outros valores que lhes integrem a remuneração, além das contribuições previdenciárias devidas ao Instituto Nacional do Seguro Social - INSS ou ao órgão previdenciário estadual;</w:t>
      </w:r>
    </w:p>
    <w:p w14:paraId="757072E9"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custeio de cursos de aperfeiçoamento técnico ou formação jurídica fornecidos aos prepostos ou em que regularmente inscrito o titular da delegação, desde que voltados exclusivamente ao aprimoramento dos conhecimentos jurídicos, ou, em relação aos prepostos, à melhoria dos conhecimentos em sua área de atuação;</w:t>
      </w:r>
    </w:p>
    <w:p w14:paraId="6492C71C"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 xml:space="preserve">o valor que for recolhido a título de Imposto Sobre Serviço </w:t>
      </w:r>
      <w:proofErr w:type="gramStart"/>
      <w:r w:rsidRPr="00E22E0E">
        <w:rPr>
          <w:rFonts w:ascii="Book Antiqua" w:hAnsi="Book Antiqua"/>
          <w:sz w:val="19"/>
          <w:szCs w:val="19"/>
        </w:rPr>
        <w:t>–  ISS</w:t>
      </w:r>
      <w:proofErr w:type="gramEnd"/>
      <w:r w:rsidRPr="00E22E0E">
        <w:rPr>
          <w:rFonts w:ascii="Book Antiqua" w:hAnsi="Book Antiqua"/>
          <w:sz w:val="19"/>
          <w:szCs w:val="19"/>
        </w:rPr>
        <w:t xml:space="preserve"> devido pela prestação do serviço extrajudicial, quando incidente sobre os emolumentos percebidos pelo delegatário;</w:t>
      </w:r>
    </w:p>
    <w:p w14:paraId="790188BC" w14:textId="77777777" w:rsid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o valor de despesas com assessoria jurídica para a prestação do serviço extrajudicial;</w:t>
      </w:r>
    </w:p>
    <w:p w14:paraId="34FA6CD6" w14:textId="1D69A592" w:rsidR="00E22E0E" w:rsidRPr="00E22E0E" w:rsidRDefault="00E22E0E" w:rsidP="00E22E0E">
      <w:pPr>
        <w:pStyle w:val="PargrafodaLista"/>
        <w:numPr>
          <w:ilvl w:val="0"/>
          <w:numId w:val="1"/>
        </w:numPr>
        <w:jc w:val="both"/>
        <w:rPr>
          <w:rFonts w:ascii="Book Antiqua" w:hAnsi="Book Antiqua"/>
          <w:sz w:val="19"/>
          <w:szCs w:val="19"/>
        </w:rPr>
      </w:pPr>
      <w:r w:rsidRPr="00E22E0E">
        <w:rPr>
          <w:rFonts w:ascii="Book Antiqua" w:hAnsi="Book Antiqua"/>
          <w:sz w:val="19"/>
          <w:szCs w:val="19"/>
        </w:rPr>
        <w:t>o valor de despesas com assessoria de engenharia para a regularização fundiária e a retificação de registro.</w:t>
      </w:r>
    </w:p>
    <w:p w14:paraId="062E13BB"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Parágrafo único. Serão arquivados na forma definida em lei ou em norma das Corregedorias Gerais da Justiça dos Estados e do Distrito Federal todos os comprovantes das despesas efetuadas, incluindo os de retenção do imposto de renda, pelo prazo mínimo de cinco anos, salvo quando houver expressa previsão de prazo maior.</w:t>
      </w:r>
    </w:p>
    <w:p w14:paraId="0D9204D7"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Art. 9º. Ao final de cada mês serão somadas, em separado, as receitas e as despesas da unidade de serviço extrajudicial, com a apuração do saldo líquido positivo ou negativo do período.</w:t>
      </w:r>
    </w:p>
    <w:p w14:paraId="1690A190"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10 Ao final de cada exercício será feito o balanço anual da unidade de serviço extrajudicial, com a indicação da receita, da despesa e do líquido mês a mês, e apuração do saldo positivo ou negativo do período. </w:t>
      </w:r>
    </w:p>
    <w:p w14:paraId="2A6C0CDE" w14:textId="0AA8B571" w:rsidR="00E22E0E" w:rsidRPr="00E22E0E" w:rsidRDefault="00E22E0E" w:rsidP="00E22E0E">
      <w:pPr>
        <w:ind w:firstLine="567"/>
        <w:jc w:val="both"/>
        <w:rPr>
          <w:rFonts w:ascii="Book Antiqua" w:hAnsi="Book Antiqua"/>
          <w:sz w:val="19"/>
          <w:szCs w:val="19"/>
        </w:rPr>
      </w:pPr>
      <w:r w:rsidRPr="00034D2D">
        <w:rPr>
          <w:rFonts w:ascii="Book Antiqua" w:hAnsi="Book Antiqua"/>
          <w:b/>
          <w:bCs/>
          <w:sz w:val="19"/>
          <w:szCs w:val="19"/>
          <w:highlight w:val="magenta"/>
        </w:rPr>
        <w:t>Art. 11</w:t>
      </w:r>
      <w:r w:rsidRPr="00034D2D">
        <w:rPr>
          <w:rFonts w:ascii="Book Antiqua" w:hAnsi="Book Antiqua"/>
          <w:b/>
          <w:bCs/>
          <w:sz w:val="19"/>
          <w:szCs w:val="19"/>
        </w:rPr>
        <w:t xml:space="preserve"> Anualmente, </w:t>
      </w:r>
      <w:r w:rsidRPr="00034D2D">
        <w:rPr>
          <w:rFonts w:ascii="Book Antiqua" w:hAnsi="Book Antiqua"/>
          <w:b/>
          <w:bCs/>
          <w:sz w:val="19"/>
          <w:szCs w:val="19"/>
          <w:highlight w:val="yellow"/>
        </w:rPr>
        <w:t>até o décimo dia útil do mês de fevereiro</w:t>
      </w:r>
      <w:r w:rsidRPr="00034D2D">
        <w:rPr>
          <w:rFonts w:ascii="Book Antiqua" w:hAnsi="Book Antiqua"/>
          <w:b/>
          <w:bCs/>
          <w:sz w:val="19"/>
          <w:szCs w:val="19"/>
        </w:rPr>
        <w:t>, o Livro Diário Auxiliar será visado pela autoridade judiciária competente, que determinará, sendo o caso, as glosas necessárias, podendo, ainda, ordenar sua apresentação sempre que entender conveniente</w:t>
      </w:r>
      <w:r w:rsidRPr="00E22E0E">
        <w:rPr>
          <w:rFonts w:ascii="Book Antiqua" w:hAnsi="Book Antiqua"/>
          <w:sz w:val="19"/>
          <w:szCs w:val="19"/>
        </w:rPr>
        <w:t xml:space="preserve">. </w:t>
      </w:r>
      <w:r w:rsidR="00034D2D">
        <w:rPr>
          <w:rFonts w:ascii="Book Antiqua" w:hAnsi="Book Antiqua" w:cs="Times New Roman"/>
          <w:b/>
          <w:bCs/>
          <w:color w:val="FF0000"/>
          <w:sz w:val="18"/>
          <w:szCs w:val="18"/>
          <w:u w:val="single"/>
        </w:rPr>
        <w:t>(Cartórios/TJMG-2019)</w:t>
      </w:r>
    </w:p>
    <w:p w14:paraId="581A80B5"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Parágrafo único. O requerimento de reexame da decisão que determina exclusão de lançamento de despesa deverá ser formulado no prazo de recurso administrativo previsto na Lei de Organização Judiciária local ou, caso inexista, no prazo de 15 dias contados de sua ciência pelo delegatário.</w:t>
      </w:r>
    </w:p>
    <w:p w14:paraId="2474D353"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Art. 12 É facultativa a utilização do Livro Diário Auxiliar também para fins de recolhimento do Imposto de Renda (IR), ressalvada nesta hipótese a obrigação de o delegatário indicar quais as despesas não dedutíveis para essa última finalidade e também o saldo mensal específico para fins de imposto de renda.</w:t>
      </w:r>
    </w:p>
    <w:p w14:paraId="7DD9330D"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Parágrafo único.  A mesma faculdade aplica-se para os fins de cálculo de Imposto Sobre Serviços (ISS), hipótese em que deverá ser observada a legislação municipal.</w:t>
      </w:r>
    </w:p>
    <w:p w14:paraId="5BC92CBA"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Art.13 As normas impostas por este Provimento aos delegatários de serviços notariais e registrais aplicam-se aos designados para responder interinamente por serventias vagas, observadas as seguintes peculiaridades:</w:t>
      </w:r>
    </w:p>
    <w:p w14:paraId="709C19FE"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I - Os responsáveis interinamente por delegações vagas de notas e de registro lançarão no Livro Diário Auxiliar o valor da renda líquida excedente a 90,25% dos subsídios de Ministro do Supremo Tribunal Federal que depositarem à disposição do Tribunal de Justiça correspondente, indicando a data do depósito e a conta em que realizado, observadas as normas editadas para esse depósito pelo respectivo Tribunal. </w:t>
      </w:r>
    </w:p>
    <w:p w14:paraId="5F4D3F72"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II – Ao responsável interinamente por delegação vaga é defeso contratar novos prepostos, aumentar salários dos prepostos já existentes na unidade, ou contratar novas locações de bens móveis ou imóveis, de equipamentos ou de serviços, que possam onerar a renda da unidade vaga de modo continuado, sem a prévia autorização do Tribunal a que estiver afeta a unidade do serviço.</w:t>
      </w:r>
    </w:p>
    <w:p w14:paraId="43D8EAEE"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III - Todos os investimentos que comprometam a renda da unidade vaga deverão ser objeto de projeto a ser encaminhado para a aprovação do Tribunal de Justiça competente.</w:t>
      </w:r>
    </w:p>
    <w:p w14:paraId="2FC0E561"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lastRenderedPageBreak/>
        <w:t>IV - Respeitado o disposto no inciso anterior, para apuração do valor excedente a 90,25% dos subsídios de Ministro do Supremo Tribunal Federal, deve abater-se, como despesas do responsável interinamente pela unidade vaga, as previstas no art. 8º deste Provimento.</w:t>
      </w:r>
    </w:p>
    <w:p w14:paraId="6C8EC667"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V – Nos prazos previstos no art. 2º do Provimento nº 24/2012 desta Corregedoria Nacional de Justiça, os responsáveis interinamente pelas unidades vagas lançarão no sistema “Justiça Aberta”, em campos específicos criados para essa finalidade, os valores que, nos termos do inciso anterior, depositarem na conta indicada pelo respectivo Tribunal de Justiça. (Redação dada pelo Provimento n. 76, de 12.09.2018)</w:t>
      </w:r>
    </w:p>
    <w:p w14:paraId="0985822B"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VI – A periodicidade de recolhimento do valor da renda líquida excedente a 90,25% dos subsídios de Ministro do Supremo Tribunal Federal é trimestral, considerando-se as receitas e despesas do trimestre, não havendo lei estadual que estabeleça periodicidade diversa. (Incluído pelo Provimento n. 76, de 12.09.2018)</w:t>
      </w:r>
    </w:p>
    <w:p w14:paraId="542D12C6" w14:textId="77777777" w:rsidR="00E22E0E" w:rsidRPr="00E22E0E" w:rsidRDefault="00E22E0E" w:rsidP="00E22E0E">
      <w:pPr>
        <w:ind w:firstLine="567"/>
        <w:jc w:val="both"/>
        <w:rPr>
          <w:rFonts w:ascii="Book Antiqua" w:hAnsi="Book Antiqua"/>
          <w:b/>
          <w:bCs/>
          <w:sz w:val="19"/>
          <w:szCs w:val="19"/>
        </w:rPr>
      </w:pPr>
      <w:r w:rsidRPr="00E22E0E">
        <w:rPr>
          <w:rFonts w:ascii="Book Antiqua" w:hAnsi="Book Antiqua"/>
          <w:b/>
          <w:bCs/>
          <w:sz w:val="19"/>
          <w:szCs w:val="19"/>
          <w:highlight w:val="magenta"/>
        </w:rPr>
        <w:t>Art. 14</w:t>
      </w:r>
      <w:r w:rsidRPr="00E22E0E">
        <w:rPr>
          <w:rFonts w:ascii="Book Antiqua" w:hAnsi="Book Antiqua"/>
          <w:b/>
          <w:bCs/>
          <w:sz w:val="19"/>
          <w:szCs w:val="19"/>
        </w:rPr>
        <w:t>. Será disciplinado por norma editada pela competente Corregedoria Geral da Justiça local:</w:t>
      </w:r>
    </w:p>
    <w:p w14:paraId="187482CC" w14:textId="58B9D039" w:rsidR="00E22E0E" w:rsidRPr="00E22E0E" w:rsidRDefault="00E22E0E" w:rsidP="00E22E0E">
      <w:pPr>
        <w:ind w:firstLine="567"/>
        <w:jc w:val="both"/>
        <w:rPr>
          <w:rFonts w:ascii="Book Antiqua" w:hAnsi="Book Antiqua"/>
          <w:b/>
          <w:bCs/>
          <w:sz w:val="19"/>
          <w:szCs w:val="19"/>
        </w:rPr>
      </w:pPr>
      <w:r w:rsidRPr="00E22E0E">
        <w:rPr>
          <w:rFonts w:ascii="Book Antiqua" w:hAnsi="Book Antiqua"/>
          <w:b/>
          <w:bCs/>
          <w:sz w:val="19"/>
          <w:szCs w:val="19"/>
        </w:rPr>
        <w:t xml:space="preserve">a) o controle dos recolhimentos relativos à taxa de fiscalização, ao selo ou a outro valor que constituir receita devida ao Estado, ao Distrito Federal, ao Tribunal de Justiça, ao Município, a outras entidades de direito, e aos fundos de renda mínima e de custeio de atos gratuitos; </w:t>
      </w:r>
      <w:r w:rsidRPr="00E22E0E">
        <w:rPr>
          <w:rFonts w:ascii="Book Antiqua" w:eastAsia="Times New Roman" w:hAnsi="Book Antiqua" w:cs="Arial"/>
          <w:b/>
          <w:bCs/>
          <w:color w:val="FF0000"/>
          <w:sz w:val="18"/>
          <w:szCs w:val="18"/>
          <w:u w:val="single"/>
          <w:lang w:eastAsia="pt-BR"/>
        </w:rPr>
        <w:t>(Cartórios/TJMG-2017)</w:t>
      </w:r>
    </w:p>
    <w:p w14:paraId="1CD8004B"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b) o dia da prática do ato notarial ou registral, quanto aos serviços de Registro de Distribuição e de Registro de Contratos Marítimos, eventualmente existentes.</w:t>
      </w:r>
    </w:p>
    <w:p w14:paraId="21B8F0DA"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w:t>
      </w:r>
      <w:proofErr w:type="gramStart"/>
      <w:r w:rsidRPr="00E22E0E">
        <w:rPr>
          <w:rFonts w:ascii="Book Antiqua" w:hAnsi="Book Antiqua"/>
          <w:sz w:val="19"/>
          <w:szCs w:val="19"/>
        </w:rPr>
        <w:t>15  Este</w:t>
      </w:r>
      <w:proofErr w:type="gramEnd"/>
      <w:r w:rsidRPr="00E22E0E">
        <w:rPr>
          <w:rFonts w:ascii="Book Antiqua" w:hAnsi="Book Antiqua"/>
          <w:sz w:val="19"/>
          <w:szCs w:val="19"/>
        </w:rPr>
        <w:t xml:space="preserve"> Provimento não revoga, no que forem compatíveis, as normas editadas pelas Corregedorias Gerais da Justiça e pelos Juízes Corregedores, ou Juízes competentes na forma da organização local, relativas à escrituração de Livro Diário, Livro Diário Auxiliar ou Livro Contábil. </w:t>
      </w:r>
    </w:p>
    <w:p w14:paraId="4A6A491D"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w:t>
      </w:r>
      <w:proofErr w:type="gramStart"/>
      <w:r w:rsidRPr="00E22E0E">
        <w:rPr>
          <w:rFonts w:ascii="Book Antiqua" w:hAnsi="Book Antiqua"/>
          <w:sz w:val="19"/>
          <w:szCs w:val="19"/>
        </w:rPr>
        <w:t>16  As</w:t>
      </w:r>
      <w:proofErr w:type="gramEnd"/>
      <w:r w:rsidRPr="00E22E0E">
        <w:rPr>
          <w:rFonts w:ascii="Book Antiqua" w:hAnsi="Book Antiqua"/>
          <w:sz w:val="19"/>
          <w:szCs w:val="19"/>
        </w:rPr>
        <w:t xml:space="preserve"> Corregedorias Gerais da Justiça deverão dar ciência deste Provimento aos Juízes Corregedores ou Juízes que na forma da organização local forem competentes para a fiscalização dos serviços extrajudiciais de notas e de registro, e aos responsáveis pelas unidades do serviço extrajudicial de notas e de registro. </w:t>
      </w:r>
    </w:p>
    <w:p w14:paraId="58F69CDE" w14:textId="77777777" w:rsidR="00E22E0E" w:rsidRPr="00E22E0E" w:rsidRDefault="00E22E0E" w:rsidP="00E22E0E">
      <w:pPr>
        <w:ind w:firstLine="567"/>
        <w:jc w:val="both"/>
        <w:rPr>
          <w:rFonts w:ascii="Book Antiqua" w:hAnsi="Book Antiqua"/>
          <w:sz w:val="19"/>
          <w:szCs w:val="19"/>
        </w:rPr>
      </w:pPr>
      <w:r w:rsidRPr="00E22E0E">
        <w:rPr>
          <w:rFonts w:ascii="Book Antiqua" w:hAnsi="Book Antiqua"/>
          <w:sz w:val="19"/>
          <w:szCs w:val="19"/>
        </w:rPr>
        <w:t xml:space="preserve">Art. </w:t>
      </w:r>
      <w:proofErr w:type="gramStart"/>
      <w:r w:rsidRPr="00E22E0E">
        <w:rPr>
          <w:rFonts w:ascii="Book Antiqua" w:hAnsi="Book Antiqua"/>
          <w:sz w:val="19"/>
          <w:szCs w:val="19"/>
        </w:rPr>
        <w:t>17  Este</w:t>
      </w:r>
      <w:proofErr w:type="gramEnd"/>
      <w:r w:rsidRPr="00E22E0E">
        <w:rPr>
          <w:rFonts w:ascii="Book Antiqua" w:hAnsi="Book Antiqua"/>
          <w:sz w:val="19"/>
          <w:szCs w:val="19"/>
        </w:rPr>
        <w:t xml:space="preserve"> Provimento entrará em vigor em 30 dias contados de sua publicação, revogando-se o Provimento n. 34/2013 e Orientação 6/2013 desta Corregedoria Nacional de Justiça.  </w:t>
      </w:r>
    </w:p>
    <w:p w14:paraId="226E8B98" w14:textId="3E7C9DAC" w:rsidR="00E22E0E" w:rsidRPr="00E22E0E" w:rsidRDefault="00E22E0E" w:rsidP="00E22E0E">
      <w:pPr>
        <w:ind w:firstLine="567"/>
        <w:jc w:val="center"/>
        <w:rPr>
          <w:rFonts w:ascii="Book Antiqua" w:hAnsi="Book Antiqua"/>
          <w:sz w:val="19"/>
          <w:szCs w:val="19"/>
        </w:rPr>
      </w:pPr>
      <w:r w:rsidRPr="00E22E0E">
        <w:rPr>
          <w:rFonts w:ascii="Book Antiqua" w:hAnsi="Book Antiqua"/>
          <w:sz w:val="19"/>
          <w:szCs w:val="19"/>
        </w:rPr>
        <w:t>Brasília, 13 de maio de 2015.</w:t>
      </w:r>
    </w:p>
    <w:p w14:paraId="19064534" w14:textId="77777777" w:rsidR="00E22E0E" w:rsidRPr="00E22E0E" w:rsidRDefault="00E22E0E" w:rsidP="00E22E0E">
      <w:pPr>
        <w:ind w:firstLine="567"/>
        <w:jc w:val="center"/>
        <w:rPr>
          <w:rFonts w:ascii="Book Antiqua" w:hAnsi="Book Antiqua"/>
          <w:sz w:val="19"/>
          <w:szCs w:val="19"/>
        </w:rPr>
      </w:pPr>
      <w:r w:rsidRPr="00E22E0E">
        <w:rPr>
          <w:rFonts w:ascii="Book Antiqua" w:hAnsi="Book Antiqua"/>
          <w:sz w:val="19"/>
          <w:szCs w:val="19"/>
        </w:rPr>
        <w:t>Ministra NANCY ANDRIGHI</w:t>
      </w:r>
    </w:p>
    <w:p w14:paraId="5133787C" w14:textId="41009995" w:rsidR="00E22E0E" w:rsidRPr="00E22E0E" w:rsidRDefault="00E22E0E" w:rsidP="00E22E0E">
      <w:pPr>
        <w:ind w:firstLine="567"/>
        <w:jc w:val="center"/>
        <w:rPr>
          <w:rFonts w:ascii="Book Antiqua" w:hAnsi="Book Antiqua"/>
          <w:sz w:val="19"/>
          <w:szCs w:val="19"/>
        </w:rPr>
      </w:pPr>
      <w:r w:rsidRPr="00E22E0E">
        <w:rPr>
          <w:rFonts w:ascii="Book Antiqua" w:hAnsi="Book Antiqua"/>
          <w:sz w:val="19"/>
          <w:szCs w:val="19"/>
        </w:rPr>
        <w:t>Corregedoria Nacional de Justiça</w:t>
      </w:r>
    </w:p>
    <w:sectPr w:rsidR="00E22E0E" w:rsidRPr="00E22E0E" w:rsidSect="00E22E0E">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83F83"/>
    <w:multiLevelType w:val="hybridMultilevel"/>
    <w:tmpl w:val="4D701AD0"/>
    <w:lvl w:ilvl="0" w:tplc="624EE0D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num w:numId="1" w16cid:durableId="1941915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0C"/>
    <w:rsid w:val="00034D2D"/>
    <w:rsid w:val="0007690C"/>
    <w:rsid w:val="005D2B9A"/>
    <w:rsid w:val="00A403A9"/>
    <w:rsid w:val="00BB7FE6"/>
    <w:rsid w:val="00D346F6"/>
    <w:rsid w:val="00E22E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EC63A"/>
  <w15:chartTrackingRefBased/>
  <w15:docId w15:val="{9266D3E3-5A56-4507-B027-EE71B1C0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22E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2216</Words>
  <Characters>11970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2023-04-18T15:40:00Z</dcterms:created>
  <dcterms:modified xsi:type="dcterms:W3CDTF">2023-04-20T17:32:00Z</dcterms:modified>
</cp:coreProperties>
</file>