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A3A0B" w14:textId="2D03EBAD" w:rsidR="002F5C40" w:rsidRPr="002F5C40" w:rsidRDefault="002F5C40" w:rsidP="00251285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2F5C40">
        <w:rPr>
          <w:rFonts w:ascii="Book Antiqua" w:hAnsi="Book Antiqua"/>
          <w:b/>
          <w:bCs/>
          <w:color w:val="FF0000"/>
          <w:sz w:val="19"/>
          <w:szCs w:val="19"/>
        </w:rPr>
        <w:t>(Atualização em 23/04/2023; questões de concurso)</w:t>
      </w:r>
    </w:p>
    <w:p w14:paraId="45C49098" w14:textId="13983F8A" w:rsidR="00BB7FE6" w:rsidRPr="00251285" w:rsidRDefault="00251285" w:rsidP="00251285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51285">
        <w:rPr>
          <w:rFonts w:ascii="Book Antiqua" w:hAnsi="Book Antiqua"/>
          <w:b/>
          <w:bCs/>
          <w:sz w:val="19"/>
          <w:szCs w:val="19"/>
        </w:rPr>
        <w:t>Provimento Nº 72 de 27/06/2018</w:t>
      </w:r>
    </w:p>
    <w:p w14:paraId="7AB671FD" w14:textId="47A03D23" w:rsidR="00251285" w:rsidRPr="00251285" w:rsidRDefault="00251285" w:rsidP="00251285">
      <w:pPr>
        <w:spacing w:before="100" w:beforeAutospacing="1" w:after="100" w:afterAutospacing="1" w:line="240" w:lineRule="auto"/>
        <w:ind w:left="2835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Dispõe sobre medidas de incentivo à quitação ou à renegociação de dívidas protestadas nos tabelionatos de protesto do Brasil.</w:t>
      </w:r>
    </w:p>
    <w:p w14:paraId="049E2A77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O CORREGEDOR NACIONAL DA JUSTIÇA, usando de suas atribuições constitucionais, legais e regimentais e</w:t>
      </w:r>
    </w:p>
    <w:p w14:paraId="35F29447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CONSIDERANDO o poder de fiscalização e de normatização do Poder Judiciário dos atos praticados por seus órgãos (art. 103-B, § 4º, I, II e III, da Constituição Federal de 1988);</w:t>
      </w:r>
    </w:p>
    <w:p w14:paraId="4EFB49C1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CONSIDERANDO a competência do Poder Judiciário de fiscalizar os serviços extrajudiciais (</w:t>
      </w:r>
      <w:proofErr w:type="spellStart"/>
      <w:r w:rsidRPr="00251285">
        <w:rPr>
          <w:rFonts w:ascii="Book Antiqua" w:hAnsi="Book Antiqua"/>
          <w:sz w:val="19"/>
          <w:szCs w:val="19"/>
        </w:rPr>
        <w:t>arts</w:t>
      </w:r>
      <w:proofErr w:type="spellEnd"/>
      <w:r w:rsidRPr="00251285">
        <w:rPr>
          <w:rFonts w:ascii="Book Antiqua" w:hAnsi="Book Antiqua"/>
          <w:sz w:val="19"/>
          <w:szCs w:val="19"/>
        </w:rPr>
        <w:t>. 103-B, § 4º, I e III, e 236, § 1º, da Constituição Federal);</w:t>
      </w:r>
    </w:p>
    <w:p w14:paraId="2D069638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CONSIDERANDO a competência da Corregedoria Nacional de Justiça de expedir provimentos e outros atos normativos destinados ao aperfeiçoamento das atividades dos serviços extrajudiciais (art. 8º, X, do Regimento Interno do Conselho Nacional de Justiça);</w:t>
      </w:r>
    </w:p>
    <w:p w14:paraId="35C47878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CONSIDERANDO a obrigação dos serviços extrajudiciais de cumprir as normas técnicas estabelecidas pelo Poder Judiciário (</w:t>
      </w:r>
      <w:proofErr w:type="spellStart"/>
      <w:r w:rsidRPr="00251285">
        <w:rPr>
          <w:rFonts w:ascii="Book Antiqua" w:hAnsi="Book Antiqua"/>
          <w:sz w:val="19"/>
          <w:szCs w:val="19"/>
        </w:rPr>
        <w:t>arts</w:t>
      </w:r>
      <w:proofErr w:type="spellEnd"/>
      <w:r w:rsidRPr="00251285">
        <w:rPr>
          <w:rFonts w:ascii="Book Antiqua" w:hAnsi="Book Antiqua"/>
          <w:sz w:val="19"/>
          <w:szCs w:val="19"/>
        </w:rPr>
        <w:t>. 37 e 38 da Lei n. 8.935, de 18 de novembro de 1994);</w:t>
      </w:r>
    </w:p>
    <w:p w14:paraId="52A6E591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CONSIDERANDO a incumbência do Conselho Nacional de Justiça de consolidar uma política pública permanente de incentivo e aperfeiçoamento dos mecanismos consensuais de solução de litígios (Resolução CNJ n. 125, de 29 de novembro de 2010);</w:t>
      </w:r>
    </w:p>
    <w:p w14:paraId="120D903F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CONSIDERANDO a necessidade de organização e uniformização de procedimentos consensuais de solução de conflitos, a serem realizados, de forma facultativa, pelos serviços extrajudiciais;</w:t>
      </w:r>
    </w:p>
    <w:p w14:paraId="5BE1208B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CONSIDERANDO as disposições do Código de Processo Civil, da Lei n. 13.140, de 26 de junho de 2015, e as sugestões e aquiescência da Comissão de Acesso à Justiça e Cidadania (CAJC), do Conselho Nacional de Justiça,</w:t>
      </w:r>
    </w:p>
    <w:p w14:paraId="5F46E98C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RESOLVE:</w:t>
      </w:r>
    </w:p>
    <w:p w14:paraId="3224B83A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Art. 1º Dispor sobre medidas de incentivo à quitação ou renegociação de dívidas protestadas nos tabelionatos de protesto do Brasil.</w:t>
      </w:r>
    </w:p>
    <w:p w14:paraId="670BB7BD" w14:textId="2EA70162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251285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251285">
        <w:rPr>
          <w:rFonts w:ascii="Book Antiqua" w:hAnsi="Book Antiqua"/>
          <w:b/>
          <w:bCs/>
          <w:sz w:val="19"/>
          <w:szCs w:val="19"/>
        </w:rPr>
        <w:t xml:space="preserve"> As medidas de incentivo à quitação ou à renegociação de dívidas protestadas nos tabelionatos de protesto serão medidas </w:t>
      </w:r>
      <w:r w:rsidRPr="00251285">
        <w:rPr>
          <w:rFonts w:ascii="Book Antiqua" w:hAnsi="Book Antiqua"/>
          <w:b/>
          <w:bCs/>
          <w:sz w:val="19"/>
          <w:szCs w:val="19"/>
          <w:highlight w:val="cyan"/>
        </w:rPr>
        <w:t>prévias</w:t>
      </w:r>
      <w:r w:rsidRPr="00251285">
        <w:rPr>
          <w:rFonts w:ascii="Book Antiqua" w:hAnsi="Book Antiqua"/>
          <w:b/>
          <w:bCs/>
          <w:sz w:val="19"/>
          <w:szCs w:val="19"/>
        </w:rPr>
        <w:t xml:space="preserve"> e </w:t>
      </w:r>
      <w:r w:rsidRPr="00251285">
        <w:rPr>
          <w:rFonts w:ascii="Book Antiqua" w:hAnsi="Book Antiqua"/>
          <w:b/>
          <w:bCs/>
          <w:sz w:val="19"/>
          <w:szCs w:val="19"/>
          <w:highlight w:val="cyan"/>
        </w:rPr>
        <w:t>facultativas</w:t>
      </w:r>
      <w:r w:rsidRPr="00251285">
        <w:rPr>
          <w:rFonts w:ascii="Book Antiqua" w:hAnsi="Book Antiqua"/>
          <w:b/>
          <w:bCs/>
          <w:sz w:val="19"/>
          <w:szCs w:val="19"/>
        </w:rPr>
        <w:t xml:space="preserve"> aos procedimentos de conciliação e mediação e deverão observar os requisitos previstos neste provimento</w:t>
      </w:r>
      <w:r w:rsidRPr="00251285">
        <w:rPr>
          <w:rFonts w:ascii="Book Antiqua" w:hAnsi="Book Antiqua"/>
          <w:sz w:val="18"/>
          <w:szCs w:val="18"/>
        </w:rPr>
        <w:t xml:space="preserve">. </w:t>
      </w:r>
      <w:r w:rsidRPr="0025128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(Cartórios/TJMG-2019)</w:t>
      </w:r>
    </w:p>
    <w:p w14:paraId="2DE4BFEC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Art. 3º As </w:t>
      </w:r>
      <w:proofErr w:type="spellStart"/>
      <w:r w:rsidRPr="00251285">
        <w:rPr>
          <w:rFonts w:ascii="Book Antiqua" w:hAnsi="Book Antiqua"/>
          <w:sz w:val="19"/>
          <w:szCs w:val="19"/>
        </w:rPr>
        <w:t>corregedorias-gerais</w:t>
      </w:r>
      <w:proofErr w:type="spellEnd"/>
      <w:r w:rsidRPr="00251285">
        <w:rPr>
          <w:rFonts w:ascii="Book Antiqua" w:hAnsi="Book Antiqua"/>
          <w:sz w:val="19"/>
          <w:szCs w:val="19"/>
        </w:rPr>
        <w:t xml:space="preserve"> de justiça dos Estados e do Distrito Federal e dos Territórios manterão em seu site listagem pública dos tabelionatos de protesto autorizados a realizar as medidas de incentivo à quitação ou à renegociação de dívidas protestadas e os procedimentos de conciliação e mediação, indicando os nomes dos conciliadores e mediadores, de livre escolha das partes.</w:t>
      </w:r>
    </w:p>
    <w:p w14:paraId="0C5FC2BF" w14:textId="4AA17C56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§ </w:t>
      </w:r>
      <w:r w:rsidRPr="00251285">
        <w:rPr>
          <w:rFonts w:ascii="Book Antiqua" w:hAnsi="Book Antiqua"/>
          <w:sz w:val="19"/>
          <w:szCs w:val="19"/>
        </w:rPr>
        <w:t xml:space="preserve">1º O processo de autorização dos tabelionatos de protesto deverá ser submetido ao Núcleo Permanente de Métodos Consensuais de Solução de Conflitos (NUPEMEC) dos tribunais e às </w:t>
      </w:r>
      <w:proofErr w:type="spellStart"/>
      <w:r w:rsidRPr="00251285">
        <w:rPr>
          <w:rFonts w:ascii="Book Antiqua" w:hAnsi="Book Antiqua"/>
          <w:sz w:val="19"/>
          <w:szCs w:val="19"/>
        </w:rPr>
        <w:t>corregedorias-gerais</w:t>
      </w:r>
      <w:proofErr w:type="spellEnd"/>
      <w:r w:rsidRPr="00251285">
        <w:rPr>
          <w:rFonts w:ascii="Book Antiqua" w:hAnsi="Book Antiqua"/>
          <w:sz w:val="19"/>
          <w:szCs w:val="19"/>
        </w:rPr>
        <w:t xml:space="preserve"> de justiça dos Estados e do Distrito Federal e dos Territórios.</w:t>
      </w:r>
    </w:p>
    <w:p w14:paraId="50BEBF4D" w14:textId="1AD97BC9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§ </w:t>
      </w:r>
      <w:r w:rsidRPr="00251285">
        <w:rPr>
          <w:rFonts w:ascii="Book Antiqua" w:hAnsi="Book Antiqua"/>
          <w:sz w:val="19"/>
          <w:szCs w:val="19"/>
        </w:rPr>
        <w:t>2º O processo de autorização mencionado no parágrafo anterior deverá ser instruído com os seguintes documentos:</w:t>
      </w:r>
    </w:p>
    <w:p w14:paraId="40BDC35E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51285">
        <w:rPr>
          <w:rFonts w:ascii="Book Antiqua" w:hAnsi="Book Antiqua"/>
          <w:sz w:val="19"/>
          <w:szCs w:val="19"/>
        </w:rPr>
        <w:t>plano</w:t>
      </w:r>
      <w:proofErr w:type="gramEnd"/>
      <w:r w:rsidRPr="00251285">
        <w:rPr>
          <w:rFonts w:ascii="Book Antiqua" w:hAnsi="Book Antiqua"/>
          <w:sz w:val="19"/>
          <w:szCs w:val="19"/>
        </w:rPr>
        <w:t xml:space="preserve"> de trabalho, indicando a estrutura existente para a prestação de serviço de conciliação e mediação;</w:t>
      </w:r>
    </w:p>
    <w:p w14:paraId="5B262F37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lastRenderedPageBreak/>
        <w:t xml:space="preserve">II – </w:t>
      </w:r>
      <w:proofErr w:type="gramStart"/>
      <w:r w:rsidRPr="00251285">
        <w:rPr>
          <w:rFonts w:ascii="Book Antiqua" w:hAnsi="Book Antiqua"/>
          <w:sz w:val="19"/>
          <w:szCs w:val="19"/>
        </w:rPr>
        <w:t>proposta</w:t>
      </w:r>
      <w:proofErr w:type="gramEnd"/>
      <w:r w:rsidRPr="00251285">
        <w:rPr>
          <w:rFonts w:ascii="Book Antiqua" w:hAnsi="Book Antiqua"/>
          <w:sz w:val="19"/>
          <w:szCs w:val="19"/>
        </w:rPr>
        <w:t xml:space="preserve"> de fluxograma do procedimento para a quitação ou a renegociação de dívidas protestadas;</w:t>
      </w:r>
    </w:p>
    <w:p w14:paraId="675A9B89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III – cópia dos certificados de capacitação dos conciliadores e mediadores, nos termos da Resolução CNJ n. 125/2010.</w:t>
      </w:r>
    </w:p>
    <w:p w14:paraId="1C39EB75" w14:textId="1CC3A0E4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b/>
          <w:bCs/>
          <w:sz w:val="19"/>
          <w:szCs w:val="19"/>
        </w:rPr>
      </w:pPr>
      <w:r w:rsidRPr="00251285">
        <w:rPr>
          <w:rFonts w:ascii="Book Antiqua" w:hAnsi="Book Antiqua"/>
          <w:b/>
          <w:bCs/>
          <w:sz w:val="19"/>
          <w:szCs w:val="19"/>
          <w:highlight w:val="magenta"/>
        </w:rPr>
        <w:t>Art. 4º</w:t>
      </w:r>
      <w:r w:rsidRPr="00251285">
        <w:rPr>
          <w:rFonts w:ascii="Book Antiqua" w:hAnsi="Book Antiqua"/>
          <w:b/>
          <w:bCs/>
          <w:sz w:val="19"/>
          <w:szCs w:val="19"/>
        </w:rPr>
        <w:t xml:space="preserve"> As medidas de incentivo à quitação ou à renegociação de dívidas protestadas nos tabelionatos de protesto serão consideradas </w:t>
      </w:r>
      <w:r w:rsidRPr="00251285">
        <w:rPr>
          <w:rFonts w:ascii="Book Antiqua" w:hAnsi="Book Antiqua"/>
          <w:b/>
          <w:bCs/>
          <w:sz w:val="19"/>
          <w:szCs w:val="19"/>
          <w:highlight w:val="cyan"/>
        </w:rPr>
        <w:t>fase antecedente</w:t>
      </w:r>
      <w:r w:rsidRPr="00251285">
        <w:rPr>
          <w:rFonts w:ascii="Book Antiqua" w:hAnsi="Book Antiqua"/>
          <w:b/>
          <w:bCs/>
          <w:sz w:val="19"/>
          <w:szCs w:val="19"/>
        </w:rPr>
        <w:t xml:space="preserve"> à possível instauração de procedimento de conciliação ou de mediação. </w:t>
      </w:r>
      <w:r w:rsidRPr="0025128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(Cartórios/TJMG-2019)</w:t>
      </w:r>
    </w:p>
    <w:p w14:paraId="32C3028A" w14:textId="48F3F2A1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Parágrafo único. As mencionadas medidas serão adotadas pelos delegatários ou por seus escreventes autorizados, e as sessões de conciliação e de mediação deverão observar as regras dispostas no Provimento CN-CNJ n. 67, de 26 de março de 2018. </w:t>
      </w:r>
    </w:p>
    <w:p w14:paraId="3E7A27BD" w14:textId="00E6B36F" w:rsidR="00251285" w:rsidRPr="002F5C40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  <w:u w:val="single"/>
        </w:rPr>
      </w:pPr>
      <w:r w:rsidRPr="00251285">
        <w:rPr>
          <w:rFonts w:ascii="Book Antiqua" w:hAnsi="Book Antiqua"/>
          <w:b/>
          <w:bCs/>
          <w:sz w:val="19"/>
          <w:szCs w:val="19"/>
          <w:highlight w:val="magenta"/>
        </w:rPr>
        <w:t>Art. 5º</w:t>
      </w:r>
      <w:r w:rsidRPr="00251285">
        <w:rPr>
          <w:rFonts w:ascii="Book Antiqua" w:hAnsi="Book Antiqua"/>
          <w:b/>
          <w:bCs/>
          <w:sz w:val="19"/>
          <w:szCs w:val="19"/>
        </w:rPr>
        <w:t xml:space="preserve"> O procedimento de incentivo à quitação ou à renegociação de dívidas protestadas terá início mediante </w:t>
      </w:r>
      <w:r w:rsidRPr="00251285">
        <w:rPr>
          <w:rFonts w:ascii="Book Antiqua" w:hAnsi="Book Antiqua"/>
          <w:b/>
          <w:bCs/>
          <w:sz w:val="19"/>
          <w:szCs w:val="19"/>
          <w:highlight w:val="cyan"/>
        </w:rPr>
        <w:t>requerimento</w:t>
      </w:r>
      <w:r w:rsidRPr="00251285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51285">
        <w:rPr>
          <w:rFonts w:ascii="Book Antiqua" w:hAnsi="Book Antiqua"/>
          <w:b/>
          <w:bCs/>
          <w:sz w:val="19"/>
          <w:szCs w:val="19"/>
          <w:highlight w:val="yellow"/>
        </w:rPr>
        <w:t>do credor</w:t>
      </w:r>
      <w:r w:rsidRPr="00251285">
        <w:rPr>
          <w:rFonts w:ascii="Book Antiqua" w:hAnsi="Book Antiqua"/>
          <w:b/>
          <w:bCs/>
          <w:sz w:val="19"/>
          <w:szCs w:val="19"/>
        </w:rPr>
        <w:t xml:space="preserve"> ou </w:t>
      </w:r>
      <w:r w:rsidRPr="00251285">
        <w:rPr>
          <w:rFonts w:ascii="Book Antiqua" w:hAnsi="Book Antiqua"/>
          <w:b/>
          <w:bCs/>
          <w:sz w:val="19"/>
          <w:szCs w:val="19"/>
          <w:highlight w:val="yellow"/>
        </w:rPr>
        <w:t>do devedor</w:t>
      </w:r>
      <w:r w:rsidRPr="00251285">
        <w:rPr>
          <w:rFonts w:ascii="Book Antiqua" w:hAnsi="Book Antiqua"/>
          <w:b/>
          <w:bCs/>
          <w:sz w:val="19"/>
          <w:szCs w:val="19"/>
        </w:rPr>
        <w:t>, pessoalmente no tabelionato onde foi lavrado o protesto; por meio eletrônico; ou por intermédio da central eletrônica mantida pelas entidades representativas de classe</w:t>
      </w:r>
      <w:r w:rsidRPr="00251285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25128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(Cartórios/TJMG-2019)</w:t>
      </w:r>
      <w:r w:rsidR="002F5C40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2F5C40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(Cartórios/TJGO-2021)</w:t>
      </w:r>
    </w:p>
    <w:p w14:paraId="69B2ADCB" w14:textId="0670E214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F5C40">
        <w:rPr>
          <w:rFonts w:ascii="Book Antiqua" w:hAnsi="Book Antiqua"/>
          <w:b/>
          <w:bCs/>
          <w:sz w:val="19"/>
          <w:szCs w:val="19"/>
          <w:highlight w:val="magenta"/>
        </w:rPr>
        <w:t>Parágrafo único</w:t>
      </w:r>
      <w:r w:rsidRPr="002F5C40">
        <w:rPr>
          <w:rFonts w:ascii="Book Antiqua" w:hAnsi="Book Antiqua"/>
          <w:b/>
          <w:bCs/>
          <w:sz w:val="19"/>
          <w:szCs w:val="19"/>
        </w:rPr>
        <w:t>. O procedimento não poderá ser adotado se o protesto tiver sido sustado ou cancelado</w:t>
      </w:r>
      <w:r w:rsidRPr="00251285">
        <w:rPr>
          <w:rFonts w:ascii="Book Antiqua" w:hAnsi="Book Antiqua"/>
          <w:sz w:val="19"/>
          <w:szCs w:val="19"/>
        </w:rPr>
        <w:t>.</w:t>
      </w:r>
      <w:r w:rsidR="002F5C40">
        <w:rPr>
          <w:rFonts w:ascii="Book Antiqua" w:hAnsi="Book Antiqua"/>
          <w:sz w:val="19"/>
          <w:szCs w:val="19"/>
        </w:rPr>
        <w:t xml:space="preserve"> </w:t>
      </w:r>
      <w:r w:rsidR="002F5C40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(Cartórios/TJGO-2021)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F5C40" w14:paraId="2C52E09D" w14:textId="77777777" w:rsidTr="002F5C40">
        <w:tc>
          <w:tcPr>
            <w:tcW w:w="8494" w:type="dxa"/>
            <w:shd w:val="clear" w:color="auto" w:fill="CCFFFF"/>
          </w:tcPr>
          <w:p w14:paraId="2AA8E481" w14:textId="36DA6366" w:rsidR="002F5C40" w:rsidRPr="002F5C40" w:rsidRDefault="002F5C40" w:rsidP="002F5C40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2F5C40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Cartórios/TJGO-2021-VUNESP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2F5C40">
              <w:rPr>
                <w:rFonts w:ascii="Book Antiqua" w:hAnsi="Book Antiqua"/>
                <w:sz w:val="19"/>
                <w:szCs w:val="19"/>
              </w:rPr>
              <w:t>Em relação às medidas de incentivo à quitação ou à renegociação de dívidas protestadas, é correto afirmar que terá início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F5C40">
              <w:rPr>
                <w:rFonts w:ascii="Book Antiqua" w:hAnsi="Book Antiqua"/>
                <w:sz w:val="19"/>
                <w:szCs w:val="19"/>
              </w:rPr>
              <w:t>mediante requerimento do credor ou do devedor, pessoalmente no tabelionato onde foi lavrado o protesto; por meio eletrônico; ou por intermédio da central eletrônica mantida pelas entidades representativas de classe e não poderá ser adotado se o protesto tiver sido sustado ou cancelado.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5º,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e § único, Prov. 72/18, CNJ.</w:t>
            </w:r>
          </w:p>
        </w:tc>
      </w:tr>
    </w:tbl>
    <w:p w14:paraId="62C293A4" w14:textId="10388FCA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Art. 6º São requisitos mínimos para requerer medidas de incentivo à quitação ou à renegociação de dívidas protestadas e procedimentos de conciliação e de mediação:</w:t>
      </w:r>
    </w:p>
    <w:p w14:paraId="67D8F461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51285">
        <w:rPr>
          <w:rFonts w:ascii="Book Antiqua" w:hAnsi="Book Antiqua"/>
          <w:sz w:val="19"/>
          <w:szCs w:val="19"/>
        </w:rPr>
        <w:t>qualificação</w:t>
      </w:r>
      <w:proofErr w:type="gramEnd"/>
      <w:r w:rsidRPr="00251285">
        <w:rPr>
          <w:rFonts w:ascii="Book Antiqua" w:hAnsi="Book Antiqua"/>
          <w:sz w:val="19"/>
          <w:szCs w:val="19"/>
        </w:rPr>
        <w:t xml:space="preserve"> do requerente, em especial, o nome ou denominação social, endereço, telefone e e-mail de contato, número da carteira de identidade e do cadastro de pessoas físicas (CPF) ou do cadastro nacional de pessoa jurídica (CNPJ) na Secretaria da Receita Federal, conforme o caso; </w:t>
      </w:r>
    </w:p>
    <w:p w14:paraId="4BC21BCB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51285">
        <w:rPr>
          <w:rFonts w:ascii="Book Antiqua" w:hAnsi="Book Antiqua"/>
          <w:sz w:val="19"/>
          <w:szCs w:val="19"/>
        </w:rPr>
        <w:t>dados</w:t>
      </w:r>
      <w:proofErr w:type="gramEnd"/>
      <w:r w:rsidRPr="00251285">
        <w:rPr>
          <w:rFonts w:ascii="Book Antiqua" w:hAnsi="Book Antiqua"/>
          <w:sz w:val="19"/>
          <w:szCs w:val="19"/>
        </w:rPr>
        <w:t xml:space="preserve"> suficientes da outra parte para que seja possível sua identificação e convite;</w:t>
      </w:r>
    </w:p>
    <w:p w14:paraId="52C06390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III – a indicação de meio idôneo de notificação da outra parte;</w:t>
      </w:r>
    </w:p>
    <w:p w14:paraId="72A2D41D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251285">
        <w:rPr>
          <w:rFonts w:ascii="Book Antiqua" w:hAnsi="Book Antiqua"/>
          <w:sz w:val="19"/>
          <w:szCs w:val="19"/>
        </w:rPr>
        <w:t>a</w:t>
      </w:r>
      <w:proofErr w:type="gramEnd"/>
      <w:r w:rsidRPr="00251285">
        <w:rPr>
          <w:rFonts w:ascii="Book Antiqua" w:hAnsi="Book Antiqua"/>
          <w:sz w:val="19"/>
          <w:szCs w:val="19"/>
        </w:rPr>
        <w:t xml:space="preserve"> proposta de renegociação;</w:t>
      </w:r>
    </w:p>
    <w:p w14:paraId="6472F7FB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251285">
        <w:rPr>
          <w:rFonts w:ascii="Book Antiqua" w:hAnsi="Book Antiqua"/>
          <w:sz w:val="19"/>
          <w:szCs w:val="19"/>
        </w:rPr>
        <w:t>outras</w:t>
      </w:r>
      <w:proofErr w:type="gramEnd"/>
      <w:r w:rsidRPr="00251285">
        <w:rPr>
          <w:rFonts w:ascii="Book Antiqua" w:hAnsi="Book Antiqua"/>
          <w:sz w:val="19"/>
          <w:szCs w:val="19"/>
        </w:rPr>
        <w:t xml:space="preserve"> informações relevantes, a critério do requerente.</w:t>
      </w:r>
    </w:p>
    <w:p w14:paraId="01EB1F03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Art. 7º Após o recebimento e protocolo do requerimento, se, em exame formal, for considerado não preenchido algum dos requisitos previstos no artigo anterior, o requerente será notificado, preferencialmente por meio eletrônico, para sanar o vício no prazo de 10 (dez) dias.</w:t>
      </w:r>
    </w:p>
    <w:p w14:paraId="18E3CA2F" w14:textId="41A0D1D2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§ </w:t>
      </w:r>
      <w:r w:rsidRPr="00251285">
        <w:rPr>
          <w:rFonts w:ascii="Book Antiqua" w:hAnsi="Book Antiqua"/>
          <w:sz w:val="19"/>
          <w:szCs w:val="19"/>
        </w:rPr>
        <w:t>1º Se persistir o não cumprimento de qualquer dos requisitos, o pedido será rejeitado.</w:t>
      </w:r>
    </w:p>
    <w:p w14:paraId="75D028B7" w14:textId="406F9512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§ </w:t>
      </w:r>
      <w:r w:rsidRPr="00251285">
        <w:rPr>
          <w:rFonts w:ascii="Book Antiqua" w:hAnsi="Book Antiqua"/>
          <w:sz w:val="19"/>
          <w:szCs w:val="19"/>
        </w:rPr>
        <w:t>2º A inércia do requerente acarretará o arquivamento do pedido por ausência de interesse.</w:t>
      </w:r>
    </w:p>
    <w:p w14:paraId="4DB6E4CC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Art. 8º No requerimento de medidas de incentivo à quitação ou à renegociação de dívidas protestadas, o credor poderá conceder autorização ao tabelião de protesto para:</w:t>
      </w:r>
    </w:p>
    <w:p w14:paraId="14640C54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51285">
        <w:rPr>
          <w:rFonts w:ascii="Book Antiqua" w:hAnsi="Book Antiqua"/>
          <w:sz w:val="19"/>
          <w:szCs w:val="19"/>
        </w:rPr>
        <w:t>expedir</w:t>
      </w:r>
      <w:proofErr w:type="gramEnd"/>
      <w:r w:rsidRPr="00251285">
        <w:rPr>
          <w:rFonts w:ascii="Book Antiqua" w:hAnsi="Book Antiqua"/>
          <w:sz w:val="19"/>
          <w:szCs w:val="19"/>
        </w:rPr>
        <w:t xml:space="preserve"> aviso ao devedor sobre a existência do protesto e a possibilidade de quitação da dívida diretamente no tabelionato, indicando o valor atualizado do débito, eventuais condições especiais de pagamento e o prazo estipulado;</w:t>
      </w:r>
    </w:p>
    <w:p w14:paraId="0AA4304A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lastRenderedPageBreak/>
        <w:t xml:space="preserve">II – </w:t>
      </w:r>
      <w:proofErr w:type="gramStart"/>
      <w:r w:rsidRPr="00251285">
        <w:rPr>
          <w:rFonts w:ascii="Book Antiqua" w:hAnsi="Book Antiqua"/>
          <w:sz w:val="19"/>
          <w:szCs w:val="19"/>
        </w:rPr>
        <w:t>receber</w:t>
      </w:r>
      <w:proofErr w:type="gramEnd"/>
      <w:r w:rsidRPr="00251285">
        <w:rPr>
          <w:rFonts w:ascii="Book Antiqua" w:hAnsi="Book Antiqua"/>
          <w:sz w:val="19"/>
          <w:szCs w:val="19"/>
        </w:rPr>
        <w:t xml:space="preserve"> o valor do título ou documento de dívida protestado, atualizado monetariamente e acrescido de encargos moratórios, emolumentos, despesas do protesto e encargos administrativos;</w:t>
      </w:r>
    </w:p>
    <w:p w14:paraId="5E39DFE7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III – receber o pagamento, mediante condições especiais, como abatimento parcial do valor ou parcelamento, observando-se as instruções contidas no ato de autorização do credor;</w:t>
      </w:r>
    </w:p>
    <w:p w14:paraId="1D533415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251285">
        <w:rPr>
          <w:rFonts w:ascii="Book Antiqua" w:hAnsi="Book Antiqua"/>
          <w:sz w:val="19"/>
          <w:szCs w:val="19"/>
        </w:rPr>
        <w:t>dar</w:t>
      </w:r>
      <w:proofErr w:type="gramEnd"/>
      <w:r w:rsidRPr="00251285">
        <w:rPr>
          <w:rFonts w:ascii="Book Antiqua" w:hAnsi="Book Antiqua"/>
          <w:sz w:val="19"/>
          <w:szCs w:val="19"/>
        </w:rPr>
        <w:t xml:space="preserve"> quitação ao devedor e promover o cancelamento do protesto.</w:t>
      </w:r>
    </w:p>
    <w:p w14:paraId="0B52F461" w14:textId="6453DAD2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§ </w:t>
      </w:r>
      <w:r w:rsidRPr="00251285">
        <w:rPr>
          <w:rFonts w:ascii="Book Antiqua" w:hAnsi="Book Antiqua"/>
          <w:sz w:val="19"/>
          <w:szCs w:val="19"/>
        </w:rPr>
        <w:t>1º O valor recebido será creditado na conta bancária indicada pelo credor ou será colocado a sua disposição no primeiro dia útil subsequente ao do recebimento.</w:t>
      </w:r>
    </w:p>
    <w:p w14:paraId="0875DEC5" w14:textId="62FA2DD4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§ </w:t>
      </w:r>
      <w:r w:rsidRPr="00251285">
        <w:rPr>
          <w:rFonts w:ascii="Book Antiqua" w:hAnsi="Book Antiqua"/>
          <w:sz w:val="19"/>
          <w:szCs w:val="19"/>
        </w:rPr>
        <w:t xml:space="preserve">2º Os encargos administrativos referidos no inciso II do caput deste artigo incidirão somente na hipótese de quitação on-line da dívida ou de pedido de cancelamento por intermédio da central eletrônica mantida pelas entidades representativas de classe, em âmbito nacional ou regional, e serão reembolsados pelo devedor na forma e conforme os valores que forem fixados pela entidade e informados à </w:t>
      </w:r>
      <w:proofErr w:type="spellStart"/>
      <w:r w:rsidRPr="00251285">
        <w:rPr>
          <w:rFonts w:ascii="Book Antiqua" w:hAnsi="Book Antiqua"/>
          <w:sz w:val="19"/>
          <w:szCs w:val="19"/>
        </w:rPr>
        <w:t>corregedoria-geral</w:t>
      </w:r>
      <w:proofErr w:type="spellEnd"/>
      <w:r w:rsidRPr="00251285">
        <w:rPr>
          <w:rFonts w:ascii="Book Antiqua" w:hAnsi="Book Antiqua"/>
          <w:sz w:val="19"/>
          <w:szCs w:val="19"/>
        </w:rPr>
        <w:t xml:space="preserve"> de justiça local.</w:t>
      </w:r>
    </w:p>
    <w:p w14:paraId="2CEFE184" w14:textId="1B402766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§ </w:t>
      </w:r>
      <w:r w:rsidRPr="00251285">
        <w:rPr>
          <w:rFonts w:ascii="Book Antiqua" w:hAnsi="Book Antiqua"/>
          <w:sz w:val="19"/>
          <w:szCs w:val="19"/>
        </w:rPr>
        <w:t>3º Serão compreendidas como encargos administrativos as despesas com compensação de boleto bancário, operação de cartão de crédito, transferências bancárias, certificação digital (SDK, framework, certificado de atributo e de carimbo de tempo) e outras que forem previstas em normas estaduais, desde que indispensáveis para a prestação do serviço por meio da central informatizada.</w:t>
      </w:r>
    </w:p>
    <w:p w14:paraId="09AB5667" w14:textId="796700D9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§ </w:t>
      </w:r>
      <w:r w:rsidRPr="00251285">
        <w:rPr>
          <w:rFonts w:ascii="Book Antiqua" w:hAnsi="Book Antiqua"/>
          <w:sz w:val="19"/>
          <w:szCs w:val="19"/>
        </w:rPr>
        <w:t>4º A autorização deverá ter prazo de vigência especificado, e o credor deverá atualizar os dados cadastrais fornecidos, especialmente os bancários.</w:t>
      </w:r>
    </w:p>
    <w:p w14:paraId="0D1E71E8" w14:textId="178B0F29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§ </w:t>
      </w:r>
      <w:r w:rsidRPr="00251285">
        <w:rPr>
          <w:rFonts w:ascii="Book Antiqua" w:hAnsi="Book Antiqua"/>
          <w:sz w:val="19"/>
          <w:szCs w:val="19"/>
        </w:rPr>
        <w:t>5º Se ajustado parcelamento da dívida, o protesto poderá ser cancelado após o pagamento da primeira parcela, salvo existência de estipulação em contrário no termo de renegociação da dívida.</w:t>
      </w:r>
    </w:p>
    <w:p w14:paraId="64048581" w14:textId="27D54F9F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b/>
          <w:bCs/>
          <w:sz w:val="19"/>
          <w:szCs w:val="19"/>
          <w:highlight w:val="magenta"/>
        </w:rPr>
        <w:t>Art. 9º</w:t>
      </w:r>
      <w:r w:rsidRPr="00251285">
        <w:rPr>
          <w:rFonts w:ascii="Book Antiqua" w:hAnsi="Book Antiqua"/>
          <w:b/>
          <w:bCs/>
          <w:sz w:val="19"/>
          <w:szCs w:val="19"/>
        </w:rPr>
        <w:t xml:space="preserve"> A qualquer tempo, o devedor poderá formular proposta de pagamento ao credor, caso em que será expedido aviso ao credor acerca das condições da proposta, arcando o interessado com a eventual despesa respectiva</w:t>
      </w:r>
      <w:r w:rsidRPr="00251285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25128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(Cartórios/TJMG-2019)</w:t>
      </w:r>
    </w:p>
    <w:p w14:paraId="58E22619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Art. 10. O credor ou o devedor poderão requerer a designação de sessão de conciliação ou de mediação, aplicando-se as disposições previstas no Provimento CN-CNJ n. 67/2018.</w:t>
      </w:r>
    </w:p>
    <w:p w14:paraId="04F728C6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Art. 11. Os tabelionatos de protesto do Brasil poderão firmar convênio com a União, Estados, Distrito Federal e Municípios para adoção das medidas de incentivo à quitação ou à renegociação de dívidas protestadas.</w:t>
      </w:r>
    </w:p>
    <w:p w14:paraId="7BBE009A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Art. 12. O convênio de que trata o artigo anterior, em âmbito nacional, dependerá da homologação da Corregedoria Nacional de Justiça.</w:t>
      </w:r>
    </w:p>
    <w:p w14:paraId="41453CB0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Parágrafo único. O Instituto de Estudos de Protesto de Títulos do Brasil (IEPTB/BR) formulará pedido de homologação à Corregedoria Nacional de Justiça via </w:t>
      </w:r>
      <w:proofErr w:type="spellStart"/>
      <w:r w:rsidRPr="00251285">
        <w:rPr>
          <w:rFonts w:ascii="Book Antiqua" w:hAnsi="Book Antiqua"/>
          <w:sz w:val="19"/>
          <w:szCs w:val="19"/>
        </w:rPr>
        <w:t>PJe</w:t>
      </w:r>
      <w:proofErr w:type="spellEnd"/>
      <w:r w:rsidRPr="00251285">
        <w:rPr>
          <w:rFonts w:ascii="Book Antiqua" w:hAnsi="Book Antiqua"/>
          <w:sz w:val="19"/>
          <w:szCs w:val="19"/>
        </w:rPr>
        <w:t>.</w:t>
      </w:r>
    </w:p>
    <w:p w14:paraId="6C600B43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Art. 13. O convênio mencionado no art. 11 deste provimento, em âmbito local, dependerá da homologação das corregedorias de justiça dos Estados ou do Distrito Federal, às quais competirá:</w:t>
      </w:r>
    </w:p>
    <w:p w14:paraId="121F4FB3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51285">
        <w:rPr>
          <w:rFonts w:ascii="Book Antiqua" w:hAnsi="Book Antiqua"/>
          <w:sz w:val="19"/>
          <w:szCs w:val="19"/>
        </w:rPr>
        <w:t>realizar</w:t>
      </w:r>
      <w:proofErr w:type="gramEnd"/>
      <w:r w:rsidRPr="00251285">
        <w:rPr>
          <w:rFonts w:ascii="Book Antiqua" w:hAnsi="Book Antiqua"/>
          <w:sz w:val="19"/>
          <w:szCs w:val="19"/>
        </w:rPr>
        <w:t xml:space="preserve"> estudo prévio acerca da viabilidade jurídica, técnica e financeira do serviço;</w:t>
      </w:r>
    </w:p>
    <w:p w14:paraId="1DD50C38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51285">
        <w:rPr>
          <w:rFonts w:ascii="Book Antiqua" w:hAnsi="Book Antiqua"/>
          <w:sz w:val="19"/>
          <w:szCs w:val="19"/>
        </w:rPr>
        <w:t>enviar</w:t>
      </w:r>
      <w:proofErr w:type="gramEnd"/>
      <w:r w:rsidRPr="00251285">
        <w:rPr>
          <w:rFonts w:ascii="Book Antiqua" w:hAnsi="Book Antiqua"/>
          <w:sz w:val="19"/>
          <w:szCs w:val="19"/>
        </w:rPr>
        <w:t xml:space="preserve"> à Corregedoria Nacional de Justiça cópia do termo celebrado em caso de homologação, para disseminação de boas práticas entre os demais entes da Federação.</w:t>
      </w:r>
    </w:p>
    <w:p w14:paraId="423EB8F7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Art. 14. Enquanto não editadas, no âmbito dos Estados e do Distrito Federal, normas específicas relativas aos emolumentos, observadas as diretrizes previstas pela Lei n. 10.169, de 29 de dezembro de 2000, aplicar-se-á às medidas de incentivo à quitação ou à renegociação de dívidas protestadas a tabela referente ao menor valor de uma certidão individual de protesto; às conciliações e às mediações extrajudiciais, a tabela referente ao menor valor cobrado na lavratura de escritura </w:t>
      </w:r>
      <w:r w:rsidRPr="00251285">
        <w:rPr>
          <w:rFonts w:ascii="Book Antiqua" w:hAnsi="Book Antiqua"/>
          <w:sz w:val="19"/>
          <w:szCs w:val="19"/>
        </w:rPr>
        <w:lastRenderedPageBreak/>
        <w:t>pública sem valor econômico, incidindo as disposições previstas na Seção VII do Provimento CN-CNJ n. 67/2018.</w:t>
      </w:r>
    </w:p>
    <w:p w14:paraId="791F367F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§ 1º O pagamento dos emolumentos pelas medidas de incentivo à quitação ou à renegociação de dívidas e pelas conciliações e mediações extrajudiciais não dispensará o pagamento de emolumentos devidos pelo eventual cancelamento do protesto.</w:t>
      </w:r>
    </w:p>
    <w:p w14:paraId="24A570DB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§ 2º Será vedado aos tabelionatos de protesto receber das partes qualquer vantagem referente às medidas de incentivo à quitação ou à renegociação de dívidas protestadas e às sessões de conciliação e de mediação, exceto os valores previstos no art. 8º, II, deste provimento, os emolumentos previstos no caput deste artigo e as despesas de notificação.</w:t>
      </w:r>
    </w:p>
    <w:p w14:paraId="3837B16E" w14:textId="511AF2D2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b/>
          <w:bCs/>
          <w:sz w:val="19"/>
          <w:szCs w:val="19"/>
        </w:rPr>
      </w:pPr>
      <w:r w:rsidRPr="00251285">
        <w:rPr>
          <w:rFonts w:ascii="Book Antiqua" w:hAnsi="Book Antiqua"/>
          <w:b/>
          <w:bCs/>
          <w:sz w:val="19"/>
          <w:szCs w:val="19"/>
          <w:highlight w:val="magenta"/>
        </w:rPr>
        <w:t>Art. 15</w:t>
      </w:r>
      <w:r w:rsidRPr="00251285">
        <w:rPr>
          <w:rFonts w:ascii="Book Antiqua" w:hAnsi="Book Antiqua"/>
          <w:b/>
          <w:bCs/>
          <w:sz w:val="19"/>
          <w:szCs w:val="19"/>
        </w:rPr>
        <w:t xml:space="preserve">. Será vedado aos tabelionatos de protesto estabelecer, em documentos por eles expedidos, cláusula compromissória de conciliação ou de mediação extrajudicial. </w:t>
      </w:r>
      <w:r w:rsidRPr="0025128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(Cartórios/TJMG-2019)</w:t>
      </w:r>
    </w:p>
    <w:p w14:paraId="1FAA6637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Art. 16. Aplica-se o disposto no art. 132, caput e § 1º, do Código Civil brasileiro à contagem dos prazos, bem como as disposições do Provimento CN-CNJ n. 67/2018.</w:t>
      </w:r>
    </w:p>
    <w:p w14:paraId="55A88E5C" w14:textId="77777777" w:rsidR="00251285" w:rsidRPr="00251285" w:rsidRDefault="00251285" w:rsidP="00251285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 xml:space="preserve">Art. 17. Este provimento entra em vigor na data de sua publicação, permanecendo válidos os provimentos editados pelas corregedorias de justiça no que forem compatíveis. </w:t>
      </w:r>
    </w:p>
    <w:p w14:paraId="3E6A3D28" w14:textId="77777777" w:rsidR="00251285" w:rsidRPr="00251285" w:rsidRDefault="00251285" w:rsidP="0025128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2C12794A" w14:textId="0054EFFF" w:rsidR="00251285" w:rsidRPr="00251285" w:rsidRDefault="00251285" w:rsidP="00251285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51285">
        <w:rPr>
          <w:rFonts w:ascii="Book Antiqua" w:hAnsi="Book Antiqua"/>
          <w:sz w:val="19"/>
          <w:szCs w:val="19"/>
        </w:rPr>
        <w:t>Ministro JOÃO OTÁVIO DE NORONHA</w:t>
      </w:r>
    </w:p>
    <w:sectPr w:rsidR="00251285" w:rsidRPr="00251285" w:rsidSect="00251285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41"/>
    <w:rsid w:val="00251285"/>
    <w:rsid w:val="002F5C40"/>
    <w:rsid w:val="009724BB"/>
    <w:rsid w:val="00BB7FE6"/>
    <w:rsid w:val="00D346F6"/>
    <w:rsid w:val="00EB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ED3A8"/>
  <w15:chartTrackingRefBased/>
  <w15:docId w15:val="{517C7AC1-78E0-4A00-AB0C-087EEE0B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F5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1733</Words>
  <Characters>9360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2023-04-23T15:33:00Z</dcterms:created>
  <dcterms:modified xsi:type="dcterms:W3CDTF">2023-04-23T16:45:00Z</dcterms:modified>
</cp:coreProperties>
</file>