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D3F2C" w14:textId="3CB3028F" w:rsidR="00A47CA9" w:rsidRPr="00A47CA9" w:rsidRDefault="00A47CA9" w:rsidP="00A47CA9">
      <w:pPr>
        <w:spacing w:before="100" w:beforeAutospacing="1" w:after="100" w:afterAutospacing="1" w:line="240" w:lineRule="auto"/>
        <w:jc w:val="center"/>
        <w:rPr>
          <w:rFonts w:ascii="Book Antiqua" w:hAnsi="Book Antiqua"/>
          <w:b/>
          <w:bCs/>
          <w:color w:val="FF0000"/>
          <w:sz w:val="19"/>
          <w:szCs w:val="19"/>
        </w:rPr>
      </w:pPr>
      <w:r w:rsidRPr="00A47CA9">
        <w:rPr>
          <w:rFonts w:ascii="Book Antiqua" w:hAnsi="Book Antiqua"/>
          <w:b/>
          <w:bCs/>
          <w:color w:val="FF0000"/>
          <w:sz w:val="19"/>
          <w:szCs w:val="19"/>
        </w:rPr>
        <w:t>(Atualização em 18/04/2023: questões de concurso)</w:t>
      </w:r>
    </w:p>
    <w:p w14:paraId="3A4E452A" w14:textId="1BDFDEA6" w:rsidR="00A47CA9" w:rsidRPr="00A47CA9" w:rsidRDefault="00A47CA9" w:rsidP="00A47CA9">
      <w:pPr>
        <w:spacing w:before="100" w:beforeAutospacing="1" w:after="100" w:afterAutospacing="1" w:line="240" w:lineRule="auto"/>
        <w:jc w:val="center"/>
        <w:rPr>
          <w:rFonts w:ascii="Book Antiqua" w:hAnsi="Book Antiqua"/>
          <w:b/>
          <w:bCs/>
          <w:sz w:val="19"/>
          <w:szCs w:val="19"/>
        </w:rPr>
      </w:pPr>
      <w:r w:rsidRPr="00A47CA9">
        <w:rPr>
          <w:rFonts w:ascii="Book Antiqua" w:hAnsi="Book Antiqua"/>
          <w:b/>
          <w:bCs/>
          <w:sz w:val="19"/>
          <w:szCs w:val="19"/>
        </w:rPr>
        <w:t>RECOMENDAÇÃO N. 9</w:t>
      </w:r>
    </w:p>
    <w:p w14:paraId="78246D96" w14:textId="3DA755B5" w:rsidR="00A47CA9" w:rsidRPr="00A47CA9" w:rsidRDefault="00A47CA9" w:rsidP="00A47CA9">
      <w:pPr>
        <w:spacing w:before="100" w:beforeAutospacing="1" w:after="100" w:afterAutospacing="1" w:line="240" w:lineRule="auto"/>
        <w:ind w:left="3119"/>
        <w:jc w:val="both"/>
        <w:rPr>
          <w:rFonts w:ascii="Book Antiqua" w:hAnsi="Book Antiqua"/>
          <w:sz w:val="19"/>
          <w:szCs w:val="19"/>
        </w:rPr>
      </w:pPr>
      <w:r w:rsidRPr="00A47CA9">
        <w:rPr>
          <w:rFonts w:ascii="Book Antiqua" w:hAnsi="Book Antiqua"/>
          <w:sz w:val="19"/>
          <w:szCs w:val="19"/>
        </w:rPr>
        <w:t>Dispõe sobre a formação e manutenção de arquivo de segurança pelos responsáveis pelas serventias do serviço extrajudicial de notas e de registro.</w:t>
      </w:r>
    </w:p>
    <w:p w14:paraId="4B2A12C1"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O CORREGEDOR NACIONAL DE JUSTIÇA, Ministro Francisco Falcão, no uso de suas atribuições legais e constitucionais;</w:t>
      </w:r>
    </w:p>
    <w:p w14:paraId="56A30760"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CONSIDERANDO as notícias de destruição de acervos em decorrência de acidentes naturais, acarretando a necessidade de restauração de livros;</w:t>
      </w:r>
    </w:p>
    <w:p w14:paraId="6705C111"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CONSIDERANDO a necessidade de manutenção de arquivo de segurança, para melhor preservação dos livros e documentos que compõem o acervo da serventia;</w:t>
      </w:r>
    </w:p>
    <w:p w14:paraId="1D1E4BA5"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CONSIDERANDO a existência de sistemas de informatização que possibilitam a formação e manutenção de arquivo de segurança em formato eletrônico ou em mídia digital, com custos inferiores ao tradicional sistema de microfilmagem;</w:t>
      </w:r>
    </w:p>
    <w:p w14:paraId="09302297"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RESOLVE:</w:t>
      </w:r>
    </w:p>
    <w:p w14:paraId="752F9752"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Art. 1º. Recomendar aos titulares e aos responsáveis pelas delegações do serviço extrajudicial de notas e de registro que mantenham cópias de segurança em microfilme, ou arquivo em mídia digital formado por imagens extraídas por meio de "scanner", ou fotografia, ou arquivo de dados assinado eletronicamente com certificado digital emitido em consonância com as normas do ICP-Brasil, ou qualquer outro método hábil, que, em sua fase inicial, deverá abranger os livros obrigatórios previstos em lei para as suas respectivas especialidades.</w:t>
      </w:r>
    </w:p>
    <w:p w14:paraId="740FF701"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Parágrafo 1º Mediante opção do Tabelião ou do Oficial de Registro, a formação de arquivo de segurança dos Livros de Notas poderá abranger os livros escriturados a partir do ano de 1980. O arquivo de segurança dos Livros de Protesto poderá abranger os livros escriturados nos últimos cinco anos. (redação dada pela Recomendação n. 11, de 16 de abril de 2013)</w:t>
      </w:r>
    </w:p>
    <w:p w14:paraId="485C59DB"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Parágrafo 2º. O arquivo de segurança dos livros de protocolo de todas as especialidades do serviço de notas e de registro poderá ser formado por meio informatizado, dispensada a assinatura digital e a reprodução de imagem.</w:t>
      </w:r>
    </w:p>
    <w:p w14:paraId="2289DE32"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 xml:space="preserve">Parágrafo 3º. O arquivo de segurança dos índices do Registro Civil de Pessoas Jurídicas, do indicador pessoal do Registro de Títulos e Documentos (Livro D) e dos indicadores real e pessoal do Registro de Imóveis (Livros </w:t>
      </w:r>
      <w:proofErr w:type="spellStart"/>
      <w:r w:rsidRPr="00A47CA9">
        <w:rPr>
          <w:rFonts w:ascii="Book Antiqua" w:hAnsi="Book Antiqua"/>
          <w:sz w:val="19"/>
          <w:szCs w:val="19"/>
        </w:rPr>
        <w:t>nºs</w:t>
      </w:r>
      <w:proofErr w:type="spellEnd"/>
      <w:r w:rsidRPr="00A47CA9">
        <w:rPr>
          <w:rFonts w:ascii="Book Antiqua" w:hAnsi="Book Antiqua"/>
          <w:sz w:val="19"/>
          <w:szCs w:val="19"/>
        </w:rPr>
        <w:t xml:space="preserve"> 4 e 5) poderá ser formado por meio exclusivamente informatizado, dispensada a assinatura digital e a reprodução de imagem.</w:t>
      </w:r>
    </w:p>
    <w:p w14:paraId="0A429EE4"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Parágrafo 4º. Poderá ser dispensada, a critério do Oficial de Registro, a formação de arquivo de segurança do Livro "D - de registro de proclama" do Registro Civil das Pessoas Naturais.</w:t>
      </w:r>
    </w:p>
    <w:p w14:paraId="134C3EA8" w14:textId="202D33D0" w:rsidR="00A47CA9" w:rsidRPr="00A47CA9" w:rsidRDefault="00A47CA9" w:rsidP="00A47CA9">
      <w:pPr>
        <w:spacing w:before="100" w:beforeAutospacing="1" w:after="100" w:afterAutospacing="1" w:line="240" w:lineRule="auto"/>
        <w:ind w:firstLine="567"/>
        <w:jc w:val="both"/>
        <w:rPr>
          <w:rFonts w:ascii="Book Antiqua" w:hAnsi="Book Antiqua"/>
          <w:b/>
          <w:bCs/>
          <w:sz w:val="19"/>
          <w:szCs w:val="19"/>
        </w:rPr>
      </w:pPr>
      <w:r w:rsidRPr="00A47CA9">
        <w:rPr>
          <w:rFonts w:ascii="Book Antiqua" w:hAnsi="Book Antiqua"/>
          <w:b/>
          <w:bCs/>
          <w:sz w:val="19"/>
          <w:szCs w:val="19"/>
          <w:highlight w:val="magenta"/>
        </w:rPr>
        <w:t>Art. 2º</w:t>
      </w:r>
      <w:r w:rsidRPr="00A47CA9">
        <w:rPr>
          <w:rFonts w:ascii="Book Antiqua" w:hAnsi="Book Antiqua"/>
          <w:sz w:val="19"/>
          <w:szCs w:val="19"/>
        </w:rPr>
        <w:t xml:space="preserve">. </w:t>
      </w:r>
      <w:r w:rsidRPr="00A47CA9">
        <w:rPr>
          <w:rFonts w:ascii="Book Antiqua" w:hAnsi="Book Antiqua"/>
          <w:b/>
          <w:bCs/>
          <w:sz w:val="19"/>
          <w:szCs w:val="19"/>
        </w:rPr>
        <w:t>Recomendar que o arquivo de segurança seja atualizado com periodicidade não superior a um mês e que ao menos uma de suas vias seja arquivada em local distinto da serventia, facultado o uso de servidores externos ou qualquer espécie de sistema de mídia eletrônica ou digital.</w:t>
      </w:r>
      <w:r w:rsidRPr="00A47CA9">
        <w:rPr>
          <w:rFonts w:ascii="Book Antiqua" w:hAnsi="Book Antiqua"/>
          <w:b/>
          <w:bCs/>
          <w:sz w:val="19"/>
          <w:szCs w:val="19"/>
        </w:rPr>
        <w:t xml:space="preserve"> </w:t>
      </w:r>
      <w:bookmarkStart w:id="0" w:name="_Hlk132713510"/>
      <w:r w:rsidRPr="00A47CA9">
        <w:rPr>
          <w:rFonts w:ascii="Book Antiqua" w:eastAsia="Times New Roman" w:hAnsi="Book Antiqua" w:cs="Arial"/>
          <w:b/>
          <w:bCs/>
          <w:color w:val="FF0000"/>
          <w:sz w:val="18"/>
          <w:szCs w:val="18"/>
          <w:u w:val="single"/>
          <w:lang w:eastAsia="pt-BR"/>
        </w:rPr>
        <w:t>(Cartórios/TJMG-2017)</w:t>
      </w:r>
      <w:bookmarkEnd w:id="0"/>
    </w:p>
    <w:p w14:paraId="4AD781AD"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Art. 3º. Alertar que deverá ser formado e mantido arquivo de segurança dos documentos eletrônicos que integrarem o acervo da delegação do serviço extrajudicial, mediante "backup" em mídia eletrônica, digital ou outro método hábil à sua preservação.</w:t>
      </w:r>
    </w:p>
    <w:p w14:paraId="0771E1D3"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lastRenderedPageBreak/>
        <w:t>Art. 4º. Alertar que o arquivo de segurança integrará o acervo da respectiva serventia e deverá ser transmitido ao novo titular da delegação em caso de extinção da delegação anterior, ou ao novo responsável pela delegação, em conjunto com os softwares que permitam o seu pleno uso e atualização.</w:t>
      </w:r>
    </w:p>
    <w:p w14:paraId="76B4AA18"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Art. 5º. Esclarecer que prevalecerão as normas e determinações das Corregedorias Gerais da Justiça, dos Juízes Corregedores ou Juízes competentes na forma da organização local, sobre a formação e guarda de arquivo de segurança, caso existentes.</w:t>
      </w:r>
    </w:p>
    <w:p w14:paraId="0E96D494"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Art. 6º Determinar que, em 120 dias, os titulares e responsáveis pelas delegações do serviço extrajudicial informem se possuem, ou não, arquivo de segurança e, se não o possuírem, quais as providências que estão adotando para formá-lo e a previsão do tempo que estimam para sua realização. (redação dada pela Recomendação n. 11, de 16 de abril de 2013)</w:t>
      </w:r>
    </w:p>
    <w:p w14:paraId="08E546B9" w14:textId="77777777" w:rsid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Parágrafo único. As informações previstas no caput deste artigo deverão ser encaminhadas à Corregedoria Nacional de Justiça, diretamente pelos Oficiais e Tabeliães, por meio de resposta eletrônica em questionário disponível no Sistema de Serventias Extrajudiciais, que pode ser acessado pelo link "http://www.cnj.jus.br/corregedoria</w:t>
      </w:r>
      <w:r>
        <w:rPr>
          <w:rFonts w:ascii="Book Antiqua" w:hAnsi="Book Antiqua"/>
          <w:sz w:val="19"/>
          <w:szCs w:val="19"/>
        </w:rPr>
        <w:t xml:space="preserve"> </w:t>
      </w:r>
      <w:r w:rsidRPr="00A47CA9">
        <w:rPr>
          <w:rFonts w:ascii="Book Antiqua" w:hAnsi="Book Antiqua"/>
          <w:sz w:val="19"/>
          <w:szCs w:val="19"/>
        </w:rPr>
        <w:t>(redação dada pela Recomendação n. 11, de 16 de abril de 2013)</w:t>
      </w:r>
    </w:p>
    <w:p w14:paraId="1ECB56D6" w14:textId="70E4301D" w:rsidR="00A47CA9" w:rsidRPr="00A47CA9" w:rsidRDefault="00A47CA9" w:rsidP="00A47CA9">
      <w:pPr>
        <w:spacing w:before="100" w:beforeAutospacing="1" w:after="100" w:afterAutospacing="1" w:line="240" w:lineRule="auto"/>
        <w:ind w:firstLine="567"/>
        <w:jc w:val="both"/>
        <w:rPr>
          <w:rFonts w:ascii="Book Antiqua" w:hAnsi="Book Antiqua"/>
          <w:sz w:val="19"/>
          <w:szCs w:val="19"/>
        </w:rPr>
      </w:pPr>
      <w:r w:rsidRPr="00A47CA9">
        <w:rPr>
          <w:rFonts w:ascii="Book Antiqua" w:hAnsi="Book Antiqua"/>
          <w:sz w:val="19"/>
          <w:szCs w:val="19"/>
        </w:rPr>
        <w:t>Art. 7º. Determinar o encaminhamento de cópia desta Recomendação às Corregedorias Gerais da Justiça, inclusive para ciência aos responsáveis pelas unidades do serviço extrajudicial de notas e de registro e aos Juízes Corregedores, ou Juízes competentes na forma da organização local para a fiscalização dos serviços extrajudiciais de notas e de registro.</w:t>
      </w:r>
    </w:p>
    <w:p w14:paraId="79CF1F9D" w14:textId="77777777" w:rsidR="00A47CA9" w:rsidRPr="00A47CA9" w:rsidRDefault="00A47CA9" w:rsidP="00A47CA9">
      <w:pPr>
        <w:spacing w:before="100" w:beforeAutospacing="1" w:after="100" w:afterAutospacing="1" w:line="240" w:lineRule="auto"/>
        <w:jc w:val="center"/>
        <w:rPr>
          <w:rFonts w:ascii="Book Antiqua" w:hAnsi="Book Antiqua"/>
          <w:sz w:val="19"/>
          <w:szCs w:val="19"/>
        </w:rPr>
      </w:pPr>
      <w:r w:rsidRPr="00A47CA9">
        <w:rPr>
          <w:rFonts w:ascii="Book Antiqua" w:hAnsi="Book Antiqua"/>
          <w:sz w:val="19"/>
          <w:szCs w:val="19"/>
        </w:rPr>
        <w:t>Brasília - DF,</w:t>
      </w:r>
    </w:p>
    <w:p w14:paraId="19FCBC01" w14:textId="77777777" w:rsidR="00A47CA9" w:rsidRPr="00A47CA9" w:rsidRDefault="00A47CA9" w:rsidP="00A47CA9">
      <w:pPr>
        <w:spacing w:before="100" w:beforeAutospacing="1" w:after="100" w:afterAutospacing="1" w:line="240" w:lineRule="auto"/>
        <w:jc w:val="center"/>
        <w:rPr>
          <w:rFonts w:ascii="Book Antiqua" w:hAnsi="Book Antiqua"/>
          <w:sz w:val="19"/>
          <w:szCs w:val="19"/>
        </w:rPr>
      </w:pPr>
      <w:r w:rsidRPr="00A47CA9">
        <w:rPr>
          <w:rFonts w:ascii="Book Antiqua" w:hAnsi="Book Antiqua"/>
          <w:sz w:val="19"/>
          <w:szCs w:val="19"/>
        </w:rPr>
        <w:t>MINISTRO FRANCISCO FALCÃO</w:t>
      </w:r>
    </w:p>
    <w:p w14:paraId="46CC64DD" w14:textId="1AE1A86A" w:rsidR="00A47CA9" w:rsidRPr="00A47CA9" w:rsidRDefault="00A47CA9" w:rsidP="00A47CA9">
      <w:pPr>
        <w:spacing w:before="100" w:beforeAutospacing="1" w:after="100" w:afterAutospacing="1" w:line="240" w:lineRule="auto"/>
        <w:jc w:val="center"/>
        <w:rPr>
          <w:rFonts w:ascii="Book Antiqua" w:hAnsi="Book Antiqua"/>
          <w:sz w:val="19"/>
          <w:szCs w:val="19"/>
        </w:rPr>
      </w:pPr>
      <w:r w:rsidRPr="00A47CA9">
        <w:rPr>
          <w:rFonts w:ascii="Book Antiqua" w:hAnsi="Book Antiqua"/>
          <w:sz w:val="19"/>
          <w:szCs w:val="19"/>
        </w:rPr>
        <w:t>Corregedor Nacional de Justiç</w:t>
      </w:r>
      <w:r w:rsidRPr="00A47CA9">
        <w:rPr>
          <w:rFonts w:ascii="Book Antiqua" w:hAnsi="Book Antiqua"/>
          <w:sz w:val="19"/>
          <w:szCs w:val="19"/>
        </w:rPr>
        <w:t>a</w:t>
      </w:r>
    </w:p>
    <w:sectPr w:rsidR="00A47CA9" w:rsidRPr="00A47CA9" w:rsidSect="00A47CA9">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79"/>
    <w:rsid w:val="001F38F8"/>
    <w:rsid w:val="003C2679"/>
    <w:rsid w:val="00A47CA9"/>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049D"/>
  <w15:chartTrackingRefBased/>
  <w15:docId w15:val="{9402DDF1-A7E2-4D72-A6FA-3F45BE26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746</Words>
  <Characters>4032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2023-04-18T15:32:00Z</dcterms:created>
  <dcterms:modified xsi:type="dcterms:W3CDTF">2023-04-18T16:01:00Z</dcterms:modified>
</cp:coreProperties>
</file>