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910AB" w14:textId="54A8853B" w:rsidR="00E317ED" w:rsidRPr="00E317ED" w:rsidRDefault="00E317ED" w:rsidP="00E224C7">
      <w:pPr>
        <w:spacing w:before="100" w:beforeAutospacing="1" w:after="100" w:afterAutospacing="1" w:line="240" w:lineRule="auto"/>
        <w:jc w:val="center"/>
        <w:rPr>
          <w:rFonts w:ascii="Book Antiqua" w:hAnsi="Book Antiqua"/>
          <w:b/>
          <w:bCs/>
          <w:color w:val="FF0000"/>
          <w:sz w:val="19"/>
          <w:szCs w:val="19"/>
        </w:rPr>
      </w:pPr>
      <w:r w:rsidRPr="00E317ED">
        <w:rPr>
          <w:rFonts w:ascii="Book Antiqua" w:hAnsi="Book Antiqua"/>
          <w:b/>
          <w:bCs/>
          <w:color w:val="FF0000"/>
          <w:sz w:val="19"/>
          <w:szCs w:val="19"/>
        </w:rPr>
        <w:t>(Atualização em 27/01/2025: questões de concurso)</w:t>
      </w:r>
    </w:p>
    <w:p w14:paraId="72735E4A" w14:textId="528FB755" w:rsidR="00BB7FE6" w:rsidRPr="00E224C7" w:rsidRDefault="00E224C7" w:rsidP="00E224C7">
      <w:pPr>
        <w:spacing w:before="100" w:beforeAutospacing="1" w:after="100" w:afterAutospacing="1" w:line="240" w:lineRule="auto"/>
        <w:jc w:val="center"/>
        <w:rPr>
          <w:rFonts w:ascii="Book Antiqua" w:hAnsi="Book Antiqua"/>
          <w:b/>
          <w:bCs/>
          <w:sz w:val="19"/>
          <w:szCs w:val="19"/>
        </w:rPr>
      </w:pPr>
      <w:r w:rsidRPr="00E224C7">
        <w:rPr>
          <w:rFonts w:ascii="Book Antiqua" w:hAnsi="Book Antiqua"/>
          <w:b/>
          <w:bCs/>
          <w:sz w:val="19"/>
          <w:szCs w:val="19"/>
        </w:rPr>
        <w:t>Recomendação Nº 123 de 07/01/2022</w:t>
      </w:r>
    </w:p>
    <w:p w14:paraId="1D2CDEF3" w14:textId="40E64D24" w:rsidR="00E224C7" w:rsidRPr="00E224C7" w:rsidRDefault="00E224C7" w:rsidP="00E224C7">
      <w:pPr>
        <w:spacing w:before="100" w:beforeAutospacing="1" w:after="100" w:afterAutospacing="1" w:line="240" w:lineRule="auto"/>
        <w:ind w:left="2694"/>
        <w:jc w:val="both"/>
        <w:rPr>
          <w:rFonts w:ascii="Book Antiqua" w:hAnsi="Book Antiqua"/>
          <w:sz w:val="19"/>
          <w:szCs w:val="19"/>
        </w:rPr>
      </w:pPr>
      <w:r w:rsidRPr="00E224C7">
        <w:rPr>
          <w:rFonts w:ascii="Book Antiqua" w:hAnsi="Book Antiqua"/>
          <w:sz w:val="19"/>
          <w:szCs w:val="19"/>
        </w:rPr>
        <w:t>Recomenda aos órgãos do Poder Judiciário brasileiro a observância dos tratados e convenções internacionais de direitos humanos e o uso da jurisprudência da Corte Interamericana de Direitos Humanos.</w:t>
      </w:r>
    </w:p>
    <w:p w14:paraId="50C16D82"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O PRESIDENTE DO CONSELHO NACIONAL DE JUSTIÇA (CNJ), no uso de suas atribuições legais e regimentais,</w:t>
      </w:r>
    </w:p>
    <w:p w14:paraId="576ACC2D"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 xml:space="preserve">CONSIDERANDO que o Brasil assinou a Declaração Universal dos Direitos Humanos proclamada pela Assembleia Geral das Nações Unidas em 10 de dezembro de 1948; </w:t>
      </w:r>
    </w:p>
    <w:p w14:paraId="181D3C4C"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 xml:space="preserve">CONSIDERANDO que a República Federativa do Brasil adota como princípios fundamentais a dignidade da pessoa humana e a prevalência dos direitos humanos nas relações internacionais (art. 1o, inciso III, c/c. </w:t>
      </w:r>
      <w:proofErr w:type="spellStart"/>
      <w:r w:rsidRPr="00E224C7">
        <w:rPr>
          <w:rFonts w:ascii="Book Antiqua" w:hAnsi="Book Antiqua"/>
          <w:sz w:val="19"/>
          <w:szCs w:val="19"/>
        </w:rPr>
        <w:t>arts</w:t>
      </w:r>
      <w:proofErr w:type="spellEnd"/>
      <w:r w:rsidRPr="00E224C7">
        <w:rPr>
          <w:rFonts w:ascii="Book Antiqua" w:hAnsi="Book Antiqua"/>
          <w:sz w:val="19"/>
          <w:szCs w:val="19"/>
        </w:rPr>
        <w:t>. 3o e 4o, inciso II, da CRFB);</w:t>
      </w:r>
    </w:p>
    <w:p w14:paraId="39E07EB2"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a Constituição da República Federativa do Brasil estabelece em seu § 2o do art. 5o, que os “direitos e garantias expressos nesta Constituição não excluem outros decorrentes do regime e dos princípios por ela adotados, ou dos tratados internacionais em que a República Federativa do Brasil seja parte”;</w:t>
      </w:r>
    </w:p>
    <w:p w14:paraId="61BDC400"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a Constituição da República Federativa do Brasil estabelece em seu § 3o do art. 5o, que os “tratados e convenções internacionais sobre direitos humanos que forem aprovados, em cada Casa do Congresso Nacional, em dois turnos, por três quintos dos votos dos respectivos membros, serão equivalentes às emendas constitucionais”;</w:t>
      </w:r>
    </w:p>
    <w:p w14:paraId="5639BBBD"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a Convenção Americana sobre Direitos Humanos, de 22 de novembro de 1969, promulgada por meio do Decreto no 678, de 6 de novembro de 1992, dispõe no art. 1o que os “Estados Partes nesta Convenção comprometem-se a respeitar os direitos e liberdades nela reconhecidos e a garantir seu livre e pleno exercício a toda pessoa que esteja sujeita à sua jurisdição, sem discriminação alguma por motivo de raça, cor, sexo, idioma, religião, opiniões políticas ou de qualquer outra natureza, origem nacional ou social, posição econômica, nascimento ou qualquer outra condição social”;</w:t>
      </w:r>
    </w:p>
    <w:p w14:paraId="7DA0E5B4"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ainda que a Convenção Americana sobre Direitos Humanos dispõe no art. 68 que os “Estados Partes na Convenção comprometem-se a cumprir a decisão da Corte em todo caso em que forem partes”;</w:t>
      </w:r>
    </w:p>
    <w:p w14:paraId="2C0F6088"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a Convenção de Viena sobre o Direito dos Tratados, de 23 de maio de 1969, promulgada por meio do Decreto no 7.030, de 14 de dezembro de 2009, estabelece no art. 27 que “uma parte não pode invocar as disposições de seu direito interno para justificar o inadimplemento de um tratado”;</w:t>
      </w:r>
    </w:p>
    <w:p w14:paraId="29E9437E"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o Código de Processo Civil em seu art. 8o dispõe que “ao aplicar o ordenamento jurídico, o juiz atenderá aos fins sociais e às exigências do bem comum, resguardando e promovendo a dignidade humana e observando a proporcionalidade, a razoabilidade, a legalidade, a publicidade e a eficiência”;</w:t>
      </w:r>
    </w:p>
    <w:p w14:paraId="677C33E9"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a diretriz estratégica para orientar a atuação do Judiciário brasileiro de 2016, aprovada pelo Conselho Nacional de Justiça, estabelece que “é diretriz estratégica do Poder Judiciário, e compromisso de todos os tribunais brasileiros, dar concretude aos direitos previstos em tratados, convenções e demais instrumentos internacionais sobre a proteção dos direitos humanos”;</w:t>
      </w:r>
    </w:p>
    <w:p w14:paraId="205262FB"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 xml:space="preserve">CONSIDERANDO que a Corte Interamericana de Direitos Humanos reiterou em sua jurisprudência, inclusive nos casos em que o Estado Brasileiro foi condenado diretamente, o dever de controlar a convencionalidade pelo Poder Judiciário, no sentido de que cabe aos juízes e juízas aplicar a norma mais benéfica à promoção dos direitos humanos no equilíbrio normativo impactado pela </w:t>
      </w:r>
      <w:r w:rsidRPr="00E224C7">
        <w:rPr>
          <w:rFonts w:ascii="Book Antiqua" w:hAnsi="Book Antiqua"/>
          <w:sz w:val="19"/>
          <w:szCs w:val="19"/>
        </w:rPr>
        <w:lastRenderedPageBreak/>
        <w:t>internacionalização cada vez mais crescente e a necessidade de se estabelecer um diálogo entre os juízes;</w:t>
      </w:r>
    </w:p>
    <w:p w14:paraId="16900034"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que cabe aos juízes extrair o melhor dos ordenamentos buscando o caminho para o equilíbrio normativo impactado pela internacionalização cada vez mais crescente e a necessidade de se estabelecer um diálogo entre os juízes;</w:t>
      </w:r>
    </w:p>
    <w:p w14:paraId="71F3ABC4"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os termos das condenações, em especial as medidas de reparação integral ordenadas em face do Estado Brasileiro em todas as 10 (dez) sentenças expedidas pela Corte Interamericana de Direitos Humanos contra o Estado;</w:t>
      </w:r>
    </w:p>
    <w:p w14:paraId="75D217CE"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CONSIDERANDO o deliberado pelo Plenário do CNJ no procedimento Ato Normativo no 0008759-45.2021.2.00.0000, na 61ª Sessão Extraordinária, realizada em 14 de dezembro de 2021;</w:t>
      </w:r>
    </w:p>
    <w:p w14:paraId="079F942E"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RESOLVE:</w:t>
      </w:r>
    </w:p>
    <w:p w14:paraId="29E682A4" w14:textId="2B7DD5E9" w:rsidR="00E224C7" w:rsidRPr="00E317ED" w:rsidRDefault="00E224C7" w:rsidP="00E224C7">
      <w:pPr>
        <w:spacing w:before="100" w:beforeAutospacing="1" w:after="100" w:afterAutospacing="1" w:line="240" w:lineRule="auto"/>
        <w:ind w:firstLine="567"/>
        <w:jc w:val="both"/>
        <w:rPr>
          <w:rFonts w:ascii="Book Antiqua" w:hAnsi="Book Antiqua"/>
          <w:b/>
          <w:bCs/>
          <w:sz w:val="19"/>
          <w:szCs w:val="19"/>
        </w:rPr>
      </w:pPr>
      <w:r w:rsidRPr="00E317ED">
        <w:rPr>
          <w:rFonts w:ascii="Book Antiqua" w:hAnsi="Book Antiqua"/>
          <w:b/>
          <w:bCs/>
          <w:sz w:val="19"/>
          <w:szCs w:val="19"/>
          <w:highlight w:val="magenta"/>
        </w:rPr>
        <w:t>Art. 1o</w:t>
      </w:r>
      <w:r w:rsidRPr="00E317ED">
        <w:rPr>
          <w:rFonts w:ascii="Book Antiqua" w:hAnsi="Book Antiqua"/>
          <w:b/>
          <w:bCs/>
          <w:sz w:val="19"/>
          <w:szCs w:val="19"/>
        </w:rPr>
        <w:t xml:space="preserve"> Recomendar aos órgãos do Poder Judiciário:</w:t>
      </w:r>
      <w:r w:rsidR="00E317ED" w:rsidRPr="00E317ED">
        <w:rPr>
          <w:rFonts w:ascii="Book Antiqua" w:hAnsi="Book Antiqua"/>
          <w:b/>
          <w:bCs/>
          <w:sz w:val="19"/>
          <w:szCs w:val="19"/>
        </w:rPr>
        <w:t xml:space="preserve"> </w:t>
      </w:r>
      <w:r w:rsidR="00E317ED" w:rsidRPr="00E317ED">
        <w:rPr>
          <w:rFonts w:ascii="Book Antiqua" w:eastAsia="Times New Roman" w:hAnsi="Book Antiqua" w:cs="Times New Roman"/>
          <w:b/>
          <w:bCs/>
          <w:color w:val="FF0000"/>
          <w:spacing w:val="-3"/>
          <w:sz w:val="16"/>
          <w:szCs w:val="16"/>
          <w:u w:val="single"/>
          <w:lang w:eastAsia="pt-BR"/>
        </w:rPr>
        <w:t>(ENAM/1º-2024)</w:t>
      </w:r>
    </w:p>
    <w:p w14:paraId="5E219638" w14:textId="7E7C69AA"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317ED">
        <w:rPr>
          <w:rFonts w:ascii="Book Antiqua" w:hAnsi="Book Antiqua"/>
          <w:b/>
          <w:bCs/>
          <w:sz w:val="19"/>
          <w:szCs w:val="19"/>
        </w:rPr>
        <w:t xml:space="preserve">I – </w:t>
      </w:r>
      <w:proofErr w:type="gramStart"/>
      <w:r w:rsidRPr="00E317ED">
        <w:rPr>
          <w:rFonts w:ascii="Book Antiqua" w:hAnsi="Book Antiqua"/>
          <w:b/>
          <w:bCs/>
          <w:sz w:val="19"/>
          <w:szCs w:val="19"/>
        </w:rPr>
        <w:t>a</w:t>
      </w:r>
      <w:proofErr w:type="gramEnd"/>
      <w:r w:rsidRPr="00E317ED">
        <w:rPr>
          <w:rFonts w:ascii="Book Antiqua" w:hAnsi="Book Antiqua"/>
          <w:b/>
          <w:bCs/>
          <w:sz w:val="19"/>
          <w:szCs w:val="19"/>
        </w:rPr>
        <w:t xml:space="preserve"> observância dos tratados e convenções internacionais de direitos humanos em vigor no Brasil e a utilização da jurisprudência da Corte Interamericana de Direitos Humanos (Corte IDH), bem como a necessidade de controle de convencionalidade das leis internas</w:t>
      </w:r>
      <w:r w:rsidRPr="00E224C7">
        <w:rPr>
          <w:rFonts w:ascii="Book Antiqua" w:hAnsi="Book Antiqua"/>
          <w:sz w:val="19"/>
          <w:szCs w:val="19"/>
        </w:rPr>
        <w:t>.</w:t>
      </w:r>
      <w:r w:rsidR="00E317ED">
        <w:rPr>
          <w:rFonts w:ascii="Book Antiqua" w:hAnsi="Book Antiqua"/>
          <w:sz w:val="19"/>
          <w:szCs w:val="19"/>
        </w:rPr>
        <w:t xml:space="preserve"> </w:t>
      </w:r>
      <w:r w:rsidR="00E317ED">
        <w:rPr>
          <w:rFonts w:ascii="Book Antiqua" w:eastAsia="Times New Roman" w:hAnsi="Book Antiqua" w:cs="Times New Roman"/>
          <w:b/>
          <w:bCs/>
          <w:color w:val="FF0000"/>
          <w:spacing w:val="-3"/>
          <w:sz w:val="16"/>
          <w:szCs w:val="16"/>
          <w:u w:val="single"/>
          <w:lang w:eastAsia="pt-BR"/>
        </w:rPr>
        <w:t>(ENAM/1º-2024)</w:t>
      </w:r>
    </w:p>
    <w:p w14:paraId="3C5C3074" w14:textId="77777777" w:rsid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 xml:space="preserve">II – </w:t>
      </w:r>
      <w:proofErr w:type="gramStart"/>
      <w:r w:rsidRPr="00E224C7">
        <w:rPr>
          <w:rFonts w:ascii="Book Antiqua" w:hAnsi="Book Antiqua"/>
          <w:sz w:val="19"/>
          <w:szCs w:val="19"/>
        </w:rPr>
        <w:t>a</w:t>
      </w:r>
      <w:proofErr w:type="gramEnd"/>
      <w:r w:rsidRPr="00E224C7">
        <w:rPr>
          <w:rFonts w:ascii="Book Antiqua" w:hAnsi="Book Antiqua"/>
          <w:sz w:val="19"/>
          <w:szCs w:val="19"/>
        </w:rPr>
        <w:t xml:space="preserve"> priorização do julgamento dos processos em tramitação relativos à reparação material e imaterial das vítimas de violações a direitos humanos determinadas pela Corte Interamericana de Direitos Humanos em condenações envolvendo o Estado brasileiro e que estejam pendentes de cumprimento integral.</w:t>
      </w:r>
    </w:p>
    <w:p w14:paraId="3246F3AB" w14:textId="3894B7CE" w:rsidR="00E224C7" w:rsidRPr="00E224C7" w:rsidRDefault="00E224C7" w:rsidP="00E224C7">
      <w:pPr>
        <w:spacing w:before="100" w:beforeAutospacing="1" w:after="100" w:afterAutospacing="1" w:line="240" w:lineRule="auto"/>
        <w:ind w:firstLine="567"/>
        <w:jc w:val="both"/>
        <w:rPr>
          <w:rFonts w:ascii="Book Antiqua" w:hAnsi="Book Antiqua"/>
          <w:sz w:val="19"/>
          <w:szCs w:val="19"/>
        </w:rPr>
      </w:pPr>
      <w:r w:rsidRPr="00E224C7">
        <w:rPr>
          <w:rFonts w:ascii="Book Antiqua" w:hAnsi="Book Antiqua"/>
          <w:sz w:val="19"/>
          <w:szCs w:val="19"/>
        </w:rPr>
        <w:t>Art. 2o Esta Recomendação entra em vigor na data da sua publicação.</w:t>
      </w:r>
    </w:p>
    <w:p w14:paraId="66FEA443" w14:textId="77777777" w:rsidR="00E224C7" w:rsidRPr="00E224C7" w:rsidRDefault="00E224C7" w:rsidP="00E224C7">
      <w:pPr>
        <w:spacing w:before="100" w:beforeAutospacing="1" w:after="100" w:afterAutospacing="1" w:line="240" w:lineRule="auto"/>
        <w:rPr>
          <w:rFonts w:ascii="Book Antiqua" w:hAnsi="Book Antiqua"/>
          <w:sz w:val="19"/>
          <w:szCs w:val="19"/>
        </w:rPr>
      </w:pPr>
    </w:p>
    <w:p w14:paraId="11D02527" w14:textId="321EED43" w:rsidR="00E224C7" w:rsidRPr="00E224C7" w:rsidRDefault="00E224C7" w:rsidP="00E224C7">
      <w:pPr>
        <w:spacing w:before="100" w:beforeAutospacing="1" w:after="100" w:afterAutospacing="1" w:line="240" w:lineRule="auto"/>
        <w:jc w:val="center"/>
        <w:rPr>
          <w:rFonts w:ascii="Book Antiqua" w:hAnsi="Book Antiqua"/>
          <w:sz w:val="19"/>
          <w:szCs w:val="19"/>
        </w:rPr>
      </w:pPr>
      <w:r w:rsidRPr="00E224C7">
        <w:rPr>
          <w:rFonts w:ascii="Book Antiqua" w:hAnsi="Book Antiqua"/>
          <w:sz w:val="19"/>
          <w:szCs w:val="19"/>
        </w:rPr>
        <w:t>Ministro LUIZ FUX</w:t>
      </w:r>
    </w:p>
    <w:sectPr w:rsidR="00E224C7" w:rsidRPr="00E224C7" w:rsidSect="00E224C7">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2A"/>
    <w:rsid w:val="003B524A"/>
    <w:rsid w:val="00AD4F10"/>
    <w:rsid w:val="00BB7FE6"/>
    <w:rsid w:val="00D346F6"/>
    <w:rsid w:val="00E224C7"/>
    <w:rsid w:val="00E317ED"/>
    <w:rsid w:val="00F42D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4CA1"/>
  <w15:chartTrackingRefBased/>
  <w15:docId w15:val="{A4C9064C-DB62-486A-B494-5A676BF2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795</Words>
  <Characters>4295</Characters>
  <Application>Microsoft Office Word</Application>
  <DocSecurity>0</DocSecurity>
  <Lines>35</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2025-01-26T19:05:00Z</dcterms:created>
  <dcterms:modified xsi:type="dcterms:W3CDTF">2025-01-27T16:13:00Z</dcterms:modified>
</cp:coreProperties>
</file>