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6086C" w14:textId="25D5C10A" w:rsidR="00A36C05" w:rsidRPr="00A36C05" w:rsidRDefault="00A36C05" w:rsidP="00A36C05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A36C05">
        <w:rPr>
          <w:rFonts w:ascii="Book Antiqua" w:hAnsi="Book Antiqua"/>
          <w:b/>
          <w:bCs/>
          <w:color w:val="FF0000"/>
          <w:sz w:val="19"/>
          <w:szCs w:val="19"/>
        </w:rPr>
        <w:t>(Atualização em 12/01/2022: questões de concurso e alterações normativas)</w:t>
      </w:r>
    </w:p>
    <w:p w14:paraId="21AC68F5" w14:textId="7F2685C0" w:rsidR="004224C0" w:rsidRPr="00A36C05" w:rsidRDefault="00A36C05" w:rsidP="00A36C05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A36C05">
        <w:rPr>
          <w:rFonts w:ascii="Book Antiqua" w:hAnsi="Book Antiqua"/>
          <w:b/>
          <w:bCs/>
          <w:sz w:val="19"/>
          <w:szCs w:val="19"/>
        </w:rPr>
        <w:t>Resolução Nº 107 de 06/04/2010</w:t>
      </w:r>
    </w:p>
    <w:p w14:paraId="4539CB1A" w14:textId="357B6916" w:rsidR="00A36C05" w:rsidRPr="00A36C05" w:rsidRDefault="00A36C05" w:rsidP="00A36C05">
      <w:pPr>
        <w:spacing w:before="100" w:beforeAutospacing="1" w:after="100" w:afterAutospacing="1" w:line="240" w:lineRule="auto"/>
        <w:ind w:left="2835"/>
        <w:jc w:val="both"/>
        <w:rPr>
          <w:rFonts w:ascii="Book Antiqua" w:hAnsi="Book Antiqua"/>
          <w:sz w:val="19"/>
          <w:szCs w:val="19"/>
        </w:rPr>
      </w:pPr>
      <w:r w:rsidRPr="00A36C05">
        <w:rPr>
          <w:rFonts w:ascii="Book Antiqua" w:hAnsi="Book Antiqua"/>
          <w:sz w:val="19"/>
          <w:szCs w:val="19"/>
        </w:rPr>
        <w:t>Institui o Fórum Nacional do Judiciário para monitoramento e resolução das demandas de assistência à saúde.</w:t>
      </w:r>
    </w:p>
    <w:p w14:paraId="3824A023" w14:textId="77777777" w:rsidR="00A36C05" w:rsidRPr="00A36C05" w:rsidRDefault="00A36C05" w:rsidP="00A36C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36C05">
        <w:rPr>
          <w:rFonts w:ascii="Book Antiqua" w:hAnsi="Book Antiqua"/>
          <w:b/>
          <w:bCs/>
          <w:sz w:val="19"/>
          <w:szCs w:val="19"/>
        </w:rPr>
        <w:t>O PRESIDENTE DO CONSELHO NACIONAL DE JUSTIÇA</w:t>
      </w:r>
      <w:r w:rsidRPr="00A36C05">
        <w:rPr>
          <w:rFonts w:ascii="Book Antiqua" w:hAnsi="Book Antiqua"/>
          <w:sz w:val="19"/>
          <w:szCs w:val="19"/>
        </w:rPr>
        <w:t>, no uso de suas atribuições constitucionais e regimentais, e,</w:t>
      </w:r>
    </w:p>
    <w:p w14:paraId="70202FB6" w14:textId="77777777" w:rsidR="00A36C05" w:rsidRPr="00A36C05" w:rsidRDefault="00A36C05" w:rsidP="00A36C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36C05">
        <w:rPr>
          <w:rFonts w:ascii="Book Antiqua" w:hAnsi="Book Antiqua"/>
          <w:b/>
          <w:bCs/>
          <w:sz w:val="19"/>
          <w:szCs w:val="19"/>
        </w:rPr>
        <w:t>CONSIDERANDO</w:t>
      </w:r>
      <w:r w:rsidRPr="00A36C05">
        <w:rPr>
          <w:rFonts w:ascii="Book Antiqua" w:hAnsi="Book Antiqua"/>
          <w:sz w:val="19"/>
          <w:szCs w:val="19"/>
        </w:rPr>
        <w:t> o elevado número e a ampla diversidade dos litígios referentes ao direito à saúde, bem como o forte impacto dos dispêndios decorrentes sobre os orçamentos públicos;</w:t>
      </w:r>
    </w:p>
    <w:p w14:paraId="1DD34085" w14:textId="77777777" w:rsidR="00A36C05" w:rsidRPr="00A36C05" w:rsidRDefault="00A36C05" w:rsidP="00A36C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36C05">
        <w:rPr>
          <w:rFonts w:ascii="Book Antiqua" w:hAnsi="Book Antiqua"/>
          <w:b/>
          <w:bCs/>
          <w:sz w:val="19"/>
          <w:szCs w:val="19"/>
        </w:rPr>
        <w:t>CONSIDERANDO</w:t>
      </w:r>
      <w:r w:rsidRPr="00A36C05">
        <w:rPr>
          <w:rFonts w:ascii="Book Antiqua" w:hAnsi="Book Antiqua"/>
          <w:sz w:val="19"/>
          <w:szCs w:val="19"/>
        </w:rPr>
        <w:t> os resultados coletados na audiência pública nº 04, realizada pelo Supremo Tribunal Federal para debater as questões relativas às demandas judiciais que objetivam prestações de saúde;</w:t>
      </w:r>
    </w:p>
    <w:p w14:paraId="4C5EFB44" w14:textId="77777777" w:rsidR="00A36C05" w:rsidRPr="00A36C05" w:rsidRDefault="00A36C05" w:rsidP="00A36C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36C05">
        <w:rPr>
          <w:rFonts w:ascii="Book Antiqua" w:hAnsi="Book Antiqua"/>
          <w:b/>
          <w:bCs/>
          <w:sz w:val="19"/>
          <w:szCs w:val="19"/>
        </w:rPr>
        <w:t>CONSIDERANDO</w:t>
      </w:r>
      <w:r w:rsidRPr="00A36C05">
        <w:rPr>
          <w:rFonts w:ascii="Book Antiqua" w:hAnsi="Book Antiqua"/>
          <w:sz w:val="19"/>
          <w:szCs w:val="19"/>
        </w:rPr>
        <w:t> o que dispõe a </w:t>
      </w:r>
      <w:hyperlink r:id="rId4" w:tgtFrame="_blank" w:history="1">
        <w:r w:rsidRPr="00A36C05">
          <w:rPr>
            <w:rStyle w:val="Hyperlink"/>
            <w:rFonts w:ascii="Book Antiqua" w:hAnsi="Book Antiqua"/>
            <w:sz w:val="19"/>
            <w:szCs w:val="19"/>
          </w:rPr>
          <w:t>Recomendação nº 31 do Conselho Nacional de Justiça, de 30 de março de 2010</w:t>
        </w:r>
      </w:hyperlink>
      <w:r w:rsidRPr="00A36C05">
        <w:rPr>
          <w:rFonts w:ascii="Book Antiqua" w:hAnsi="Book Antiqua"/>
          <w:sz w:val="19"/>
          <w:szCs w:val="19"/>
        </w:rPr>
        <w:t>;</w:t>
      </w:r>
    </w:p>
    <w:p w14:paraId="72DA4E72" w14:textId="77777777" w:rsidR="00A36C05" w:rsidRPr="00A36C05" w:rsidRDefault="00A36C05" w:rsidP="00A36C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36C05">
        <w:rPr>
          <w:rFonts w:ascii="Book Antiqua" w:hAnsi="Book Antiqua"/>
          <w:b/>
          <w:bCs/>
          <w:sz w:val="19"/>
          <w:szCs w:val="19"/>
        </w:rPr>
        <w:t>CONSIDERANDO</w:t>
      </w:r>
      <w:r w:rsidRPr="00A36C05">
        <w:rPr>
          <w:rFonts w:ascii="Book Antiqua" w:hAnsi="Book Antiqua"/>
          <w:sz w:val="19"/>
          <w:szCs w:val="19"/>
        </w:rPr>
        <w:t> o deliberado pelo Plenário do Conselho Nacional de Justiça na 102ª Sessão Ordinária, realizada em 6 de abril de 2010, nos autos do ATO 0002243-92.2010.2.00.0000;</w:t>
      </w:r>
    </w:p>
    <w:p w14:paraId="7419C194" w14:textId="4F9A5B66" w:rsidR="00A36C05" w:rsidRPr="00A36C05" w:rsidRDefault="00A36C05" w:rsidP="00A36C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36C05">
        <w:rPr>
          <w:rFonts w:ascii="Book Antiqua" w:hAnsi="Book Antiqua"/>
          <w:sz w:val="19"/>
          <w:szCs w:val="19"/>
        </w:rPr>
        <w:t> </w:t>
      </w:r>
      <w:r w:rsidRPr="00A36C05">
        <w:rPr>
          <w:rFonts w:ascii="Book Antiqua" w:hAnsi="Book Antiqua"/>
          <w:b/>
          <w:bCs/>
          <w:sz w:val="19"/>
          <w:szCs w:val="19"/>
        </w:rPr>
        <w:t>RESOLVE:</w:t>
      </w:r>
    </w:p>
    <w:p w14:paraId="1B243BC3" w14:textId="77777777" w:rsidR="00A36C05" w:rsidRPr="00A36C05" w:rsidRDefault="00A36C05" w:rsidP="00A36C05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A36C05">
        <w:rPr>
          <w:rFonts w:ascii="Book Antiqua" w:hAnsi="Book Antiqua"/>
          <w:sz w:val="19"/>
          <w:szCs w:val="19"/>
        </w:rPr>
        <w:t> </w:t>
      </w:r>
    </w:p>
    <w:p w14:paraId="58155805" w14:textId="77777777" w:rsidR="00A36C05" w:rsidRPr="00A36C05" w:rsidRDefault="00A36C05" w:rsidP="00A36C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36C05">
        <w:rPr>
          <w:rFonts w:ascii="Book Antiqua" w:hAnsi="Book Antiqua"/>
          <w:sz w:val="19"/>
          <w:szCs w:val="19"/>
        </w:rPr>
        <w:t>Art. 1º Fica instituído, no âmbito do Conselho Nacional de Justiça, o Fórum Nacional para o monitoramento e resolução das demandas de assistência à saúde, com a atribuição de elaborar estudos e propor medidas concretas e normativas para o aperfeiçoamento de procedimentos, o reforço à efetividade dos processos judiciais e à prevenção de novos conflitos.</w:t>
      </w:r>
    </w:p>
    <w:p w14:paraId="45DE89CA" w14:textId="77777777" w:rsidR="00A36C05" w:rsidRPr="00A36C05" w:rsidRDefault="00A36C05" w:rsidP="00A36C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36C05">
        <w:rPr>
          <w:rFonts w:ascii="Book Antiqua" w:hAnsi="Book Antiqua"/>
          <w:b/>
          <w:bCs/>
          <w:sz w:val="19"/>
          <w:szCs w:val="19"/>
          <w:highlight w:val="magenta"/>
        </w:rPr>
        <w:t>Art. 2º</w:t>
      </w:r>
      <w:r w:rsidRPr="00A36C05">
        <w:rPr>
          <w:rFonts w:ascii="Book Antiqua" w:hAnsi="Book Antiqua"/>
          <w:sz w:val="19"/>
          <w:szCs w:val="19"/>
        </w:rPr>
        <w:t xml:space="preserve"> </w:t>
      </w:r>
      <w:r w:rsidRPr="00A36C05">
        <w:rPr>
          <w:rFonts w:ascii="Book Antiqua" w:hAnsi="Book Antiqua"/>
          <w:b/>
          <w:bCs/>
          <w:sz w:val="19"/>
          <w:szCs w:val="19"/>
        </w:rPr>
        <w:t>Caberá ao Fórum Nacional</w:t>
      </w:r>
      <w:r w:rsidRPr="00A36C05">
        <w:rPr>
          <w:rFonts w:ascii="Book Antiqua" w:hAnsi="Book Antiqua"/>
          <w:sz w:val="19"/>
          <w:szCs w:val="19"/>
        </w:rPr>
        <w:t>:</w:t>
      </w:r>
    </w:p>
    <w:p w14:paraId="0558D949" w14:textId="0DA60FD3" w:rsidR="00A36C05" w:rsidRPr="00A36C05" w:rsidRDefault="00A36C05" w:rsidP="00A36C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36C05">
        <w:rPr>
          <w:rFonts w:ascii="Book Antiqua" w:hAnsi="Book Antiqua"/>
          <w:b/>
          <w:bCs/>
          <w:sz w:val="19"/>
          <w:szCs w:val="19"/>
        </w:rPr>
        <w:t>I - o monitoramento das ações judiciais que envolvam prestações de assistência à saúde, como o fornecimento de medicamentos, produtos ou insumos em geral, tratamentos e disponibilização de leitos hospitalares</w:t>
      </w:r>
      <w:r w:rsidRPr="00A36C05">
        <w:rPr>
          <w:rFonts w:ascii="Book Antiqua" w:hAnsi="Book Antiqua"/>
          <w:sz w:val="19"/>
          <w:szCs w:val="19"/>
        </w:rPr>
        <w:t>;</w:t>
      </w:r>
      <w:r w:rsidR="004D47AE">
        <w:rPr>
          <w:rFonts w:ascii="Book Antiqua" w:hAnsi="Book Antiqua"/>
          <w:sz w:val="19"/>
          <w:szCs w:val="19"/>
        </w:rPr>
        <w:t xml:space="preserve"> </w:t>
      </w:r>
      <w:r w:rsidR="004D47AE" w:rsidRPr="004D47AE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(DPEAM-2018)</w:t>
      </w:r>
    </w:p>
    <w:p w14:paraId="3C948343" w14:textId="77777777" w:rsidR="00A36C05" w:rsidRPr="00A36C05" w:rsidRDefault="00A36C05" w:rsidP="00A36C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36C05">
        <w:rPr>
          <w:rFonts w:ascii="Book Antiqua" w:hAnsi="Book Antiqua"/>
          <w:sz w:val="19"/>
          <w:szCs w:val="19"/>
        </w:rPr>
        <w:t>II - o monitoramento das ações judiciais relativas ao Sistema Único de Saúde;</w:t>
      </w:r>
    </w:p>
    <w:p w14:paraId="287C6E98" w14:textId="6FB12AD9" w:rsidR="00A36C05" w:rsidRDefault="00A36C05" w:rsidP="00A36C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36C05">
        <w:rPr>
          <w:rFonts w:ascii="Book Antiqua" w:hAnsi="Book Antiqua"/>
          <w:b/>
          <w:bCs/>
          <w:sz w:val="19"/>
          <w:szCs w:val="19"/>
        </w:rPr>
        <w:t>III - a proposição de medidas concretas e normativas voltadas à otimização de rotinas processuais, à organização e estruturação de unidades judiciárias especializadas</w:t>
      </w:r>
      <w:r w:rsidRPr="00A36C05">
        <w:rPr>
          <w:rFonts w:ascii="Book Antiqua" w:hAnsi="Book Antiqua"/>
          <w:sz w:val="19"/>
          <w:szCs w:val="19"/>
        </w:rPr>
        <w:t>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36C05" w14:paraId="5324F8D7" w14:textId="77777777" w:rsidTr="004D47AE">
        <w:tc>
          <w:tcPr>
            <w:tcW w:w="8494" w:type="dxa"/>
            <w:shd w:val="clear" w:color="auto" w:fill="CCFFFF"/>
          </w:tcPr>
          <w:p w14:paraId="1957AA17" w14:textId="0DED353E" w:rsidR="00A36C05" w:rsidRPr="004D47AE" w:rsidRDefault="00A36C05" w:rsidP="00A36C05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A36C05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DPEAM-2018-FCC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="004D47AE" w:rsidRPr="004D47AE">
              <w:rPr>
                <w:rFonts w:ascii="Book Antiqua" w:hAnsi="Book Antiqua"/>
                <w:sz w:val="19"/>
                <w:szCs w:val="19"/>
              </w:rPr>
              <w:t>Segundo a Resolução 107/10, do CNJ, cabe ao Fórum Nacional do Judiciário, expressamente,</w:t>
            </w:r>
            <w:r w:rsidR="004D47AE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="004D47AE" w:rsidRPr="004D47AE">
              <w:rPr>
                <w:rFonts w:ascii="Book Antiqua" w:hAnsi="Book Antiqua"/>
                <w:sz w:val="19"/>
                <w:szCs w:val="19"/>
              </w:rPr>
              <w:t>a proposição de medidas concretas e normativas, voltadas à otimização de rotinas processuais, à organização e estruturação de unidades judiciárias especializadas.</w:t>
            </w:r>
            <w:r w:rsidR="004D47AE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="004D47AE">
              <w:rPr>
                <w:rFonts w:ascii="Book Antiqua" w:hAnsi="Book Antiqua"/>
                <w:b/>
                <w:bCs/>
                <w:sz w:val="19"/>
                <w:szCs w:val="19"/>
              </w:rPr>
              <w:t>BL: art. 2º, III, Res. 107/10.</w:t>
            </w:r>
          </w:p>
        </w:tc>
      </w:tr>
    </w:tbl>
    <w:p w14:paraId="48AB7B1C" w14:textId="61BD55F8" w:rsidR="00A36C05" w:rsidRPr="00A36C05" w:rsidRDefault="00A36C05" w:rsidP="00A36C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  <w:u w:val="single"/>
        </w:rPr>
      </w:pPr>
      <w:r w:rsidRPr="00A36C05">
        <w:rPr>
          <w:rFonts w:ascii="Book Antiqua" w:hAnsi="Book Antiqua"/>
          <w:b/>
          <w:bCs/>
          <w:sz w:val="19"/>
          <w:szCs w:val="19"/>
        </w:rPr>
        <w:t>IV - a proposição de medidas concretas e normativas voltadas à prevenção de conflitos judiciais e à definição de estratégias nas questões de direito sanitário</w:t>
      </w:r>
      <w:r w:rsidRPr="00A36C05">
        <w:rPr>
          <w:rFonts w:ascii="Book Antiqua" w:hAnsi="Book Antiqua"/>
          <w:sz w:val="19"/>
          <w:szCs w:val="19"/>
        </w:rPr>
        <w:t>;</w:t>
      </w:r>
      <w:r w:rsidR="004D47AE" w:rsidRPr="004D47AE">
        <w:rPr>
          <w:rFonts w:ascii="Book Antiqua" w:hAnsi="Book Antiqua"/>
          <w:color w:val="FF0000"/>
          <w:sz w:val="18"/>
          <w:szCs w:val="18"/>
        </w:rPr>
        <w:t xml:space="preserve"> </w:t>
      </w:r>
      <w:r w:rsidR="004D47AE" w:rsidRPr="004D47AE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(DPEAM-2018)</w:t>
      </w:r>
    </w:p>
    <w:p w14:paraId="759EBC5B" w14:textId="77777777" w:rsidR="00A36C05" w:rsidRPr="00A36C05" w:rsidRDefault="00A36C05" w:rsidP="00A36C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36C05">
        <w:rPr>
          <w:rFonts w:ascii="Book Antiqua" w:hAnsi="Book Antiqua"/>
          <w:sz w:val="19"/>
          <w:szCs w:val="19"/>
        </w:rPr>
        <w:t>V - o estudo e a proposição de outras medidas consideradas pertinentes ao cumprimento do objetivo do Fórum Nacional.</w:t>
      </w:r>
    </w:p>
    <w:p w14:paraId="65ACF16F" w14:textId="73E9DB49" w:rsidR="00A36C05" w:rsidRPr="00A36C05" w:rsidRDefault="00A36C05" w:rsidP="00A36C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36C05">
        <w:rPr>
          <w:rFonts w:ascii="Book Antiqua" w:hAnsi="Book Antiqua"/>
          <w:sz w:val="19"/>
          <w:szCs w:val="19"/>
        </w:rPr>
        <w:t xml:space="preserve">Art. 3º </w:t>
      </w:r>
      <w:hyperlink r:id="rId5" w:tgtFrame="_blank" w:history="1">
        <w:r w:rsidRPr="00A36C05">
          <w:rPr>
            <w:rStyle w:val="Hyperlink"/>
            <w:rFonts w:ascii="Book Antiqua" w:hAnsi="Book Antiqua"/>
            <w:sz w:val="19"/>
            <w:szCs w:val="19"/>
          </w:rPr>
          <w:t>(revogado pela Resolução n</w:t>
        </w:r>
      </w:hyperlink>
      <w:hyperlink r:id="rId6" w:tgtFrame="_blank" w:history="1">
        <w:r w:rsidRPr="00A36C05">
          <w:rPr>
            <w:rStyle w:val="Hyperlink"/>
            <w:rFonts w:ascii="Book Antiqua" w:hAnsi="Book Antiqua"/>
            <w:sz w:val="19"/>
            <w:szCs w:val="19"/>
          </w:rPr>
          <w:t>º 388, de 13.4.2021)</w:t>
        </w:r>
      </w:hyperlink>
    </w:p>
    <w:p w14:paraId="36B70B43" w14:textId="0FDD8156" w:rsidR="00A36C05" w:rsidRPr="00A36C05" w:rsidRDefault="00A36C05" w:rsidP="00A36C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36C05">
        <w:rPr>
          <w:rFonts w:ascii="Book Antiqua" w:hAnsi="Book Antiqua"/>
          <w:sz w:val="19"/>
          <w:szCs w:val="19"/>
        </w:rPr>
        <w:lastRenderedPageBreak/>
        <w:t>Parágrafo único. </w:t>
      </w:r>
      <w:hyperlink r:id="rId7" w:tgtFrame="_blank" w:history="1">
        <w:r w:rsidRPr="00A36C05">
          <w:rPr>
            <w:rStyle w:val="Hyperlink"/>
            <w:rFonts w:ascii="Book Antiqua" w:hAnsi="Book Antiqua"/>
            <w:sz w:val="19"/>
            <w:szCs w:val="19"/>
          </w:rPr>
          <w:t>(revogado pela Resolução n</w:t>
        </w:r>
      </w:hyperlink>
      <w:hyperlink r:id="rId8" w:tgtFrame="_blank" w:history="1">
        <w:r w:rsidRPr="00A36C05">
          <w:rPr>
            <w:rStyle w:val="Hyperlink"/>
            <w:rFonts w:ascii="Book Antiqua" w:hAnsi="Book Antiqua"/>
            <w:sz w:val="19"/>
            <w:szCs w:val="19"/>
          </w:rPr>
          <w:t>º 388, de 13.4.2021)</w:t>
        </w:r>
      </w:hyperlink>
    </w:p>
    <w:p w14:paraId="2737DE4F" w14:textId="16338CFB" w:rsidR="00A36C05" w:rsidRPr="00A36C05" w:rsidRDefault="00A36C05" w:rsidP="00A36C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36C05">
        <w:rPr>
          <w:rFonts w:ascii="Book Antiqua" w:hAnsi="Book Antiqua"/>
          <w:b/>
          <w:bCs/>
          <w:sz w:val="19"/>
          <w:szCs w:val="19"/>
          <w:highlight w:val="magenta"/>
        </w:rPr>
        <w:t>Art. 4º</w:t>
      </w:r>
      <w:r w:rsidRPr="00A36C05">
        <w:rPr>
          <w:rFonts w:ascii="Book Antiqua" w:hAnsi="Book Antiqua"/>
          <w:sz w:val="19"/>
          <w:szCs w:val="19"/>
        </w:rPr>
        <w:t xml:space="preserve"> O Fórum Nacional será integrado por magistrados atuantes em unidades jurisdicionais, especializadas ou não, que tratem de temas relacionados ao objeto de sua atuação, podendo contar com o auxílio de autoridades e especialistas com atuação nas áreas correlatas, especialmente do Conselho Nacional do Ministério Público, do Ministério Público Federal, dos Estados e do Distrito Federal, das Defensorias Públicas, da Ordem dos Advogados do Brasil, de universidades e outras instituições de pesquisa.</w:t>
      </w:r>
      <w:r w:rsidR="004D47AE">
        <w:rPr>
          <w:rFonts w:ascii="Book Antiqua" w:hAnsi="Book Antiqua"/>
          <w:sz w:val="19"/>
          <w:szCs w:val="19"/>
        </w:rPr>
        <w:t xml:space="preserve"> </w:t>
      </w:r>
      <w:r w:rsidR="004D47AE" w:rsidRPr="004D47AE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(DPEAM-2018)</w:t>
      </w:r>
    </w:p>
    <w:p w14:paraId="255855CA" w14:textId="77777777" w:rsidR="00A36C05" w:rsidRPr="00A36C05" w:rsidRDefault="00A36C05" w:rsidP="00A36C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36C05">
        <w:rPr>
          <w:rFonts w:ascii="Book Antiqua" w:hAnsi="Book Antiqua"/>
          <w:sz w:val="19"/>
          <w:szCs w:val="19"/>
        </w:rPr>
        <w:t>Art. 5º Para dotar o Fórum Nacional dos meios necessários ao fiel desempenho de suas atribuições, o Conselho Nacional de Justiça poderá firmar termos de acordo de cooperação técnica ou convênios com órgãos e entidades públicas e privadas, cuja atuação institucional esteja voltada à busca de solução dos conflitos já mencionados precedentemente.</w:t>
      </w:r>
    </w:p>
    <w:p w14:paraId="544A3E51" w14:textId="77777777" w:rsidR="00A36C05" w:rsidRPr="00A36C05" w:rsidRDefault="00A36C05" w:rsidP="00A36C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36C05">
        <w:rPr>
          <w:rFonts w:ascii="Book Antiqua" w:hAnsi="Book Antiqua"/>
          <w:sz w:val="19"/>
          <w:szCs w:val="19"/>
        </w:rPr>
        <w:t>Art. 6º O Fórum Nacional será coordenado pelos Conselheiros integrantes da Comissão Permanente de Políticas Sociais e de Desenvolvimento do Cidadão. (</w:t>
      </w:r>
      <w:hyperlink r:id="rId9" w:tgtFrame="_blank" w:history="1">
        <w:r w:rsidRPr="00A36C05">
          <w:rPr>
            <w:rStyle w:val="Hyperlink"/>
            <w:rFonts w:ascii="Book Antiqua" w:hAnsi="Book Antiqua"/>
            <w:sz w:val="19"/>
            <w:szCs w:val="19"/>
          </w:rPr>
          <w:t>Redação dada pela Resolução nº 326, de 26.6.2020</w:t>
        </w:r>
      </w:hyperlink>
      <w:r w:rsidRPr="00A36C05">
        <w:rPr>
          <w:rFonts w:ascii="Book Antiqua" w:hAnsi="Book Antiqua"/>
          <w:sz w:val="19"/>
          <w:szCs w:val="19"/>
        </w:rPr>
        <w:t>)</w:t>
      </w:r>
    </w:p>
    <w:p w14:paraId="3F459A45" w14:textId="77777777" w:rsidR="00A36C05" w:rsidRPr="00A36C05" w:rsidRDefault="00A36C05" w:rsidP="00A36C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36C05">
        <w:rPr>
          <w:rFonts w:ascii="Book Antiqua" w:hAnsi="Book Antiqua"/>
          <w:sz w:val="19"/>
          <w:szCs w:val="19"/>
        </w:rPr>
        <w:t>Art. 7º Caberá ao Fórum Nacional, em sua primeira reunião, a elaboração de seu programa de trabalho e cronograma de atividades.</w:t>
      </w:r>
    </w:p>
    <w:p w14:paraId="6C3C11AB" w14:textId="67F0C0BC" w:rsidR="00A36C05" w:rsidRPr="00A36C05" w:rsidRDefault="00A36C05" w:rsidP="00A36C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36C05">
        <w:rPr>
          <w:rFonts w:ascii="Book Antiqua" w:hAnsi="Book Antiqua"/>
          <w:sz w:val="19"/>
          <w:szCs w:val="19"/>
        </w:rPr>
        <w:t>§ 1º As reuniões do Fórum Nacional ocorrerão preferencialmente por videoconferência.</w:t>
      </w:r>
      <w:r w:rsidR="004D47AE">
        <w:rPr>
          <w:rFonts w:ascii="Book Antiqua" w:hAnsi="Book Antiqua"/>
          <w:sz w:val="19"/>
          <w:szCs w:val="19"/>
        </w:rPr>
        <w:t xml:space="preserve"> </w:t>
      </w:r>
      <w:hyperlink r:id="rId10" w:tgtFrame="_blank" w:history="1">
        <w:r w:rsidRPr="00A36C05">
          <w:rPr>
            <w:rStyle w:val="Hyperlink"/>
            <w:rFonts w:ascii="Book Antiqua" w:hAnsi="Book Antiqua"/>
            <w:sz w:val="19"/>
            <w:szCs w:val="19"/>
          </w:rPr>
          <w:t>(incluído pela Resolução n</w:t>
        </w:r>
      </w:hyperlink>
      <w:hyperlink r:id="rId11" w:tgtFrame="_blank" w:history="1">
        <w:r w:rsidRPr="00A36C05">
          <w:rPr>
            <w:rStyle w:val="Hyperlink"/>
            <w:rFonts w:ascii="Book Antiqua" w:hAnsi="Book Antiqua"/>
            <w:sz w:val="19"/>
            <w:szCs w:val="19"/>
          </w:rPr>
          <w:t>º 388, de 13.4.2021)</w:t>
        </w:r>
      </w:hyperlink>
    </w:p>
    <w:p w14:paraId="577ECDB2" w14:textId="77777777" w:rsidR="00A36C05" w:rsidRPr="00A36C05" w:rsidRDefault="00A36C05" w:rsidP="00A36C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36C05">
        <w:rPr>
          <w:rFonts w:ascii="Book Antiqua" w:hAnsi="Book Antiqua"/>
          <w:sz w:val="19"/>
          <w:szCs w:val="19"/>
        </w:rPr>
        <w:t>§ 2º Os relatórios de atividades do Fórum deverão ser apresentados ao Plenário do CNJ semestralmente. </w:t>
      </w:r>
      <w:hyperlink r:id="rId12" w:tgtFrame="_blank" w:history="1">
        <w:r w:rsidRPr="00A36C05">
          <w:rPr>
            <w:rStyle w:val="Hyperlink"/>
            <w:rFonts w:ascii="Book Antiqua" w:hAnsi="Book Antiqua"/>
            <w:sz w:val="19"/>
            <w:szCs w:val="19"/>
          </w:rPr>
          <w:t>(incluído pela Resolução n</w:t>
        </w:r>
      </w:hyperlink>
      <w:hyperlink r:id="rId13" w:tgtFrame="_blank" w:history="1">
        <w:r w:rsidRPr="00A36C05">
          <w:rPr>
            <w:rStyle w:val="Hyperlink"/>
            <w:rFonts w:ascii="Book Antiqua" w:hAnsi="Book Antiqua"/>
            <w:sz w:val="19"/>
            <w:szCs w:val="19"/>
          </w:rPr>
          <w:t>º 388, de 13.4.2021)</w:t>
        </w:r>
      </w:hyperlink>
    </w:p>
    <w:p w14:paraId="36A61A2E" w14:textId="3FB78999" w:rsidR="00A36C05" w:rsidRPr="00A36C05" w:rsidRDefault="00A36C05" w:rsidP="00A36C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36C05">
        <w:rPr>
          <w:rFonts w:ascii="Book Antiqua" w:hAnsi="Book Antiqua"/>
          <w:sz w:val="19"/>
          <w:szCs w:val="19"/>
        </w:rPr>
        <w:t xml:space="preserve">Art. 8º </w:t>
      </w:r>
      <w:hyperlink r:id="rId14" w:tgtFrame="_blank" w:history="1">
        <w:r w:rsidRPr="00A36C05">
          <w:rPr>
            <w:rStyle w:val="Hyperlink"/>
            <w:rFonts w:ascii="Book Antiqua" w:hAnsi="Book Antiqua"/>
            <w:sz w:val="19"/>
            <w:szCs w:val="19"/>
          </w:rPr>
          <w:t>(revogado pela Resolução n</w:t>
        </w:r>
      </w:hyperlink>
      <w:hyperlink r:id="rId15" w:tgtFrame="_blank" w:history="1">
        <w:r w:rsidRPr="00A36C05">
          <w:rPr>
            <w:rStyle w:val="Hyperlink"/>
            <w:rFonts w:ascii="Book Antiqua" w:hAnsi="Book Antiqua"/>
            <w:sz w:val="19"/>
            <w:szCs w:val="19"/>
          </w:rPr>
          <w:t>º 388, de 13.4.2021)</w:t>
        </w:r>
      </w:hyperlink>
    </w:p>
    <w:p w14:paraId="1D471B7F" w14:textId="77777777" w:rsidR="00A36C05" w:rsidRPr="00A36C05" w:rsidRDefault="00A36C05" w:rsidP="00A36C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36C05">
        <w:rPr>
          <w:rFonts w:ascii="Book Antiqua" w:hAnsi="Book Antiqua"/>
          <w:sz w:val="19"/>
          <w:szCs w:val="19"/>
        </w:rPr>
        <w:t>Art. 9º Esta Resolução entra em vigor na data de sua publicação.</w:t>
      </w:r>
    </w:p>
    <w:p w14:paraId="4BF6A73C" w14:textId="77777777" w:rsidR="00A36C05" w:rsidRPr="00A36C05" w:rsidRDefault="00A36C05" w:rsidP="00A36C05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A36C05">
        <w:rPr>
          <w:rFonts w:ascii="Book Antiqua" w:hAnsi="Book Antiqua"/>
          <w:sz w:val="19"/>
          <w:szCs w:val="19"/>
        </w:rPr>
        <w:t> </w:t>
      </w:r>
    </w:p>
    <w:p w14:paraId="507A894E" w14:textId="77777777" w:rsidR="00A36C05" w:rsidRPr="00A36C05" w:rsidRDefault="00A36C05" w:rsidP="00A36C05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A36C05">
        <w:rPr>
          <w:rFonts w:ascii="Book Antiqua" w:hAnsi="Book Antiqua"/>
          <w:sz w:val="19"/>
          <w:szCs w:val="19"/>
        </w:rPr>
        <w:t>Ministro </w:t>
      </w:r>
      <w:r w:rsidRPr="00A36C05">
        <w:rPr>
          <w:rFonts w:ascii="Book Antiqua" w:hAnsi="Book Antiqua"/>
          <w:b/>
          <w:bCs/>
          <w:sz w:val="19"/>
          <w:szCs w:val="19"/>
        </w:rPr>
        <w:t>GILMAR MENDES</w:t>
      </w:r>
    </w:p>
    <w:p w14:paraId="5A7B2FA2" w14:textId="77777777" w:rsidR="00A36C05" w:rsidRPr="00A36C05" w:rsidRDefault="00A36C05" w:rsidP="00A36C05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sectPr w:rsidR="00A36C05" w:rsidRPr="00A36C05" w:rsidSect="00A36C05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C0"/>
    <w:rsid w:val="004224C0"/>
    <w:rsid w:val="004D47AE"/>
    <w:rsid w:val="00A3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7F425"/>
  <w15:chartTrackingRefBased/>
  <w15:docId w15:val="{352ABC26-46D1-492C-8A94-DD054632A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36C0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6C05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A36C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os.cnj.jus.br/atos/detalhar/3868" TargetMode="External"/><Relationship Id="rId13" Type="http://schemas.openxmlformats.org/officeDocument/2006/relationships/hyperlink" Target="https://atos.cnj.jus.br/atos/detalhar/386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tos.cnj.jus.br/atos/detalhar/3868" TargetMode="External"/><Relationship Id="rId12" Type="http://schemas.openxmlformats.org/officeDocument/2006/relationships/hyperlink" Target="https://atos.cnj.jus.br/atos/detalhar/3868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atos.cnj.jus.br/atos/detalhar/3868" TargetMode="External"/><Relationship Id="rId11" Type="http://schemas.openxmlformats.org/officeDocument/2006/relationships/hyperlink" Target="https://atos.cnj.jus.br/atos/detalhar/3868" TargetMode="External"/><Relationship Id="rId5" Type="http://schemas.openxmlformats.org/officeDocument/2006/relationships/hyperlink" Target="https://atos.cnj.jus.br/atos/detalhar/3868" TargetMode="External"/><Relationship Id="rId15" Type="http://schemas.openxmlformats.org/officeDocument/2006/relationships/hyperlink" Target="https://atos.cnj.jus.br/atos/detalhar/3868" TargetMode="External"/><Relationship Id="rId10" Type="http://schemas.openxmlformats.org/officeDocument/2006/relationships/hyperlink" Target="https://atos.cnj.jus.br/atos/detalhar/3868" TargetMode="External"/><Relationship Id="rId4" Type="http://schemas.openxmlformats.org/officeDocument/2006/relationships/hyperlink" Target="https://atos.cnj.jus.br/atos/detalhar/877" TargetMode="External"/><Relationship Id="rId9" Type="http://schemas.openxmlformats.org/officeDocument/2006/relationships/hyperlink" Target="https://atos.cnj.jus.br/atos/detalhar/3366" TargetMode="External"/><Relationship Id="rId14" Type="http://schemas.openxmlformats.org/officeDocument/2006/relationships/hyperlink" Target="https://atos.cnj.jus.br/atos/detalhar/3868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785</Words>
  <Characters>4240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2022-01-12T16:56:00Z</dcterms:created>
  <dcterms:modified xsi:type="dcterms:W3CDTF">2022-01-12T17:04:00Z</dcterms:modified>
</cp:coreProperties>
</file>