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A34F7" w14:textId="58D837A6" w:rsidR="00D947AB" w:rsidRPr="00D947AB" w:rsidRDefault="00D947AB" w:rsidP="002B1A6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D947AB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BD1411">
        <w:rPr>
          <w:rFonts w:ascii="Book Antiqua" w:hAnsi="Book Antiqua"/>
          <w:b/>
          <w:bCs/>
          <w:color w:val="FF0000"/>
          <w:sz w:val="19"/>
          <w:szCs w:val="19"/>
        </w:rPr>
        <w:t>01/06</w:t>
      </w:r>
      <w:r w:rsidR="00FE0489">
        <w:rPr>
          <w:rFonts w:ascii="Book Antiqua" w:hAnsi="Book Antiqua"/>
          <w:b/>
          <w:bCs/>
          <w:color w:val="FF0000"/>
          <w:sz w:val="19"/>
          <w:szCs w:val="19"/>
        </w:rPr>
        <w:t>/2023</w:t>
      </w:r>
      <w:r w:rsidRPr="00D947AB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47A1019A" w14:textId="32EE8D29" w:rsidR="00C726B7" w:rsidRPr="002B1A66" w:rsidRDefault="002B1A66" w:rsidP="002B1A6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B1A66">
        <w:rPr>
          <w:rFonts w:ascii="Book Antiqua" w:hAnsi="Book Antiqua"/>
          <w:b/>
          <w:bCs/>
          <w:sz w:val="19"/>
          <w:szCs w:val="19"/>
        </w:rPr>
        <w:t>Resolução Nº 175 de 14/05/2013</w:t>
      </w:r>
    </w:p>
    <w:p w14:paraId="25571563" w14:textId="79B0034C" w:rsidR="002B1A66" w:rsidRPr="002B1A66" w:rsidRDefault="002B1A66" w:rsidP="002B1A66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8"/>
          <w:szCs w:val="18"/>
        </w:rPr>
      </w:pPr>
      <w:r w:rsidRPr="002B1A66">
        <w:rPr>
          <w:rFonts w:ascii="Book Antiqua" w:hAnsi="Book Antiqua"/>
          <w:sz w:val="18"/>
          <w:szCs w:val="18"/>
        </w:rPr>
        <w:t>Dispõe sobre a habilitação, celebração de casamento civil, ou de conversão de união estável em casamento, entre pessoas de mesmo sexo.</w:t>
      </w:r>
    </w:p>
    <w:p w14:paraId="27E006DE" w14:textId="77777777" w:rsidR="002B1A66" w:rsidRP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B1A66">
        <w:rPr>
          <w:rFonts w:ascii="Book Antiqua" w:hAnsi="Book Antiqua"/>
          <w:sz w:val="19"/>
          <w:szCs w:val="19"/>
        </w:rPr>
        <w:t>O PRESIDENTE DO CONSELHO NACIONAL DE JUSTIÇA, no uso de suas atribuições constitucionais e regimentais,</w:t>
      </w:r>
    </w:p>
    <w:p w14:paraId="00F2C5CA" w14:textId="77777777" w:rsidR="002B1A66" w:rsidRP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B1A66">
        <w:rPr>
          <w:rFonts w:ascii="Book Antiqua" w:hAnsi="Book Antiqua"/>
          <w:sz w:val="19"/>
          <w:szCs w:val="19"/>
        </w:rPr>
        <w:t>CONSIDERANDO a decisão do plenário do Conselho Nacional de Justiça, tomada no julgamento do Ato Normativo no 0002626-65.2013.2.00.0000, na 169ª Sessão Ordinária, realizada em 14 de maio de 2013;</w:t>
      </w:r>
    </w:p>
    <w:p w14:paraId="503A2800" w14:textId="77777777" w:rsidR="002B1A66" w:rsidRP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B1A66">
        <w:rPr>
          <w:rFonts w:ascii="Book Antiqua" w:hAnsi="Book Antiqua"/>
          <w:sz w:val="19"/>
          <w:szCs w:val="19"/>
        </w:rPr>
        <w:t>CONSIDERANDO que o Supremo Tribunal Federal, nos acórdãos prolatados em julgamento da ADPF 132/RJ e da ADI 4277/DF, reconheceu a inconstitucionalidade de distinção de tratamento legal às uniões estáveis constituídas por pessoas de mesmo sexo;</w:t>
      </w:r>
    </w:p>
    <w:p w14:paraId="1B2B5332" w14:textId="77777777" w:rsidR="002B1A66" w:rsidRP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B1A66">
        <w:rPr>
          <w:rFonts w:ascii="Book Antiqua" w:hAnsi="Book Antiqua"/>
          <w:sz w:val="19"/>
          <w:szCs w:val="19"/>
        </w:rPr>
        <w:t>CONSIDERANDO que as referidas decisões foram proferidas com eficácia vinculante à administração pública e aos demais órgãos do Poder Judiciário;</w:t>
      </w:r>
    </w:p>
    <w:p w14:paraId="30C70956" w14:textId="375B92A8" w:rsidR="002B1A66" w:rsidRP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C</w:t>
      </w:r>
      <w:r w:rsidRPr="002B1A66">
        <w:rPr>
          <w:rFonts w:ascii="Book Antiqua" w:hAnsi="Book Antiqua"/>
          <w:sz w:val="19"/>
          <w:szCs w:val="19"/>
        </w:rPr>
        <w:t>ONSIDERANDO que o Superior Tribunal de Justiça, em julgamento do RESP 1.183.378/RS, decidiu inexistir óbices legais à celebração de casamento entre pessoas de mesmo sexo;</w:t>
      </w:r>
    </w:p>
    <w:p w14:paraId="37325608" w14:textId="77777777" w:rsidR="002B1A66" w:rsidRP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B1A66">
        <w:rPr>
          <w:rFonts w:ascii="Book Antiqua" w:hAnsi="Book Antiqua"/>
          <w:sz w:val="19"/>
          <w:szCs w:val="19"/>
        </w:rPr>
        <w:t>CONSIDERANDO a competência do Conselho Nacional de Justiça, prevista no art. 103-B, da Constituição Federal de 1988;</w:t>
      </w:r>
    </w:p>
    <w:p w14:paraId="0A9F1505" w14:textId="77777777" w:rsidR="002B1A66" w:rsidRP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B1A66">
        <w:rPr>
          <w:rFonts w:ascii="Book Antiqua" w:hAnsi="Book Antiqua"/>
          <w:sz w:val="19"/>
          <w:szCs w:val="19"/>
        </w:rPr>
        <w:t>RESOLVE:</w:t>
      </w:r>
    </w:p>
    <w:p w14:paraId="4DF1F9EA" w14:textId="6CB31D19" w:rsidR="002B1A66" w:rsidRPr="00BD1411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  <w:u w:val="single"/>
        </w:rPr>
      </w:pPr>
      <w:r w:rsidRPr="002B1A66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2B1A66">
        <w:rPr>
          <w:rFonts w:ascii="Book Antiqua" w:hAnsi="Book Antiqua"/>
          <w:sz w:val="19"/>
          <w:szCs w:val="19"/>
        </w:rPr>
        <w:t xml:space="preserve"> </w:t>
      </w:r>
      <w:r w:rsidRPr="002B1A66">
        <w:rPr>
          <w:rFonts w:ascii="Book Antiqua" w:hAnsi="Book Antiqua"/>
          <w:b/>
          <w:bCs/>
          <w:caps/>
          <w:sz w:val="19"/>
          <w:szCs w:val="19"/>
          <w:highlight w:val="green"/>
        </w:rPr>
        <w:t>É vedada</w:t>
      </w:r>
      <w:r w:rsidRPr="002B1A66">
        <w:rPr>
          <w:rFonts w:ascii="Book Antiqua" w:hAnsi="Book Antiqua"/>
          <w:sz w:val="19"/>
          <w:szCs w:val="19"/>
        </w:rPr>
        <w:t xml:space="preserve"> </w:t>
      </w:r>
      <w:r w:rsidRPr="002B1A66">
        <w:rPr>
          <w:rFonts w:ascii="Book Antiqua" w:hAnsi="Book Antiqua"/>
          <w:b/>
          <w:bCs/>
          <w:sz w:val="19"/>
          <w:szCs w:val="19"/>
        </w:rPr>
        <w:t>às autoridades competentes a recusa de habilitação, celebração de casamento civil ou de conversão de união estável em casamento entre pessoas de mesmo sexo</w:t>
      </w:r>
      <w:r w:rsidRPr="00BD1411">
        <w:rPr>
          <w:rFonts w:ascii="Book Antiqua" w:hAnsi="Book Antiqua"/>
          <w:sz w:val="18"/>
          <w:szCs w:val="18"/>
        </w:rPr>
        <w:t>.</w:t>
      </w:r>
      <w:r w:rsidR="00FE0489" w:rsidRPr="00BD1411">
        <w:rPr>
          <w:rFonts w:ascii="Book Antiqua" w:hAnsi="Book Antiqua"/>
          <w:sz w:val="18"/>
          <w:szCs w:val="18"/>
        </w:rPr>
        <w:t xml:space="preserve"> </w:t>
      </w:r>
      <w:r w:rsidR="00FE0489" w:rsidRPr="00BD141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(Cartórios/TJPI-2013)</w:t>
      </w:r>
      <w:r w:rsidR="001F0C79" w:rsidRPr="00BD1411">
        <w:rPr>
          <w:rFonts w:ascii="Book Antiqua" w:hAnsi="Book Antiqua"/>
          <w:sz w:val="18"/>
          <w:szCs w:val="18"/>
        </w:rPr>
        <w:t xml:space="preserve"> </w:t>
      </w:r>
      <w:r w:rsidR="001F0C79" w:rsidRPr="00BD141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(DPEGO-2014)</w:t>
      </w:r>
      <w:r w:rsidR="002947B5" w:rsidRPr="00BD141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947B5" w:rsidRPr="00BD141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(DPEPA-2015)</w:t>
      </w:r>
      <w:r w:rsidR="007649E4" w:rsidRPr="00BD1411">
        <w:rPr>
          <w:rFonts w:ascii="Book Antiqua" w:hAnsi="Book Antiqua"/>
          <w:color w:val="FF0000"/>
          <w:sz w:val="16"/>
          <w:szCs w:val="16"/>
        </w:rPr>
        <w:t xml:space="preserve"> </w:t>
      </w:r>
      <w:r w:rsidR="007649E4" w:rsidRPr="00BD141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(DPEPE-2018)</w:t>
      </w:r>
      <w:r w:rsidR="002947B5" w:rsidRPr="00BD141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947B5" w:rsidRPr="00BD141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(Cartórios/TJSP-2018)</w:t>
      </w:r>
      <w:r w:rsidR="001F0C79" w:rsidRPr="00BD141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F0C79" w:rsidRPr="00BD141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(Cartórios/TJSC-2019)</w:t>
      </w:r>
      <w:r w:rsidR="00531C1E" w:rsidRPr="00BD1411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31C1E" w:rsidRPr="00BD141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(Cartórios/TJGO-2021)</w:t>
      </w:r>
      <w:r w:rsidR="00BD141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0" w:name="_Hlk136529628"/>
      <w:r w:rsidR="00BD141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1A66" w14:paraId="69069834" w14:textId="77777777" w:rsidTr="002B1A66">
        <w:tc>
          <w:tcPr>
            <w:tcW w:w="8494" w:type="dxa"/>
            <w:shd w:val="clear" w:color="auto" w:fill="CCFFFF"/>
          </w:tcPr>
          <w:p w14:paraId="16983A70" w14:textId="05D128CE" w:rsidR="002B1A66" w:rsidRPr="002B1A66" w:rsidRDefault="002B1A66" w:rsidP="002B1A66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2B1A66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DPEGO-2014-UFG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B1A66">
              <w:rPr>
                <w:rFonts w:ascii="Book Antiqua" w:hAnsi="Book Antiqua"/>
                <w:sz w:val="19"/>
                <w:szCs w:val="19"/>
              </w:rPr>
              <w:t>A respeito do casamento e da união estável e de acordo com o ordenamento jurídico brasileiro e a recente jurisprudência dos tribunais superiores pátrios,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B1A66">
              <w:rPr>
                <w:rFonts w:ascii="Book Antiqua" w:hAnsi="Book Antiqua"/>
                <w:sz w:val="19"/>
                <w:szCs w:val="19"/>
              </w:rPr>
              <w:t>o Conselho Nacional de Justiça, por meio de resolução, veda às autoridades competentes a recusa de habilitação, de celebração de casamento civil ou de conversão de união estável em casamento entre pessoas do mesmo sexo.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Res. 175/13.</w:t>
            </w:r>
          </w:p>
        </w:tc>
      </w:tr>
    </w:tbl>
    <w:p w14:paraId="35C42948" w14:textId="07811E3D" w:rsidR="002B1A66" w:rsidRPr="00BD1411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0489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FE0489">
        <w:rPr>
          <w:rFonts w:ascii="Book Antiqua" w:hAnsi="Book Antiqua"/>
          <w:b/>
          <w:bCs/>
          <w:sz w:val="19"/>
          <w:szCs w:val="19"/>
        </w:rPr>
        <w:t xml:space="preserve"> A recusa prevista no artigo 1º implicará a imediata comunicação ao respectivo juiz corregedor para as providências cabíveis</w:t>
      </w:r>
      <w:r w:rsidRPr="002B1A66">
        <w:rPr>
          <w:rFonts w:ascii="Book Antiqua" w:hAnsi="Book Antiqua"/>
          <w:sz w:val="19"/>
          <w:szCs w:val="19"/>
        </w:rPr>
        <w:t>.</w:t>
      </w:r>
      <w:r w:rsidR="00FE0489">
        <w:rPr>
          <w:rFonts w:ascii="Book Antiqua" w:hAnsi="Book Antiqua"/>
          <w:sz w:val="19"/>
          <w:szCs w:val="19"/>
        </w:rPr>
        <w:t xml:space="preserve"> </w:t>
      </w:r>
      <w:r w:rsidR="00FE0489" w:rsidRPr="008C5F87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(Cartórios/TJPI-2013)</w:t>
      </w:r>
      <w:r w:rsidR="00BD1411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BD141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15CE6A1B" w14:textId="3488C321" w:rsidR="002B1A66" w:rsidRDefault="002B1A66" w:rsidP="002B1A6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B1A66">
        <w:rPr>
          <w:rFonts w:ascii="Book Antiqua" w:hAnsi="Book Antiqua"/>
          <w:sz w:val="19"/>
          <w:szCs w:val="19"/>
        </w:rPr>
        <w:t>Art. 3º Esta resolução entra em vigor na data de sua publicação.</w:t>
      </w:r>
    </w:p>
    <w:p w14:paraId="7DB28933" w14:textId="77777777" w:rsidR="002B1A66" w:rsidRPr="002B1A66" w:rsidRDefault="002B1A66" w:rsidP="002B1A6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36B40F5B" w14:textId="06A49898" w:rsidR="002B1A66" w:rsidRPr="002B1A66" w:rsidRDefault="002B1A66" w:rsidP="002B1A6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B1A66">
        <w:rPr>
          <w:rFonts w:ascii="Book Antiqua" w:hAnsi="Book Antiqua"/>
          <w:b/>
          <w:bCs/>
          <w:sz w:val="19"/>
          <w:szCs w:val="19"/>
        </w:rPr>
        <w:t>Ministro Joaquim Barbosa</w:t>
      </w:r>
    </w:p>
    <w:sectPr w:rsidR="002B1A66" w:rsidRPr="002B1A66" w:rsidSect="002B1A66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B7"/>
    <w:rsid w:val="000F744C"/>
    <w:rsid w:val="001F0C79"/>
    <w:rsid w:val="001F4D58"/>
    <w:rsid w:val="002947B5"/>
    <w:rsid w:val="002B1A66"/>
    <w:rsid w:val="00427BC1"/>
    <w:rsid w:val="00531C1E"/>
    <w:rsid w:val="007649E4"/>
    <w:rsid w:val="00BA587D"/>
    <w:rsid w:val="00BD1411"/>
    <w:rsid w:val="00C726B7"/>
    <w:rsid w:val="00D947AB"/>
    <w:rsid w:val="00E136BA"/>
    <w:rsid w:val="00FE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4C9C"/>
  <w15:chartTrackingRefBased/>
  <w15:docId w15:val="{10B33231-F9DF-4915-A731-5683A2E1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B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10</cp:revision>
  <dcterms:created xsi:type="dcterms:W3CDTF">2021-08-13T17:06:00Z</dcterms:created>
  <dcterms:modified xsi:type="dcterms:W3CDTF">2023-06-01T20:32:00Z</dcterms:modified>
</cp:coreProperties>
</file>