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1E7CD" w14:textId="0D3F974D" w:rsidR="00D00479" w:rsidRPr="000B3A5C" w:rsidRDefault="00D00479" w:rsidP="00D00479">
      <w:pPr>
        <w:jc w:val="center"/>
        <w:rPr>
          <w:rFonts w:ascii="Book Antiqua" w:hAnsi="Book Antiqua" w:cs="Times New Roman"/>
          <w:b/>
          <w:sz w:val="19"/>
          <w:szCs w:val="19"/>
        </w:rPr>
      </w:pPr>
      <w:r w:rsidRPr="000B3A5C">
        <w:rPr>
          <w:rFonts w:ascii="Book Antiqua" w:hAnsi="Book Antiqua" w:cs="Times New Roman"/>
          <w:b/>
          <w:sz w:val="19"/>
          <w:szCs w:val="19"/>
        </w:rPr>
        <w:t>RESOLUÇÃO nº 213/2015 do CNJ</w:t>
      </w:r>
    </w:p>
    <w:p w14:paraId="7F26924A" w14:textId="77777777" w:rsidR="00D00479" w:rsidRPr="000B3A5C" w:rsidRDefault="00D00479" w:rsidP="00D00479">
      <w:pPr>
        <w:jc w:val="center"/>
        <w:rPr>
          <w:rFonts w:ascii="Book Antiqua" w:hAnsi="Book Antiqua" w:cs="Times New Roman"/>
          <w:b/>
          <w:sz w:val="19"/>
          <w:szCs w:val="19"/>
        </w:rPr>
      </w:pPr>
      <w:r w:rsidRPr="000B3A5C">
        <w:rPr>
          <w:rFonts w:ascii="Book Antiqua" w:hAnsi="Book Antiqua" w:cs="Times New Roman"/>
          <w:b/>
          <w:sz w:val="19"/>
          <w:szCs w:val="19"/>
        </w:rPr>
        <w:t>MATERIAL COM QUESTÕES DE CONCURSO e ALGUMAS REFERÊNCIAS À SÚMULAS E JULGADOS DOS TRIBUNAIS SUPERIORES</w:t>
      </w:r>
    </w:p>
    <w:p w14:paraId="05C71387" w14:textId="77777777" w:rsidR="00D00479" w:rsidRPr="000B3A5C" w:rsidRDefault="00D00479" w:rsidP="00D00479">
      <w:pPr>
        <w:jc w:val="center"/>
        <w:rPr>
          <w:rFonts w:ascii="Book Antiqua" w:hAnsi="Book Antiqua" w:cs="Times New Roman"/>
          <w:b/>
          <w:color w:val="FF0000"/>
          <w:sz w:val="19"/>
          <w:szCs w:val="19"/>
        </w:rPr>
      </w:pPr>
      <w:r w:rsidRPr="000B3A5C">
        <w:rPr>
          <w:rFonts w:ascii="Book Antiqua" w:hAnsi="Book Antiqua" w:cs="Times New Roman"/>
          <w:b/>
          <w:color w:val="FF0000"/>
          <w:sz w:val="19"/>
          <w:szCs w:val="19"/>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D00479" w:rsidRPr="000B3A5C" w14:paraId="2795A2E9" w14:textId="77777777" w:rsidTr="000B3A5C">
        <w:trPr>
          <w:trHeight w:hRule="exact" w:val="3799"/>
        </w:trPr>
        <w:tc>
          <w:tcPr>
            <w:tcW w:w="8458" w:type="dxa"/>
            <w:shd w:val="clear" w:color="auto" w:fill="E7E6E6" w:themeFill="background2"/>
          </w:tcPr>
          <w:p w14:paraId="4144D239" w14:textId="73225B58"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Última atualização legislativa</w:t>
            </w:r>
            <w:r w:rsidRPr="000B3A5C">
              <w:rPr>
                <w:rFonts w:ascii="Book Antiqua" w:eastAsia="Times New Roman" w:hAnsi="Book Antiqua" w:cs="Times New Roman"/>
                <w:b/>
                <w:sz w:val="18"/>
                <w:szCs w:val="18"/>
                <w:lang w:eastAsia="pt-BR"/>
              </w:rPr>
              <w:t xml:space="preserve">: </w:t>
            </w:r>
            <w:r w:rsidR="00D21FB8" w:rsidRPr="00D21FB8">
              <w:rPr>
                <w:rFonts w:ascii="Book Antiqua" w:eastAsia="Times New Roman" w:hAnsi="Book Antiqua" w:cs="Times New Roman"/>
                <w:b/>
                <w:color w:val="FF0000"/>
                <w:sz w:val="18"/>
                <w:szCs w:val="18"/>
                <w:lang w:eastAsia="pt-BR"/>
              </w:rPr>
              <w:t>Resolução Nº 562</w:t>
            </w:r>
            <w:r w:rsidR="00D21FB8">
              <w:rPr>
                <w:rFonts w:ascii="Book Antiqua" w:eastAsia="Times New Roman" w:hAnsi="Book Antiqua" w:cs="Times New Roman"/>
                <w:b/>
                <w:color w:val="FF0000"/>
                <w:sz w:val="18"/>
                <w:szCs w:val="18"/>
                <w:lang w:eastAsia="pt-BR"/>
              </w:rPr>
              <w:t>/2024</w:t>
            </w:r>
            <w:r w:rsidR="00D21FB8" w:rsidRPr="00D21FB8">
              <w:rPr>
                <w:rFonts w:ascii="Book Antiqua" w:eastAsia="Times New Roman" w:hAnsi="Book Antiqua" w:cs="Times New Roman"/>
                <w:b/>
                <w:color w:val="FF0000"/>
                <w:sz w:val="18"/>
                <w:szCs w:val="18"/>
                <w:lang w:eastAsia="pt-BR"/>
              </w:rPr>
              <w:t xml:space="preserve"> do CNJ</w:t>
            </w:r>
            <w:r w:rsidR="00D21FB8">
              <w:rPr>
                <w:rFonts w:ascii="Book Antiqua" w:eastAsia="Times New Roman" w:hAnsi="Book Antiqua" w:cs="Times New Roman"/>
                <w:b/>
                <w:color w:val="FF0000"/>
                <w:sz w:val="18"/>
                <w:szCs w:val="18"/>
                <w:lang w:eastAsia="pt-BR"/>
              </w:rPr>
              <w:t>.</w:t>
            </w:r>
          </w:p>
          <w:p w14:paraId="0841A6AF" w14:textId="77777777" w:rsidR="00D00479" w:rsidRPr="000B3A5C" w:rsidRDefault="00D00479" w:rsidP="00215011">
            <w:pPr>
              <w:jc w:val="both"/>
              <w:rPr>
                <w:rFonts w:ascii="Book Antiqua" w:eastAsia="Times New Roman" w:hAnsi="Book Antiqua" w:cs="Times New Roman"/>
                <w:b/>
                <w:sz w:val="18"/>
                <w:szCs w:val="18"/>
                <w:lang w:eastAsia="pt-BR"/>
              </w:rPr>
            </w:pPr>
          </w:p>
          <w:p w14:paraId="59A4301C" w14:textId="6C3A13FB"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Última atualização questões de concurso</w:t>
            </w:r>
            <w:r w:rsidRPr="000B3A5C">
              <w:rPr>
                <w:rFonts w:ascii="Book Antiqua" w:eastAsia="Times New Roman" w:hAnsi="Book Antiqua" w:cs="Times New Roman"/>
                <w:b/>
                <w:sz w:val="18"/>
                <w:szCs w:val="18"/>
                <w:lang w:eastAsia="pt-BR"/>
              </w:rPr>
              <w:t xml:space="preserve">: </w:t>
            </w:r>
            <w:r w:rsidR="002C71B7">
              <w:rPr>
                <w:rFonts w:ascii="Book Antiqua" w:eastAsia="Times New Roman" w:hAnsi="Book Antiqua" w:cs="Times New Roman"/>
                <w:b/>
                <w:color w:val="FF0000"/>
                <w:sz w:val="18"/>
                <w:szCs w:val="18"/>
                <w:lang w:eastAsia="pt-BR"/>
              </w:rPr>
              <w:t>06/08</w:t>
            </w:r>
            <w:r w:rsidR="00494367">
              <w:rPr>
                <w:rFonts w:ascii="Book Antiqua" w:eastAsia="Times New Roman" w:hAnsi="Book Antiqua" w:cs="Times New Roman"/>
                <w:b/>
                <w:color w:val="FF0000"/>
                <w:sz w:val="18"/>
                <w:szCs w:val="18"/>
                <w:lang w:eastAsia="pt-BR"/>
              </w:rPr>
              <w:t>/2025</w:t>
            </w:r>
            <w:r w:rsidRPr="000B3A5C">
              <w:rPr>
                <w:rFonts w:ascii="Book Antiqua" w:eastAsia="Times New Roman" w:hAnsi="Book Antiqua" w:cs="Times New Roman"/>
                <w:b/>
                <w:color w:val="FF0000"/>
                <w:sz w:val="18"/>
                <w:szCs w:val="18"/>
                <w:lang w:eastAsia="pt-BR"/>
              </w:rPr>
              <w:t>.</w:t>
            </w:r>
          </w:p>
          <w:p w14:paraId="0AD68648" w14:textId="77777777" w:rsidR="00D00479" w:rsidRPr="000B3A5C" w:rsidRDefault="00D00479" w:rsidP="00215011">
            <w:pPr>
              <w:jc w:val="both"/>
              <w:rPr>
                <w:rFonts w:ascii="Book Antiqua" w:eastAsia="Times New Roman" w:hAnsi="Book Antiqua" w:cs="Times New Roman"/>
                <w:b/>
                <w:sz w:val="18"/>
                <w:szCs w:val="18"/>
                <w:lang w:eastAsia="pt-BR"/>
              </w:rPr>
            </w:pPr>
          </w:p>
          <w:p w14:paraId="62EA1F0B" w14:textId="77777777" w:rsidR="00D00479" w:rsidRPr="000B3A5C" w:rsidRDefault="00D00479" w:rsidP="00215011">
            <w:p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B3A5C">
              <w:rPr>
                <w:rFonts w:ascii="Book Antiqua" w:eastAsia="Times New Roman" w:hAnsi="Book Antiqua" w:cs="Times New Roman"/>
                <w:b/>
                <w:sz w:val="18"/>
                <w:szCs w:val="18"/>
                <w:lang w:eastAsia="pt-BR"/>
              </w:rPr>
              <w:t>:</w:t>
            </w:r>
          </w:p>
          <w:p w14:paraId="4AB5CD40" w14:textId="77777777" w:rsidR="00D00479" w:rsidRPr="000B3A5C" w:rsidRDefault="00D00479" w:rsidP="00D00479">
            <w:pPr>
              <w:pStyle w:val="PargrafodaLista"/>
              <w:numPr>
                <w:ilvl w:val="0"/>
                <w:numId w:val="2"/>
              </w:numPr>
              <w:jc w:val="both"/>
              <w:rPr>
                <w:rFonts w:ascii="Book Antiqua" w:eastAsia="Times New Roman" w:hAnsi="Book Antiqua" w:cs="Times New Roman"/>
                <w:b/>
                <w:sz w:val="18"/>
                <w:szCs w:val="18"/>
                <w:lang w:eastAsia="pt-BR"/>
              </w:rPr>
            </w:pPr>
            <w:r w:rsidRPr="000B3A5C">
              <w:rPr>
                <w:rFonts w:ascii="Book Antiqua" w:eastAsia="Times New Roman" w:hAnsi="Book Antiqua" w:cs="Times New Roman"/>
                <w:b/>
                <w:color w:val="FF0000"/>
                <w:sz w:val="18"/>
                <w:szCs w:val="18"/>
                <w:lang w:eastAsia="pt-BR"/>
              </w:rPr>
              <w:t>Cores utilizadas</w:t>
            </w:r>
            <w:r w:rsidRPr="000B3A5C">
              <w:rPr>
                <w:rFonts w:ascii="Book Antiqua" w:eastAsia="Times New Roman" w:hAnsi="Book Antiqua" w:cs="Times New Roman"/>
                <w:b/>
                <w:sz w:val="18"/>
                <w:szCs w:val="18"/>
                <w:lang w:eastAsia="pt-BR"/>
              </w:rPr>
              <w:t>:</w:t>
            </w:r>
          </w:p>
          <w:p w14:paraId="3B8FEB70"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green"/>
                <w:lang w:eastAsia="pt-BR"/>
              </w:rPr>
              <w:t>EM VERDE</w:t>
            </w:r>
            <w:r w:rsidRPr="000B3A5C">
              <w:rPr>
                <w:rFonts w:ascii="Book Antiqua" w:eastAsia="Times New Roman" w:hAnsi="Book Antiqua" w:cs="Times New Roman"/>
                <w:sz w:val="18"/>
                <w:szCs w:val="18"/>
                <w:lang w:eastAsia="pt-BR"/>
              </w:rPr>
              <w:t>: destaque aos títulos, capítulos, bem como outras informações relevantes, etc.</w:t>
            </w:r>
          </w:p>
          <w:p w14:paraId="1B4803B4"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magenta"/>
                <w:lang w:eastAsia="pt-BR"/>
              </w:rPr>
              <w:t>EM ROXO</w:t>
            </w:r>
            <w:r w:rsidRPr="000B3A5C">
              <w:rPr>
                <w:rFonts w:ascii="Book Antiqua" w:eastAsia="Times New Roman" w:hAnsi="Book Antiqua" w:cs="Times New Roman"/>
                <w:sz w:val="18"/>
                <w:szCs w:val="18"/>
                <w:lang w:eastAsia="pt-BR"/>
              </w:rPr>
              <w:t>: artigos que já foram cobrados em provas de concurso.</w:t>
            </w:r>
          </w:p>
          <w:p w14:paraId="34C2C5F7" w14:textId="2718308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cyan"/>
                <w:lang w:eastAsia="pt-BR"/>
              </w:rPr>
              <w:t>EM AZUL</w:t>
            </w:r>
            <w:r w:rsidRPr="000B3A5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Res. 213/2015, CNJ).</w:t>
            </w:r>
          </w:p>
          <w:p w14:paraId="2F3169B3" w14:textId="77777777" w:rsidR="00D00479" w:rsidRPr="000B3A5C" w:rsidRDefault="00D00479" w:rsidP="00D00479">
            <w:pPr>
              <w:pStyle w:val="PargrafodaLista"/>
              <w:numPr>
                <w:ilvl w:val="0"/>
                <w:numId w:val="1"/>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sz w:val="18"/>
                <w:szCs w:val="18"/>
                <w:highlight w:val="yellow"/>
                <w:lang w:eastAsia="pt-BR"/>
              </w:rPr>
              <w:t>EM AMARELO</w:t>
            </w:r>
            <w:r w:rsidRPr="000B3A5C">
              <w:rPr>
                <w:rFonts w:ascii="Book Antiqua" w:eastAsia="Times New Roman" w:hAnsi="Book Antiqua" w:cs="Times New Roman"/>
                <w:sz w:val="18"/>
                <w:szCs w:val="18"/>
                <w:lang w:eastAsia="pt-BR"/>
              </w:rPr>
              <w:t>: destaques importantes (ex.: critério pessoal)</w:t>
            </w:r>
          </w:p>
          <w:p w14:paraId="15B0D11F" w14:textId="77777777" w:rsidR="00D00479" w:rsidRPr="000B3A5C" w:rsidRDefault="00D00479" w:rsidP="00215011">
            <w:pPr>
              <w:jc w:val="both"/>
              <w:rPr>
                <w:rFonts w:ascii="Book Antiqua" w:eastAsia="Times New Roman" w:hAnsi="Book Antiqua" w:cs="Times New Roman"/>
                <w:sz w:val="18"/>
                <w:szCs w:val="18"/>
                <w:lang w:eastAsia="pt-BR"/>
              </w:rPr>
            </w:pPr>
          </w:p>
          <w:p w14:paraId="3B53449D" w14:textId="77777777" w:rsidR="00D00479" w:rsidRPr="000B3A5C" w:rsidRDefault="00D00479" w:rsidP="00D00479">
            <w:pPr>
              <w:pStyle w:val="PargrafodaLista"/>
              <w:numPr>
                <w:ilvl w:val="0"/>
                <w:numId w:val="2"/>
              </w:numPr>
              <w:jc w:val="both"/>
              <w:rPr>
                <w:rFonts w:ascii="Book Antiqua" w:eastAsia="Times New Roman" w:hAnsi="Book Antiqua" w:cs="Times New Roman"/>
                <w:sz w:val="18"/>
                <w:szCs w:val="18"/>
                <w:lang w:eastAsia="pt-BR"/>
              </w:rPr>
            </w:pPr>
            <w:r w:rsidRPr="000B3A5C">
              <w:rPr>
                <w:rFonts w:ascii="Book Antiqua" w:eastAsia="Times New Roman" w:hAnsi="Book Antiqua" w:cs="Times New Roman"/>
                <w:b/>
                <w:color w:val="FF0000"/>
                <w:sz w:val="18"/>
                <w:szCs w:val="18"/>
                <w:lang w:eastAsia="pt-BR"/>
              </w:rPr>
              <w:t>Siglas utilizadas</w:t>
            </w:r>
            <w:r w:rsidRPr="000B3A5C">
              <w:rPr>
                <w:rFonts w:ascii="Book Antiqua" w:eastAsia="Times New Roman" w:hAnsi="Book Antiqua" w:cs="Times New Roman"/>
                <w:sz w:val="18"/>
                <w:szCs w:val="18"/>
                <w:lang w:eastAsia="pt-BR"/>
              </w:rPr>
              <w:t>:</w:t>
            </w:r>
          </w:p>
          <w:p w14:paraId="047C1747" w14:textId="77777777" w:rsidR="00D00479" w:rsidRPr="000B3A5C" w:rsidRDefault="00D00479" w:rsidP="00D00479">
            <w:pPr>
              <w:pStyle w:val="PargrafodaLista"/>
              <w:numPr>
                <w:ilvl w:val="0"/>
                <w:numId w:val="3"/>
              </w:numPr>
              <w:jc w:val="both"/>
              <w:rPr>
                <w:rFonts w:ascii="Book Antiqua" w:eastAsia="Times New Roman" w:hAnsi="Book Antiqua" w:cs="Times New Roman"/>
                <w:sz w:val="19"/>
                <w:szCs w:val="19"/>
                <w:lang w:eastAsia="pt-BR"/>
              </w:rPr>
            </w:pPr>
            <w:r w:rsidRPr="000B3A5C">
              <w:rPr>
                <w:rFonts w:ascii="Book Antiqua" w:eastAsia="Times New Roman" w:hAnsi="Book Antiqua" w:cs="Times New Roman"/>
                <w:b/>
                <w:sz w:val="18"/>
                <w:szCs w:val="18"/>
                <w:lang w:eastAsia="pt-BR"/>
              </w:rPr>
              <w:t>MP (concursos do Ministério Público); M ou TJPR (concursos da Magistratura); BL (base legal), etc.</w:t>
            </w:r>
          </w:p>
        </w:tc>
      </w:tr>
    </w:tbl>
    <w:p w14:paraId="6422C4DB" w14:textId="3AE11592"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Resolução Nº 213 de 15/12/2015</w:t>
      </w:r>
    </w:p>
    <w:p w14:paraId="24E6FC6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Ementa:</w:t>
      </w:r>
      <w:r w:rsidRPr="000B3A5C">
        <w:rPr>
          <w:rFonts w:ascii="Book Antiqua" w:hAnsi="Book Antiqua"/>
          <w:sz w:val="19"/>
          <w:szCs w:val="19"/>
        </w:rPr>
        <w:t xml:space="preserve"> Dispõe sobre a apresentação de toda pessoa presa à autoridade judicial no prazo de 24 horas.</w:t>
      </w:r>
    </w:p>
    <w:p w14:paraId="4C6D8BA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Origem:</w:t>
      </w:r>
      <w:r w:rsidRPr="000B3A5C">
        <w:rPr>
          <w:rFonts w:ascii="Book Antiqua" w:hAnsi="Book Antiqua"/>
          <w:sz w:val="19"/>
          <w:szCs w:val="19"/>
        </w:rPr>
        <w:t xml:space="preserve"> Presidência</w:t>
      </w:r>
    </w:p>
    <w:p w14:paraId="52A68710" w14:textId="660A6FE6"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r w:rsidRPr="000B3A5C">
        <w:rPr>
          <w:rFonts w:ascii="Book Antiqua" w:hAnsi="Book Antiqua"/>
          <w:b/>
          <w:bCs/>
          <w:sz w:val="19"/>
          <w:szCs w:val="19"/>
        </w:rPr>
        <w:t>O PRESIDENTE DO CONSELHO NACIONAL DE JUSTIÇA (CNJ)</w:t>
      </w:r>
      <w:r w:rsidRPr="000B3A5C">
        <w:rPr>
          <w:rFonts w:ascii="Book Antiqua" w:hAnsi="Book Antiqua"/>
          <w:sz w:val="19"/>
          <w:szCs w:val="19"/>
        </w:rPr>
        <w:t>, no uso de suas atribuições legais e regimentais;</w:t>
      </w:r>
    </w:p>
    <w:p w14:paraId="59984EC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art. 9º, item 3, do Pacto Internacional de Direitos Civis e Políticos das Nações Unidas, bem como o art. 7º, item 5, da Convenção Americana sobre Direitos Humanos (Pacto de São José da Costa Rica);</w:t>
      </w:r>
    </w:p>
    <w:p w14:paraId="4312D33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nos autos da Arguição de Descumprimento de Preceito Fundamental 347 do Supremo Tribunal Federal, consignando a obrigatoriedade da apresentação da pessoa presa à autoridade judicial competente;</w:t>
      </w:r>
    </w:p>
    <w:p w14:paraId="443E34F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que dispõe a letra "a" do inciso I do art. 96 da Constituição Federal, que defere aos tribunais a possibilidade de tratarem da competência e do funcionamento dos seus serviços e órgãos jurisdicionais e administrativos;</w:t>
      </w:r>
    </w:p>
    <w:p w14:paraId="2183640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prolatada na Ação Direta de Inconstitucionalidade 5240 do Supremo Tribunal Federal, declarando a constitucionalidade da disciplina pelos Tribunais da apresentação da pessoa presa à autoridade judicial competente;</w:t>
      </w:r>
    </w:p>
    <w:p w14:paraId="48A0B7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relatório produzido pelo Subcomitê de Prevenção à Tortura da ONU (CAT/OP/BRA/R.1, 2011), pelo Grupo de Trabalho sobre Detenção Arbitrária da ONU (A/HRC/27/48/Add.3, 2014) e o relatório sobre o uso da prisão provisória nas Américas da Organização dos Estados Americanos;</w:t>
      </w:r>
    </w:p>
    <w:p w14:paraId="58A6157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diagnóstico de pessoas presas apresentado pelo CNJ e o INFOPEN do Departamento Penitenciário Nacional do Ministério da Justiça (DEPEN/MJ), publicados, respectivamente, nos anos de 2014 e 2015, revelando o contingente desproporcional de pessoas presas provisoriamente;</w:t>
      </w:r>
    </w:p>
    <w:p w14:paraId="76924B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CONSIDERANDO</w:t>
      </w:r>
      <w:r w:rsidRPr="000B3A5C">
        <w:rPr>
          <w:rFonts w:ascii="Book Antiqua" w:hAnsi="Book Antiqua"/>
          <w:sz w:val="19"/>
          <w:szCs w:val="19"/>
        </w:rPr>
        <w:t xml:space="preserve"> que a prisão, conforme previsão constitucional (CF, art. 5º, LXV, LXVI), é medida extrema que se aplica somente nos casos expressos em lei e quando a hipótese não comportar nenhuma das medidas cautelares alternativas;</w:t>
      </w:r>
    </w:p>
    <w:p w14:paraId="6555FCE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que as inovações introduzidas no Código de Processo Penal pela Lei 12.403, de 4 de maio de 2011, impuseram ao juiz a obrigação de converter em prisão preventiva a prisão em flagrante delito, somente quando apurada a impossibilidade de relaxamento ou concessão de liberdade provisória, com ou sem medida cautelar diversa da prisão;</w:t>
      </w:r>
    </w:p>
    <w:p w14:paraId="2ED2FE69" w14:textId="0FB35E40" w:rsidR="0002008A" w:rsidRPr="00C213EC" w:rsidRDefault="0002008A" w:rsidP="00C42E23">
      <w:pPr>
        <w:spacing w:before="100" w:beforeAutospacing="1" w:after="100" w:afterAutospacing="1" w:line="240" w:lineRule="auto"/>
        <w:jc w:val="both"/>
        <w:rPr>
          <w:rFonts w:ascii="Book Antiqua" w:hAnsi="Book Antiqua"/>
          <w:sz w:val="16"/>
          <w:szCs w:val="16"/>
        </w:rPr>
      </w:pPr>
      <w:r w:rsidRPr="000B3A5C">
        <w:rPr>
          <w:rFonts w:ascii="Book Antiqua" w:hAnsi="Book Antiqua"/>
          <w:b/>
          <w:bCs/>
          <w:sz w:val="19"/>
          <w:szCs w:val="19"/>
        </w:rPr>
        <w:t>CONSIDERANDO</w:t>
      </w:r>
      <w:r w:rsidRPr="000B3A5C">
        <w:rPr>
          <w:rFonts w:ascii="Book Antiqua" w:hAnsi="Book Antiqua"/>
          <w:sz w:val="19"/>
          <w:szCs w:val="19"/>
        </w:rPr>
        <w:t xml:space="preserve"> que a condução imediata da pessoa presa à autoridade judicial é o meio mais eficaz para prevenir e reprimir a prática de tortura no momento da prisão, assegurando, portanto, o direito à integridade física e psicológica das pessoas submetidas à custódia estatal, previsto no art. 5.2 da Convenção Americana de Direitos Humanos e no art. 2.1 da Convenção Contra a Tortura e Outros Tratamentos ou Penas Cruéis, Desumanos ou Degradantes</w:t>
      </w:r>
      <w:r w:rsidRPr="00C213EC">
        <w:rPr>
          <w:rFonts w:ascii="Book Antiqua" w:hAnsi="Book Antiqua"/>
          <w:sz w:val="16"/>
          <w:szCs w:val="16"/>
        </w:rPr>
        <w:t>;</w:t>
      </w:r>
      <w:r w:rsidR="00C62674" w:rsidRPr="00C213EC">
        <w:rPr>
          <w:rFonts w:ascii="Book Antiqua" w:hAnsi="Book Antiqua"/>
          <w:sz w:val="16"/>
          <w:szCs w:val="16"/>
        </w:rPr>
        <w:t xml:space="preserve"> </w:t>
      </w:r>
      <w:r w:rsidR="00C62674" w:rsidRPr="00C213EC">
        <w:rPr>
          <w:rFonts w:ascii="Book Antiqua" w:eastAsia="Times New Roman" w:hAnsi="Book Antiqua" w:cs="Times New Roman"/>
          <w:b/>
          <w:bCs/>
          <w:color w:val="FF0000"/>
          <w:spacing w:val="-3"/>
          <w:sz w:val="16"/>
          <w:szCs w:val="16"/>
          <w:u w:val="single"/>
          <w:lang w:eastAsia="pt-BR"/>
        </w:rPr>
        <w:t>(DPEAC-2017)</w:t>
      </w:r>
      <w:r w:rsidR="002518CE" w:rsidRPr="00C213EC">
        <w:rPr>
          <w:rFonts w:ascii="Book Antiqua" w:eastAsia="Times New Roman" w:hAnsi="Book Antiqua" w:cs="Times New Roman"/>
          <w:b/>
          <w:bCs/>
          <w:color w:val="FF0000"/>
          <w:spacing w:val="-3"/>
          <w:sz w:val="16"/>
          <w:szCs w:val="16"/>
          <w:lang w:eastAsia="pt-BR"/>
        </w:rPr>
        <w:t xml:space="preserve"> </w:t>
      </w:r>
      <w:r w:rsidR="002518CE" w:rsidRPr="00C213EC">
        <w:rPr>
          <w:rFonts w:ascii="Book Antiqua" w:eastAsia="Times New Roman" w:hAnsi="Book Antiqua" w:cs="Times New Roman"/>
          <w:b/>
          <w:bCs/>
          <w:color w:val="FF0000"/>
          <w:sz w:val="16"/>
          <w:szCs w:val="16"/>
          <w:u w:val="single"/>
          <w:lang w:eastAsia="pt-BR"/>
        </w:rPr>
        <w:t>(DPEAP-2018)</w:t>
      </w:r>
    </w:p>
    <w:p w14:paraId="6F76BE3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o disposto na Recomendação CNJ 49 de 1º de abril de 2014;</w:t>
      </w:r>
    </w:p>
    <w:p w14:paraId="396CF79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CONSIDERANDO</w:t>
      </w:r>
      <w:r w:rsidRPr="000B3A5C">
        <w:rPr>
          <w:rFonts w:ascii="Book Antiqua" w:hAnsi="Book Antiqua"/>
          <w:sz w:val="19"/>
          <w:szCs w:val="19"/>
        </w:rPr>
        <w:t xml:space="preserve"> a decisão plenária tomada no julgamento do Ato Normativo 0005913-65.2015.2.00.0000, na 223ª Sessão Ordinária, realizada em 15 de dezembro de 2015;</w:t>
      </w:r>
    </w:p>
    <w:tbl>
      <w:tblPr>
        <w:tblStyle w:val="Tabelacomgrade"/>
        <w:tblW w:w="0" w:type="auto"/>
        <w:tblLook w:val="04A0" w:firstRow="1" w:lastRow="0" w:firstColumn="1" w:lastColumn="0" w:noHBand="0" w:noVBand="1"/>
      </w:tblPr>
      <w:tblGrid>
        <w:gridCol w:w="8494"/>
      </w:tblGrid>
      <w:tr w:rsidR="00126E47" w14:paraId="15B68BEA" w14:textId="77777777" w:rsidTr="00126E47">
        <w:tc>
          <w:tcPr>
            <w:tcW w:w="8494" w:type="dxa"/>
            <w:shd w:val="clear" w:color="auto" w:fill="CCFFFF"/>
          </w:tcPr>
          <w:p w14:paraId="14B598E0" w14:textId="1A7CFFB2" w:rsidR="00126E47" w:rsidRDefault="00126E47" w:rsidP="00C42E23">
            <w:pPr>
              <w:spacing w:before="100" w:beforeAutospacing="1" w:after="100" w:afterAutospacing="1"/>
              <w:jc w:val="both"/>
              <w:rPr>
                <w:rFonts w:ascii="Book Antiqua" w:hAnsi="Book Antiqua"/>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DPESP-2019</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4B53D9">
              <w:rPr>
                <w:rFonts w:ascii="Book Antiqua" w:eastAsia="Times New Roman" w:hAnsi="Book Antiqua" w:cs="Times New Roman"/>
                <w:bCs/>
                <w:iCs/>
                <w:sz w:val="19"/>
                <w:szCs w:val="19"/>
                <w:lang w:eastAsia="pt-BR"/>
              </w:rPr>
              <w:t>Como bem sintetiza Renato Brasileiro, o STF já decidiu que a regulamentação das audiências de custódia por meio de resoluções e provimentos não ofende o princípio da legalidade:</w:t>
            </w:r>
            <w:r>
              <w:rPr>
                <w:rFonts w:ascii="Book Antiqua" w:eastAsia="Times New Roman" w:hAnsi="Book Antiqua" w:cs="Times New Roman"/>
                <w:bCs/>
                <w:iCs/>
                <w:sz w:val="19"/>
                <w:szCs w:val="19"/>
                <w:lang w:eastAsia="pt-BR"/>
              </w:rPr>
              <w:t xml:space="preserve"> </w:t>
            </w:r>
            <w:r w:rsidRPr="004B53D9">
              <w:rPr>
                <w:rFonts w:ascii="Book Antiqua" w:eastAsia="Times New Roman" w:hAnsi="Book Antiqua" w:cs="Times New Roman"/>
                <w:bCs/>
                <w:i/>
                <w:sz w:val="19"/>
                <w:szCs w:val="19"/>
                <w:lang w:eastAsia="pt-BR"/>
              </w:rPr>
              <w:t>“Para o Supremo Tribunal federal, a regulamentação das audiências de custódia por meio de Resoluções e Provimentos dos Tribunais de Justiça (ou dos Tribunais Regionais Federais) não importa violação aos princípios da legalidade e da reserva de lei federal em matéria processual penal (CF, art. 5°, II, e art. 22, I, respectivamente). Por isso, o Plenário do STF julgou improcedente pedido formulado em Ação direta ajuizada pela Associação dos Delegados de Polícia do Brasil (ADEPOL) em face do Provimento Conjunto n° 03/2015 do TJ/SP. Para o Supremo, não teria havido, por parte dos referidos provimentos, nenhuma extrapolação daquilo que já constaria da Convenção Americana sobre Direitos Humanos (art. 7°, § 5º), dotada de status normativo supralegal, e do próprio CPP, numa interpretação teleológica de seus dispositivos, como, por exemplo, o art. 656, que dispõe que, recebida a petição de habeas corpus, o juiz, se julgar necessário, e estiver preso o paciente, poderá determinar que este lhe seja imediatamente apresentado em dia e hora que designar”</w:t>
            </w:r>
            <w:r w:rsidRPr="004B53D9">
              <w:rPr>
                <w:rFonts w:ascii="Book Antiqua" w:eastAsia="Times New Roman" w:hAnsi="Book Antiqua" w:cs="Times New Roman"/>
                <w:bCs/>
                <w:iCs/>
                <w:sz w:val="19"/>
                <w:szCs w:val="19"/>
                <w:lang w:eastAsia="pt-BR"/>
              </w:rPr>
              <w:t xml:space="preserve"> (LIMA, Renato Brasileiro de. Manual de Processo Penal. Volume Único. 5ª ed. </w:t>
            </w:r>
            <w:proofErr w:type="spellStart"/>
            <w:r w:rsidRPr="004B53D9">
              <w:rPr>
                <w:rFonts w:ascii="Book Antiqua" w:eastAsia="Times New Roman" w:hAnsi="Book Antiqua" w:cs="Times New Roman"/>
                <w:bCs/>
                <w:iCs/>
                <w:sz w:val="19"/>
                <w:szCs w:val="19"/>
                <w:lang w:eastAsia="pt-BR"/>
              </w:rPr>
              <w:t>JusPodivm</w:t>
            </w:r>
            <w:proofErr w:type="spellEnd"/>
            <w:r w:rsidRPr="004B53D9">
              <w:rPr>
                <w:rFonts w:ascii="Book Antiqua" w:eastAsia="Times New Roman" w:hAnsi="Book Antiqua" w:cs="Times New Roman"/>
                <w:bCs/>
                <w:iCs/>
                <w:sz w:val="19"/>
                <w:szCs w:val="19"/>
                <w:lang w:eastAsia="pt-BR"/>
              </w:rPr>
              <w:t>. Salvador. 2017).</w:t>
            </w:r>
          </w:p>
        </w:tc>
      </w:tr>
    </w:tbl>
    <w:p w14:paraId="752F773D" w14:textId="0E056DEB" w:rsidR="00126E47"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2BAE6E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RESOLVE:</w:t>
      </w:r>
    </w:p>
    <w:p w14:paraId="0899BF1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b/>
          <w:bCs/>
          <w:sz w:val="19"/>
          <w:szCs w:val="19"/>
          <w:highlight w:val="magenta"/>
        </w:rPr>
        <w:t>Art. 1º</w:t>
      </w:r>
      <w:r w:rsidRPr="007051A3">
        <w:rPr>
          <w:rFonts w:ascii="Book Antiqua" w:hAnsi="Book Antiqua"/>
          <w:sz w:val="19"/>
          <w:szCs w:val="19"/>
        </w:rPr>
        <w:t xml:space="preserve"> Determinar que toda pessoa presa em flagrante delito, independentemente da motivação ou natureza do ato, seja obrigatoriamente apresentada, em até 24 (vinte e quatro) horas da prisão em flagrante, à autoridade judicial competente, para realização de audiência de custódia, pública e oral, para o controle da legalidade da prisão. (redação dada pela Resolução n. 562, de 3.6.2024)</w:t>
      </w:r>
    </w:p>
    <w:p w14:paraId="17C6B62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A comunicação da prisão em flagrante à autoridade judicial, que se dará por meio do encaminhamento do auto de prisão em flagrante, e a verificação formal de sua regularidade, não suprem a realização da audiência de custódia presencial determinada no caput. (redação dada pela Resolução n. 562, de 3.6.2024)</w:t>
      </w:r>
    </w:p>
    <w:p w14:paraId="339FF4F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Entende-se por autoridade judicial competente o juiz das garantias, observado o disposto nas leis de organização judiciária locais ou, salvo omissão, definida por ato normativo do Tribunal de Justiça, Tribunal de Justiça Militar, Tribunal Regional Federal, Tribunal Regional Eleitoral ou do Superior Tribunal Militar que instituir as audiências de apresentação, incluído o juiz plantonista. (redação dada pela Resolução n. 562, de 3.6.2024)</w:t>
      </w:r>
    </w:p>
    <w:p w14:paraId="03082054" w14:textId="246D7356" w:rsidR="0002008A" w:rsidRPr="00494367" w:rsidRDefault="0002008A" w:rsidP="00C42E23">
      <w:pPr>
        <w:spacing w:before="100" w:beforeAutospacing="1" w:after="100" w:afterAutospacing="1" w:line="240" w:lineRule="auto"/>
        <w:jc w:val="both"/>
        <w:rPr>
          <w:rFonts w:ascii="Book Antiqua" w:hAnsi="Book Antiqua"/>
          <w:b/>
          <w:bCs/>
          <w:color w:val="FF0000"/>
          <w:sz w:val="19"/>
          <w:szCs w:val="19"/>
        </w:rPr>
      </w:pPr>
      <w:r w:rsidRPr="000B3A5C">
        <w:rPr>
          <w:rFonts w:ascii="Book Antiqua" w:hAnsi="Book Antiqua"/>
          <w:b/>
          <w:bCs/>
          <w:sz w:val="19"/>
          <w:szCs w:val="19"/>
          <w:highlight w:val="magenta"/>
        </w:rPr>
        <w:t>§ 3º</w:t>
      </w:r>
      <w:r w:rsidRPr="000B3A5C">
        <w:rPr>
          <w:rFonts w:ascii="Book Antiqua" w:hAnsi="Book Antiqua"/>
          <w:sz w:val="19"/>
          <w:szCs w:val="19"/>
        </w:rPr>
        <w:t xml:space="preserve"> </w:t>
      </w:r>
      <w:r w:rsidRPr="00494367">
        <w:rPr>
          <w:rFonts w:ascii="Book Antiqua" w:hAnsi="Book Antiqua"/>
          <w:b/>
          <w:bCs/>
          <w:sz w:val="19"/>
          <w:szCs w:val="19"/>
        </w:rPr>
        <w:t xml:space="preserve">No caso de </w:t>
      </w:r>
      <w:r w:rsidRPr="00494367">
        <w:rPr>
          <w:rFonts w:ascii="Book Antiqua" w:hAnsi="Book Antiqua"/>
          <w:b/>
          <w:bCs/>
          <w:sz w:val="19"/>
          <w:szCs w:val="19"/>
          <w:highlight w:val="cyan"/>
        </w:rPr>
        <w:t>prisão em flagrante delito</w:t>
      </w:r>
      <w:r w:rsidRPr="00494367">
        <w:rPr>
          <w:rFonts w:ascii="Book Antiqua" w:hAnsi="Book Antiqua"/>
          <w:b/>
          <w:bCs/>
          <w:sz w:val="19"/>
          <w:szCs w:val="19"/>
        </w:rPr>
        <w:t xml:space="preserve"> da </w:t>
      </w:r>
      <w:r w:rsidRPr="00494367">
        <w:rPr>
          <w:rFonts w:ascii="Book Antiqua" w:hAnsi="Book Antiqua"/>
          <w:b/>
          <w:bCs/>
          <w:caps/>
          <w:sz w:val="19"/>
          <w:szCs w:val="19"/>
          <w:shd w:val="clear" w:color="auto" w:fill="F7CAAC" w:themeFill="accent2" w:themeFillTint="66"/>
        </w:rPr>
        <w:t>competência originária de Tribunal</w:t>
      </w:r>
      <w:r w:rsidRPr="00494367">
        <w:rPr>
          <w:rFonts w:ascii="Book Antiqua" w:hAnsi="Book Antiqua"/>
          <w:b/>
          <w:bCs/>
          <w:sz w:val="19"/>
          <w:szCs w:val="19"/>
        </w:rPr>
        <w:t xml:space="preserve">, </w:t>
      </w:r>
      <w:r w:rsidRPr="00494367">
        <w:rPr>
          <w:rFonts w:ascii="Book Antiqua" w:hAnsi="Book Antiqua"/>
          <w:b/>
          <w:bCs/>
          <w:sz w:val="19"/>
          <w:szCs w:val="19"/>
          <w:highlight w:val="cyan"/>
        </w:rPr>
        <w:t>a apresentação</w:t>
      </w:r>
      <w:r w:rsidRPr="00494367">
        <w:rPr>
          <w:rFonts w:ascii="Book Antiqua" w:hAnsi="Book Antiqua"/>
          <w:b/>
          <w:bCs/>
          <w:sz w:val="19"/>
          <w:szCs w:val="19"/>
        </w:rPr>
        <w:t xml:space="preserve"> </w:t>
      </w:r>
      <w:r w:rsidRPr="00494367">
        <w:rPr>
          <w:rFonts w:ascii="Book Antiqua" w:hAnsi="Book Antiqua"/>
          <w:b/>
          <w:bCs/>
          <w:sz w:val="19"/>
          <w:szCs w:val="19"/>
          <w:highlight w:val="yellow"/>
        </w:rPr>
        <w:t>do preso</w:t>
      </w:r>
      <w:r w:rsidRPr="00494367">
        <w:rPr>
          <w:rFonts w:ascii="Book Antiqua" w:hAnsi="Book Antiqua"/>
          <w:b/>
          <w:bCs/>
          <w:sz w:val="19"/>
          <w:szCs w:val="19"/>
        </w:rPr>
        <w:t xml:space="preserve"> </w:t>
      </w:r>
      <w:r w:rsidRPr="00494367">
        <w:rPr>
          <w:rFonts w:ascii="Book Antiqua" w:hAnsi="Book Antiqua"/>
          <w:b/>
          <w:bCs/>
          <w:caps/>
          <w:sz w:val="19"/>
          <w:szCs w:val="19"/>
          <w:highlight w:val="green"/>
        </w:rPr>
        <w:t>poderá ser feita</w:t>
      </w:r>
      <w:r w:rsidRPr="00494367">
        <w:rPr>
          <w:rFonts w:ascii="Book Antiqua" w:hAnsi="Book Antiqua"/>
          <w:b/>
          <w:bCs/>
          <w:sz w:val="19"/>
          <w:szCs w:val="19"/>
        </w:rPr>
        <w:t xml:space="preserve"> </w:t>
      </w:r>
      <w:r w:rsidRPr="00494367">
        <w:rPr>
          <w:rFonts w:ascii="Book Antiqua" w:hAnsi="Book Antiqua"/>
          <w:b/>
          <w:bCs/>
          <w:sz w:val="19"/>
          <w:szCs w:val="19"/>
          <w:highlight w:val="cyan"/>
        </w:rPr>
        <w:t>ao juiz</w:t>
      </w:r>
      <w:r w:rsidRPr="00494367">
        <w:rPr>
          <w:rFonts w:ascii="Book Antiqua" w:hAnsi="Book Antiqua"/>
          <w:b/>
          <w:bCs/>
          <w:sz w:val="19"/>
          <w:szCs w:val="19"/>
        </w:rPr>
        <w:t xml:space="preserve"> que o </w:t>
      </w:r>
      <w:r w:rsidRPr="00494367">
        <w:rPr>
          <w:rFonts w:ascii="Book Antiqua" w:hAnsi="Book Antiqua"/>
          <w:b/>
          <w:bCs/>
          <w:sz w:val="19"/>
          <w:szCs w:val="19"/>
          <w:highlight w:val="yellow"/>
        </w:rPr>
        <w:t>Presidente do Tribunal</w:t>
      </w:r>
      <w:r w:rsidRPr="00494367">
        <w:rPr>
          <w:rFonts w:ascii="Book Antiqua" w:hAnsi="Book Antiqua"/>
          <w:b/>
          <w:bCs/>
          <w:sz w:val="19"/>
          <w:szCs w:val="19"/>
        </w:rPr>
        <w:t xml:space="preserve"> ou </w:t>
      </w:r>
      <w:r w:rsidRPr="00494367">
        <w:rPr>
          <w:rFonts w:ascii="Book Antiqua" w:hAnsi="Book Antiqua"/>
          <w:b/>
          <w:bCs/>
          <w:sz w:val="19"/>
          <w:szCs w:val="19"/>
          <w:highlight w:val="yellow"/>
        </w:rPr>
        <w:t>Relator</w:t>
      </w:r>
      <w:r w:rsidRPr="00494367">
        <w:rPr>
          <w:rFonts w:ascii="Book Antiqua" w:hAnsi="Book Antiqua"/>
          <w:b/>
          <w:bCs/>
          <w:sz w:val="19"/>
          <w:szCs w:val="19"/>
        </w:rPr>
        <w:t xml:space="preserve"> </w:t>
      </w:r>
      <w:r w:rsidRPr="00494367">
        <w:rPr>
          <w:rFonts w:ascii="Book Antiqua" w:hAnsi="Book Antiqua"/>
          <w:b/>
          <w:bCs/>
          <w:caps/>
          <w:sz w:val="19"/>
          <w:szCs w:val="19"/>
          <w:highlight w:val="green"/>
        </w:rPr>
        <w:t>designar</w:t>
      </w:r>
      <w:r w:rsidRPr="00494367">
        <w:rPr>
          <w:rFonts w:ascii="Book Antiqua" w:hAnsi="Book Antiqua"/>
          <w:b/>
          <w:bCs/>
          <w:sz w:val="19"/>
          <w:szCs w:val="19"/>
        </w:rPr>
        <w:t xml:space="preserve"> </w:t>
      </w:r>
      <w:r w:rsidRPr="00494367">
        <w:rPr>
          <w:rFonts w:ascii="Book Antiqua" w:hAnsi="Book Antiqua"/>
          <w:b/>
          <w:bCs/>
          <w:sz w:val="19"/>
          <w:szCs w:val="19"/>
          <w:highlight w:val="cyan"/>
        </w:rPr>
        <w:t>para esse fim</w:t>
      </w:r>
      <w:r w:rsidRPr="00494367">
        <w:rPr>
          <w:rFonts w:ascii="Book Antiqua" w:hAnsi="Book Antiqua"/>
          <w:b/>
          <w:bCs/>
          <w:sz w:val="16"/>
          <w:szCs w:val="16"/>
        </w:rPr>
        <w:t>.</w:t>
      </w:r>
      <w:r w:rsidR="00C213EC" w:rsidRPr="00494367">
        <w:rPr>
          <w:rFonts w:ascii="Book Antiqua" w:hAnsi="Book Antiqua"/>
          <w:b/>
          <w:bCs/>
          <w:sz w:val="16"/>
          <w:szCs w:val="16"/>
        </w:rPr>
        <w:t xml:space="preserve"> </w:t>
      </w:r>
      <w:r w:rsidR="00C213EC" w:rsidRPr="00494367">
        <w:rPr>
          <w:rFonts w:ascii="Book Antiqua" w:hAnsi="Book Antiqua"/>
          <w:b/>
          <w:bCs/>
          <w:color w:val="FF0000"/>
          <w:sz w:val="16"/>
          <w:szCs w:val="16"/>
          <w:u w:val="single"/>
        </w:rPr>
        <w:t>(MPRO-2017)</w:t>
      </w:r>
      <w:r w:rsidR="000B3A5C" w:rsidRPr="00494367">
        <w:rPr>
          <w:rFonts w:ascii="Book Antiqua" w:hAnsi="Book Antiqua"/>
          <w:b/>
          <w:bCs/>
          <w:sz w:val="16"/>
          <w:szCs w:val="16"/>
        </w:rPr>
        <w:t xml:space="preserve"> </w:t>
      </w:r>
      <w:r w:rsidR="000B3A5C" w:rsidRPr="00494367">
        <w:rPr>
          <w:rFonts w:ascii="Book Antiqua" w:hAnsi="Book Antiqua"/>
          <w:b/>
          <w:bCs/>
          <w:color w:val="FF0000"/>
          <w:sz w:val="16"/>
          <w:szCs w:val="16"/>
          <w:u w:val="single"/>
        </w:rPr>
        <w:t>(MPF-2017)</w:t>
      </w:r>
    </w:p>
    <w:tbl>
      <w:tblPr>
        <w:tblStyle w:val="Tabelacomgrade"/>
        <w:tblW w:w="0" w:type="auto"/>
        <w:shd w:val="clear" w:color="auto" w:fill="CCFFFF"/>
        <w:tblLook w:val="04A0" w:firstRow="1" w:lastRow="0" w:firstColumn="1" w:lastColumn="0" w:noHBand="0" w:noVBand="1"/>
      </w:tblPr>
      <w:tblGrid>
        <w:gridCol w:w="8494"/>
      </w:tblGrid>
      <w:tr w:rsidR="00EF2B0F" w:rsidRPr="000B3A5C" w14:paraId="1C1F1E17" w14:textId="77777777" w:rsidTr="00C13E1C">
        <w:tc>
          <w:tcPr>
            <w:tcW w:w="8494" w:type="dxa"/>
            <w:shd w:val="clear" w:color="auto" w:fill="CCFFFF"/>
          </w:tcPr>
          <w:p w14:paraId="637F0CE8" w14:textId="4CBD1A57" w:rsidR="00EF2B0F" w:rsidRPr="000B3A5C" w:rsidRDefault="00EF2B0F" w:rsidP="00C13E1C">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lastRenderedPageBreak/>
              <w:t>(</w:t>
            </w:r>
            <w:r>
              <w:rPr>
                <w:rFonts w:ascii="Book Antiqua" w:hAnsi="Book Antiqua"/>
                <w:b/>
                <w:sz w:val="19"/>
                <w:szCs w:val="19"/>
                <w:highlight w:val="yellow"/>
              </w:rPr>
              <w:t>MPRO-2017-FMP</w:t>
            </w:r>
            <w:r w:rsidRPr="000B3A5C">
              <w:rPr>
                <w:rFonts w:ascii="Book Antiqua" w:hAnsi="Book Antiqua"/>
                <w:b/>
                <w:sz w:val="19"/>
                <w:szCs w:val="19"/>
              </w:rPr>
              <w:t>)</w:t>
            </w:r>
            <w:r w:rsidRPr="000B3A5C">
              <w:rPr>
                <w:rFonts w:ascii="Book Antiqua" w:hAnsi="Book Antiqua"/>
                <w:sz w:val="19"/>
                <w:szCs w:val="19"/>
              </w:rPr>
              <w:t xml:space="preserve">: </w:t>
            </w:r>
            <w:r w:rsidRPr="00EF2B0F">
              <w:rPr>
                <w:rFonts w:ascii="Book Antiqua" w:hAnsi="Book Antiqua"/>
                <w:sz w:val="19"/>
                <w:szCs w:val="19"/>
              </w:rPr>
              <w:t xml:space="preserve">No que diz respeito ao instituto da audiência de custódia, é </w:t>
            </w:r>
            <w:r>
              <w:rPr>
                <w:rFonts w:ascii="Book Antiqua" w:hAnsi="Book Antiqua"/>
                <w:sz w:val="19"/>
                <w:szCs w:val="19"/>
              </w:rPr>
              <w:t>correto</w:t>
            </w:r>
            <w:r w:rsidRPr="00EF2B0F">
              <w:rPr>
                <w:rFonts w:ascii="Book Antiqua" w:hAnsi="Book Antiqua"/>
                <w:sz w:val="19"/>
                <w:szCs w:val="19"/>
              </w:rPr>
              <w:t xml:space="preserve"> afirmar:</w:t>
            </w:r>
            <w:r w:rsidRPr="000B3A5C">
              <w:rPr>
                <w:rFonts w:ascii="Book Antiqua" w:hAnsi="Book Antiqua"/>
                <w:sz w:val="19"/>
                <w:szCs w:val="19"/>
              </w:rPr>
              <w:t xml:space="preserve"> </w:t>
            </w:r>
            <w:r w:rsidRPr="00EF2B0F">
              <w:rPr>
                <w:rFonts w:ascii="Book Antiqua" w:hAnsi="Book Antiqua"/>
                <w:sz w:val="19"/>
                <w:szCs w:val="19"/>
              </w:rPr>
              <w:t>No caso de prisão em flagrante delito da competência originária de Tribunal, a apresentação do preso para a audiência de custódia poderá ser feita ao juiz que o Presidente do Tribunal ou Relator designar para esse fim.</w:t>
            </w:r>
            <w:r w:rsidRPr="000B3A5C">
              <w:rPr>
                <w:rFonts w:ascii="Book Antiqua" w:hAnsi="Book Antiqua"/>
                <w:sz w:val="19"/>
                <w:szCs w:val="19"/>
              </w:rPr>
              <w:t xml:space="preserve"> </w:t>
            </w:r>
            <w:r w:rsidRPr="000B3A5C">
              <w:rPr>
                <w:rFonts w:ascii="Book Antiqua" w:hAnsi="Book Antiqua"/>
                <w:b/>
                <w:sz w:val="19"/>
                <w:szCs w:val="19"/>
              </w:rPr>
              <w:t xml:space="preserve">BL: art. 1º, § </w:t>
            </w:r>
            <w:r>
              <w:rPr>
                <w:rFonts w:ascii="Book Antiqua" w:hAnsi="Book Antiqua"/>
                <w:b/>
                <w:sz w:val="19"/>
                <w:szCs w:val="19"/>
              </w:rPr>
              <w:t>3</w:t>
            </w:r>
            <w:r w:rsidRPr="000B3A5C">
              <w:rPr>
                <w:rFonts w:ascii="Book Antiqua" w:hAnsi="Book Antiqua"/>
                <w:b/>
                <w:sz w:val="19"/>
                <w:szCs w:val="19"/>
              </w:rPr>
              <w:t>º, da Res. 213/15, do CNJ.</w:t>
            </w:r>
          </w:p>
        </w:tc>
      </w:tr>
    </w:tbl>
    <w:p w14:paraId="2CFE1DCB" w14:textId="7AED6A96" w:rsidR="007051A3"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bCs/>
          <w:sz w:val="19"/>
          <w:szCs w:val="19"/>
        </w:rPr>
        <w:t>§ 4º</w:t>
      </w:r>
      <w:r w:rsidRPr="000B3A5C">
        <w:rPr>
          <w:rFonts w:ascii="Book Antiqua" w:hAnsi="Book Antiqua"/>
          <w:sz w:val="19"/>
          <w:szCs w:val="19"/>
        </w:rPr>
        <w:t xml:space="preserve"> </w:t>
      </w:r>
      <w:r w:rsidR="007051A3" w:rsidRPr="007051A3">
        <w:rPr>
          <w:rFonts w:ascii="Book Antiqua" w:hAnsi="Book Antiqua"/>
          <w:sz w:val="19"/>
          <w:szCs w:val="19"/>
        </w:rPr>
        <w:t>(revogado pela Resolução n. 562, de 3.6.2024)</w:t>
      </w:r>
    </w:p>
    <w:p w14:paraId="768F978E" w14:textId="019FCB58" w:rsidR="0002008A"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5º</w:t>
      </w:r>
      <w:r w:rsidRPr="000B3A5C">
        <w:rPr>
          <w:rFonts w:ascii="Book Antiqua" w:hAnsi="Book Antiqua"/>
          <w:sz w:val="19"/>
          <w:szCs w:val="19"/>
        </w:rPr>
        <w:t xml:space="preserve"> </w:t>
      </w:r>
      <w:r w:rsidR="007051A3" w:rsidRPr="007051A3">
        <w:rPr>
          <w:rFonts w:ascii="Book Antiqua" w:hAnsi="Book Antiqua"/>
          <w:sz w:val="19"/>
          <w:szCs w:val="19"/>
        </w:rPr>
        <w:t>(revogado pela Resolução n. 562, de 3.6.2024)</w:t>
      </w:r>
      <w:r w:rsidR="007051A3">
        <w:rPr>
          <w:rFonts w:ascii="Book Antiqua" w:hAnsi="Book Antiqua"/>
          <w:sz w:val="19"/>
          <w:szCs w:val="19"/>
        </w:rPr>
        <w:t xml:space="preserve"> </w:t>
      </w:r>
    </w:p>
    <w:p w14:paraId="5C00F66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6º É recomendável que as audiências de custódia decorrentes de prisão em flagrante por delitos estabelecidos na legislação que dispõe sobre violência doméstica e familiar sejam realizadas na unidade judiciária especializada nesta matéria. (incluído pela Resolução n. 562, de 3.6.2024)</w:t>
      </w:r>
    </w:p>
    <w:p w14:paraId="42311FF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7º A secretaria do juízo das garantias realizará o procedimento de identificação biométrica destinada, exclusivamente, à identificação civil e à emissão de documentação civil, seguindo os procedimentos previstos na Resolução CNJ nº 306/2019. (incluído pela Resolução n. 562, de 3.6.2024)</w:t>
      </w:r>
    </w:p>
    <w:p w14:paraId="520968D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8º Logo após o recebimento do auto de prisão em flagrante e antes da realização da audiência de custódia, a secretaria do juízo consultará se há mandado de prisão pendente de cumprimento ou outro motivo que justifique a pessoa continuar presa. (incluído pela Resolução n. 562, de 3.6.2024)</w:t>
      </w:r>
    </w:p>
    <w:p w14:paraId="1481DAD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9º Excepcionalmente, a audiência de custódia poderá ser realizada por meio de videoconferência, que será justificada pela autoridade judiciária competente em cada caso concreto, com registro na respectiva ata, em caso de: (incluído pela Resolução n. 562, de 3.6.2024)</w:t>
      </w:r>
    </w:p>
    <w:p w14:paraId="4A4F9D5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calamidade</w:t>
      </w:r>
      <w:proofErr w:type="gramEnd"/>
      <w:r w:rsidRPr="007051A3">
        <w:rPr>
          <w:rFonts w:ascii="Book Antiqua" w:hAnsi="Book Antiqua"/>
          <w:sz w:val="19"/>
          <w:szCs w:val="19"/>
        </w:rPr>
        <w:t xml:space="preserve"> pública ou crise sanitária; e (incluído pela Resolução n. 562, de 3.6.2024)</w:t>
      </w:r>
    </w:p>
    <w:p w14:paraId="786F974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manifesta</w:t>
      </w:r>
      <w:proofErr w:type="gramEnd"/>
      <w:r w:rsidRPr="007051A3">
        <w:rPr>
          <w:rFonts w:ascii="Book Antiqua" w:hAnsi="Book Antiqua"/>
          <w:sz w:val="19"/>
          <w:szCs w:val="19"/>
        </w:rPr>
        <w:t xml:space="preserve"> impossibilidade de apresentação presencial da pessoa presa, dentro do prazo legal para a realização da audiência de custódia. (incluído pela Resolução n. 562, de 3.6.2024)</w:t>
      </w:r>
    </w:p>
    <w:p w14:paraId="66B62AD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10 Na hipótese do parágrafo anterior, a participação da pessoa custodiada ocorrerá, preferencialmente, em unidade judiciária, em sala equipada para a audiência por videoconferência, com adequada conexão de internet. (incluído pela Resolução n. 562, de 3.6.2024)</w:t>
      </w:r>
    </w:p>
    <w:p w14:paraId="05E20D5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11 A realização da audiência de custódia por videoconferência pressupõe a adoção dos meios necessários para garantir a incolumidade física e psicológica do custodiado, com a ausência da equipe policial responsável por sua prisão ou pela investigação, devendo ser adotadas as seguintes medidas, dentre outras: (incluído pela Resolução n. 562, de 3.6.2024)</w:t>
      </w:r>
    </w:p>
    <w:p w14:paraId="0FEDDF1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garantia</w:t>
      </w:r>
      <w:proofErr w:type="gramEnd"/>
      <w:r w:rsidRPr="007051A3">
        <w:rPr>
          <w:rFonts w:ascii="Book Antiqua" w:hAnsi="Book Antiqua"/>
          <w:sz w:val="19"/>
          <w:szCs w:val="19"/>
        </w:rPr>
        <w:t xml:space="preserve"> do direito de entrevista prévia e reservada entre o preso e a defesa técnica, tanto presencialmente quanto por videoconferência, telefone ou qualquer outro meio de comunicação; (incluído pela Resolução n. 562, de 3.6.2024)</w:t>
      </w:r>
    </w:p>
    <w:p w14:paraId="36117414"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realização</w:t>
      </w:r>
      <w:proofErr w:type="gramEnd"/>
      <w:r w:rsidRPr="007051A3">
        <w:rPr>
          <w:rFonts w:ascii="Book Antiqua" w:hAnsi="Book Antiqua"/>
          <w:sz w:val="19"/>
          <w:szCs w:val="19"/>
        </w:rPr>
        <w:t xml:space="preserve"> de exame de corpo de delito presencialmente, com a juntada do laudo aos autos antes da realização da audiência para análise da autoridade judicial, a fim de averiguar a integridade física do custodiado; (incluído pela Resolução n. 562, de 3.6.2024)</w:t>
      </w:r>
    </w:p>
    <w:p w14:paraId="2B86505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garantia de privacidade à pessoa custodiada na sala em que se realizar a videoconferência, devendo permanecer sozinha durante a realização de sua oitiva, ressalvada a presença da defesa técnica, conforme inciso VI; (incluído pela Resolução n. 562, de 3.6.2024)</w:t>
      </w:r>
    </w:p>
    <w:p w14:paraId="239E75B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utilização</w:t>
      </w:r>
      <w:proofErr w:type="gramEnd"/>
      <w:r w:rsidRPr="007051A3">
        <w:rPr>
          <w:rFonts w:ascii="Book Antiqua" w:hAnsi="Book Antiqua"/>
          <w:sz w:val="19"/>
          <w:szCs w:val="19"/>
        </w:rPr>
        <w:t xml:space="preserve"> concomitante de mais de uma câmara ou de câmera 360 graus no recinto em que se encontrar o preso no momento da realização de assentada, de modo a permitir a visualização integral do espaço; (incluído pela Resolução n. 562, de 3.6.2024)</w:t>
      </w:r>
    </w:p>
    <w:p w14:paraId="356A3E1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existência</w:t>
      </w:r>
      <w:proofErr w:type="gramEnd"/>
      <w:r w:rsidRPr="007051A3">
        <w:rPr>
          <w:rFonts w:ascii="Book Antiqua" w:hAnsi="Book Antiqua"/>
          <w:sz w:val="19"/>
          <w:szCs w:val="19"/>
        </w:rPr>
        <w:t xml:space="preserve"> de câmera externa à qual o juiz das garantias tenha acesso, com o objetivo de monitorar a entrada e a saída do preso na sala em que será realizada a audiência por videoconferência; e VI – direito à presença do advogado, advogada, defensor ou defensora na sala em que se encontrar a pessoa custodiada. (incluído pela Resolução n. 562, de 3.6.2024)</w:t>
      </w:r>
    </w:p>
    <w:p w14:paraId="1CEEEF7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12 As câmeras de que tratam os incisos IV e V do parágrafo anterior deverão ter resolução de vídeo de, no mínimo, 1920 x 1080 pixels (full HD), de modo a permitir a adequada verificação da integridade do preso. (incluído pela Resolução n. 562, de 3.6.2024)</w:t>
      </w:r>
    </w:p>
    <w:p w14:paraId="72303EB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13 As salas destinadas à realização de atos processuais por sistema de videoconferência deverão ser fiscalizadas pelas corregedorias e pelos juízes e juízas que presidirem as audiências, a fim de garantir a efetividade dos direitos previstos nesta Resolução, em datas previamente informadas à seção local da Ordem dos Advogados do Brasil, à Defensoria Pública e ao Ministério Público, com atuação perante o órgão judicial. (incluído pela Resolução n. 562, de 3.6.2024)</w:t>
      </w:r>
    </w:p>
    <w:p w14:paraId="0E6B953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14 Respeitada a excepcionalidade da medida e sob a fiscalização do CNJ, os tribunais poderão estabelecer parâmetros para a realização de audiência de custódia por videoconferência pela autoridade judicial competente, de acordo com a realidade local, observados: (incluído pela Resolução n. 562, de 3.6.2024)</w:t>
      </w:r>
    </w:p>
    <w:p w14:paraId="7EC3F5E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estabelecimento de distância mínima onde está recolhido o preso ou da cidade em que ocorreu o flagrante para o Núcleo ou Vara Regional das Garantias em que, necessariamente, a audiência será realizada no formato presencial; (incluído pela Resolução n. 562, de 3.6.2024)</w:t>
      </w:r>
    </w:p>
    <w:p w14:paraId="33C98AB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respeito aos requisitos estabelecidos no § 11 deste artigo. (incluído pela Resolução n. 562, de 3.6.2024)</w:t>
      </w:r>
    </w:p>
    <w:p w14:paraId="5461E98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1º-A. A audiência de custódia poderá, excepcionalmente, ser realizada em prazo diverso do previsto no art. 1º, desde que verificada motivação idônea, caracterizada por: (incluído pela Resolução n. 562, de 3.6.2024)</w:t>
      </w:r>
    </w:p>
    <w:p w14:paraId="1659253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hospitalização</w:t>
      </w:r>
      <w:proofErr w:type="gramEnd"/>
      <w:r w:rsidRPr="007051A3">
        <w:rPr>
          <w:rFonts w:ascii="Book Antiqua" w:hAnsi="Book Antiqua"/>
          <w:sz w:val="19"/>
          <w:szCs w:val="19"/>
        </w:rPr>
        <w:t xml:space="preserve"> ou em situação de urgência em saúde; e (incluído pela Resolução n. 562, de 3.6.2024)</w:t>
      </w:r>
    </w:p>
    <w:p w14:paraId="10A78BB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distância</w:t>
      </w:r>
      <w:proofErr w:type="gramEnd"/>
      <w:r w:rsidRPr="007051A3">
        <w:rPr>
          <w:rFonts w:ascii="Book Antiqua" w:hAnsi="Book Antiqua"/>
          <w:sz w:val="19"/>
          <w:szCs w:val="19"/>
        </w:rPr>
        <w:t xml:space="preserve"> significativa ou dificuldade de acesso entre o município onde ocorreu a prisão e a unidade judiciária competente para realização da audiência de custódia, consoante a organização judiciária local estabelecida para o funcionamento do juiz das garantias. (incluído pela Resolução n. 562, de 3.6.2024)</w:t>
      </w:r>
    </w:p>
    <w:p w14:paraId="0DD3F5A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outras situações excepcionais, concretamente demonstradas pela autoridade judiciária competente e registradas em ata. (incluído pela Resolução n. 562, de 3.6.2024)</w:t>
      </w:r>
    </w:p>
    <w:p w14:paraId="5A1611D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Nos casos previstos no inciso I, o juiz poderá: (incluído pela Resolução n. 562, de 3.6.2024)</w:t>
      </w:r>
    </w:p>
    <w:p w14:paraId="40F340C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realizar</w:t>
      </w:r>
      <w:proofErr w:type="gramEnd"/>
      <w:r w:rsidRPr="007051A3">
        <w:rPr>
          <w:rFonts w:ascii="Book Antiqua" w:hAnsi="Book Antiqua"/>
          <w:sz w:val="19"/>
          <w:szCs w:val="19"/>
        </w:rPr>
        <w:t xml:space="preserve"> a audiência de custódia no local em que a pessoa presa se encontre; ou (incluído pela Resolução n. 562, de 3.6.2024)</w:t>
      </w:r>
    </w:p>
    <w:p w14:paraId="2E0B364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providenciar</w:t>
      </w:r>
      <w:proofErr w:type="gramEnd"/>
      <w:r w:rsidRPr="007051A3">
        <w:rPr>
          <w:rFonts w:ascii="Book Antiqua" w:hAnsi="Book Antiqua"/>
          <w:sz w:val="19"/>
          <w:szCs w:val="19"/>
        </w:rPr>
        <w:t xml:space="preserve"> a condução da pessoa presa à audiência de custódia no prazo de 24 (vinte e quatro) horas contadas da alta hospitalar. (incluído pela Resolução n. 562, de 3.6.2024)</w:t>
      </w:r>
    </w:p>
    <w:p w14:paraId="7D259CC2" w14:textId="33691775"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Na hipótese do inciso I do caput, deverá ser realizado exame de corpo de delito pelos profissionais de saúde no local em que a pessoa se encontre hospitalizada, a fim de documentar eventuais indícios de tortura ou maus tratos. (incluído pela Resolução n. 562, de 3.6.2024)</w:t>
      </w:r>
    </w:p>
    <w:p w14:paraId="7DB61B4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2º O deslocamento da pessoa presa em flagrante delito ao local da audiência e desse, eventualmente, para alguma unidade prisional específica, no caso de aplicação da prisão preventiva, será de responsabilidade da Secretaria de Administração Penitenciária ou da Secretaria de Segurança Pública, conforme os regramentos locais.</w:t>
      </w:r>
    </w:p>
    <w:p w14:paraId="3EC925E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Caberá aos tribunais a articulação junto aos órgãos competentes do Poder Executivo para formalizar fluxos de apresentação de pessoas custodiadas para audiências presenciais, de maneira que a videoconferência seja utilizada excepcionalmente. (incluído pela Resolução n. 562, de 3.6.2024)</w:t>
      </w:r>
    </w:p>
    <w:p w14:paraId="4DD5424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Os tribunais poderão celebrar convênios com a finalidade de viabilizar: (incluído pela Resolução n. 562, de 3.6.2024)</w:t>
      </w:r>
    </w:p>
    <w:p w14:paraId="4B43FCC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xml:space="preserve">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realização da audiência de custódia fora da unidade judiciária; (incluído pela Resolução n. 562, de 3.6.2024)</w:t>
      </w:r>
    </w:p>
    <w:p w14:paraId="292ED04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o</w:t>
      </w:r>
      <w:proofErr w:type="gramEnd"/>
      <w:r w:rsidRPr="007051A3">
        <w:rPr>
          <w:rFonts w:ascii="Book Antiqua" w:hAnsi="Book Antiqua"/>
          <w:sz w:val="19"/>
          <w:szCs w:val="19"/>
        </w:rPr>
        <w:t xml:space="preserve"> deslocamento das pessoas cuja prisão foi relaxada ou a quem foi concedida liberdade provisória. (incluído pela Resolução n. 562, de 3.6.2024)</w:t>
      </w:r>
    </w:p>
    <w:p w14:paraId="4F403D04" w14:textId="4FC0F150" w:rsidR="007051A3"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a realização, excepcional, de audiência por videoconferência em sala que atenda aos requisitos estabelecidos no §11 do art. 1º desta Resolução. (incluído pela Resolução n. 562, de 3.6.2024)</w:t>
      </w:r>
    </w:p>
    <w:p w14:paraId="043AD162" w14:textId="4093A598" w:rsidR="007051A3" w:rsidRPr="000B3A5C"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3º Se, por qualquer motivo, não houver juiz das garantias na comarca ou subseção judiciária, a pessoa presa será levada imediatamente ao substituto legal, observado o disposto no art. 1º. (redação dada pela Resolução n. 562, de 3.6.2024)</w:t>
      </w:r>
    </w:p>
    <w:p w14:paraId="5EE1AF07" w14:textId="3F9004A3" w:rsidR="0002008A" w:rsidRPr="00494367" w:rsidRDefault="0002008A" w:rsidP="00C42E23">
      <w:pPr>
        <w:spacing w:before="100" w:beforeAutospacing="1" w:after="100" w:afterAutospacing="1" w:line="240" w:lineRule="auto"/>
        <w:jc w:val="both"/>
        <w:rPr>
          <w:rFonts w:ascii="Book Antiqua" w:hAnsi="Book Antiqua"/>
          <w:b/>
          <w:sz w:val="18"/>
          <w:szCs w:val="18"/>
        </w:rPr>
      </w:pPr>
      <w:r w:rsidRPr="000B3A5C">
        <w:rPr>
          <w:rFonts w:ascii="Book Antiqua" w:hAnsi="Book Antiqua"/>
          <w:b/>
          <w:sz w:val="19"/>
          <w:szCs w:val="19"/>
          <w:highlight w:val="magenta"/>
        </w:rPr>
        <w:t xml:space="preserve">Art. </w:t>
      </w:r>
      <w:r w:rsidRPr="00494367">
        <w:rPr>
          <w:rFonts w:ascii="Book Antiqua" w:hAnsi="Book Antiqua"/>
          <w:b/>
          <w:sz w:val="19"/>
          <w:szCs w:val="19"/>
          <w:highlight w:val="magenta"/>
        </w:rPr>
        <w:t>4º</w:t>
      </w:r>
      <w:r w:rsidRPr="00494367">
        <w:rPr>
          <w:rFonts w:ascii="Book Antiqua" w:hAnsi="Book Antiqua"/>
          <w:b/>
          <w:sz w:val="19"/>
          <w:szCs w:val="19"/>
        </w:rPr>
        <w:t xml:space="preserve"> A </w:t>
      </w:r>
      <w:r w:rsidRPr="00494367">
        <w:rPr>
          <w:rFonts w:ascii="Book Antiqua" w:hAnsi="Book Antiqua"/>
          <w:b/>
          <w:caps/>
          <w:sz w:val="19"/>
          <w:szCs w:val="19"/>
          <w:shd w:val="clear" w:color="auto" w:fill="F7CAAC" w:themeFill="accent2" w:themeFillTint="66"/>
        </w:rPr>
        <w:t>audiência de custódia</w:t>
      </w:r>
      <w:r w:rsidRPr="00494367">
        <w:rPr>
          <w:rFonts w:ascii="Book Antiqua" w:hAnsi="Book Antiqua"/>
          <w:b/>
          <w:caps/>
          <w:sz w:val="19"/>
          <w:szCs w:val="19"/>
        </w:rPr>
        <w:t xml:space="preserve"> </w:t>
      </w:r>
      <w:r w:rsidRPr="00494367">
        <w:rPr>
          <w:rFonts w:ascii="Book Antiqua" w:hAnsi="Book Antiqua"/>
          <w:b/>
          <w:caps/>
          <w:sz w:val="19"/>
          <w:szCs w:val="19"/>
          <w:highlight w:val="green"/>
        </w:rPr>
        <w:t>será realizada</w:t>
      </w:r>
      <w:r w:rsidRPr="00494367">
        <w:rPr>
          <w:rFonts w:ascii="Book Antiqua" w:hAnsi="Book Antiqua"/>
          <w:b/>
          <w:sz w:val="19"/>
          <w:szCs w:val="19"/>
        </w:rPr>
        <w:t xml:space="preserve"> </w:t>
      </w:r>
      <w:r w:rsidRPr="00494367">
        <w:rPr>
          <w:rFonts w:ascii="Book Antiqua" w:hAnsi="Book Antiqua"/>
          <w:b/>
          <w:sz w:val="19"/>
          <w:szCs w:val="19"/>
          <w:highlight w:val="cyan"/>
        </w:rPr>
        <w:t>na presença</w:t>
      </w:r>
      <w:r w:rsidRPr="00494367">
        <w:rPr>
          <w:rFonts w:ascii="Book Antiqua" w:hAnsi="Book Antiqua"/>
          <w:b/>
          <w:sz w:val="19"/>
          <w:szCs w:val="19"/>
        </w:rPr>
        <w:t xml:space="preserve"> </w:t>
      </w:r>
      <w:r w:rsidRPr="00494367">
        <w:rPr>
          <w:rFonts w:ascii="Book Antiqua" w:hAnsi="Book Antiqua"/>
          <w:b/>
          <w:sz w:val="19"/>
          <w:szCs w:val="19"/>
          <w:highlight w:val="yellow"/>
        </w:rPr>
        <w:t>do Ministério Público</w:t>
      </w:r>
      <w:r w:rsidRPr="00494367">
        <w:rPr>
          <w:rFonts w:ascii="Book Antiqua" w:hAnsi="Book Antiqua"/>
          <w:b/>
          <w:sz w:val="19"/>
          <w:szCs w:val="19"/>
        </w:rPr>
        <w:t xml:space="preserve"> e </w:t>
      </w:r>
      <w:r w:rsidRPr="00494367">
        <w:rPr>
          <w:rFonts w:ascii="Book Antiqua" w:hAnsi="Book Antiqua"/>
          <w:b/>
          <w:sz w:val="19"/>
          <w:szCs w:val="19"/>
          <w:highlight w:val="yellow"/>
        </w:rPr>
        <w:t>da Defensoria Pública</w:t>
      </w:r>
      <w:r w:rsidRPr="00494367">
        <w:rPr>
          <w:rFonts w:ascii="Book Antiqua" w:hAnsi="Book Antiqua"/>
          <w:b/>
          <w:sz w:val="19"/>
          <w:szCs w:val="19"/>
        </w:rPr>
        <w:t xml:space="preserve">, </w:t>
      </w:r>
      <w:r w:rsidRPr="00494367">
        <w:rPr>
          <w:rFonts w:ascii="Book Antiqua" w:hAnsi="Book Antiqua"/>
          <w:b/>
          <w:caps/>
          <w:sz w:val="19"/>
          <w:szCs w:val="19"/>
          <w:highlight w:val="green"/>
        </w:rPr>
        <w:t>caso</w:t>
      </w:r>
      <w:r w:rsidRPr="00494367">
        <w:rPr>
          <w:rFonts w:ascii="Book Antiqua" w:hAnsi="Book Antiqua"/>
          <w:b/>
          <w:sz w:val="19"/>
          <w:szCs w:val="19"/>
        </w:rPr>
        <w:t xml:space="preserve"> a </w:t>
      </w:r>
      <w:r w:rsidRPr="00494367">
        <w:rPr>
          <w:rFonts w:ascii="Book Antiqua" w:hAnsi="Book Antiqua"/>
          <w:b/>
          <w:sz w:val="19"/>
          <w:szCs w:val="19"/>
          <w:highlight w:val="yellow"/>
        </w:rPr>
        <w:t>pessoa detida</w:t>
      </w:r>
      <w:r w:rsidRPr="00494367">
        <w:rPr>
          <w:rFonts w:ascii="Book Antiqua" w:hAnsi="Book Antiqua"/>
          <w:b/>
          <w:sz w:val="19"/>
          <w:szCs w:val="19"/>
        </w:rPr>
        <w:t xml:space="preserve"> </w:t>
      </w:r>
      <w:r w:rsidRPr="00494367">
        <w:rPr>
          <w:rFonts w:ascii="Book Antiqua" w:hAnsi="Book Antiqua"/>
          <w:b/>
          <w:caps/>
          <w:sz w:val="19"/>
          <w:szCs w:val="19"/>
          <w:highlight w:val="green"/>
        </w:rPr>
        <w:t>não possua</w:t>
      </w:r>
      <w:r w:rsidRPr="00494367">
        <w:rPr>
          <w:rFonts w:ascii="Book Antiqua" w:hAnsi="Book Antiqua"/>
          <w:b/>
          <w:sz w:val="19"/>
          <w:szCs w:val="19"/>
        </w:rPr>
        <w:t xml:space="preserve"> </w:t>
      </w:r>
      <w:r w:rsidRPr="00494367">
        <w:rPr>
          <w:rFonts w:ascii="Book Antiqua" w:hAnsi="Book Antiqua"/>
          <w:b/>
          <w:sz w:val="19"/>
          <w:szCs w:val="19"/>
          <w:highlight w:val="yellow"/>
        </w:rPr>
        <w:t>defensor constituído</w:t>
      </w:r>
      <w:r w:rsidRPr="00494367">
        <w:rPr>
          <w:rFonts w:ascii="Book Antiqua" w:hAnsi="Book Antiqua"/>
          <w:b/>
          <w:sz w:val="19"/>
          <w:szCs w:val="19"/>
        </w:rPr>
        <w:t xml:space="preserve"> </w:t>
      </w:r>
      <w:r w:rsidRPr="00494367">
        <w:rPr>
          <w:rFonts w:ascii="Book Antiqua" w:hAnsi="Book Antiqua"/>
          <w:b/>
          <w:sz w:val="19"/>
          <w:szCs w:val="19"/>
          <w:highlight w:val="cyan"/>
        </w:rPr>
        <w:t>no momento da lavratura do flagrante</w:t>
      </w:r>
      <w:r w:rsidRPr="00494367">
        <w:rPr>
          <w:rFonts w:ascii="Book Antiqua" w:hAnsi="Book Antiqua"/>
          <w:b/>
          <w:sz w:val="16"/>
          <w:szCs w:val="16"/>
        </w:rPr>
        <w:t>.</w:t>
      </w:r>
      <w:r w:rsidR="00EF2B0F" w:rsidRPr="00494367">
        <w:rPr>
          <w:rFonts w:ascii="Book Antiqua" w:hAnsi="Book Antiqua"/>
          <w:b/>
          <w:sz w:val="16"/>
          <w:szCs w:val="16"/>
        </w:rPr>
        <w:t xml:space="preserve"> </w:t>
      </w:r>
      <w:r w:rsidR="00EF2B0F" w:rsidRPr="00494367">
        <w:rPr>
          <w:rFonts w:ascii="Book Antiqua" w:hAnsi="Book Antiqua"/>
          <w:b/>
          <w:color w:val="FF0000"/>
          <w:sz w:val="16"/>
          <w:szCs w:val="16"/>
          <w:u w:val="single"/>
        </w:rPr>
        <w:t>(MPRO-2017)</w:t>
      </w:r>
      <w:r w:rsidR="00C2449F" w:rsidRPr="00494367">
        <w:rPr>
          <w:rFonts w:ascii="Book Antiqua" w:hAnsi="Book Antiqua"/>
          <w:b/>
          <w:color w:val="FF0000"/>
          <w:sz w:val="16"/>
          <w:szCs w:val="16"/>
        </w:rPr>
        <w:t xml:space="preserve"> </w:t>
      </w:r>
      <w:r w:rsidR="00C2449F" w:rsidRPr="00494367">
        <w:rPr>
          <w:rFonts w:ascii="Book Antiqua" w:eastAsia="Times New Roman" w:hAnsi="Book Antiqua" w:cs="Times New Roman"/>
          <w:b/>
          <w:color w:val="FF0000"/>
          <w:sz w:val="16"/>
          <w:szCs w:val="16"/>
          <w:u w:val="single"/>
          <w:lang w:eastAsia="pt-BR"/>
        </w:rPr>
        <w:t>(TRF2-2017)</w:t>
      </w:r>
      <w:r w:rsidR="00C213EC" w:rsidRPr="00494367">
        <w:rPr>
          <w:rFonts w:ascii="Book Antiqua" w:eastAsia="Times New Roman" w:hAnsi="Book Antiqua" w:cs="Times New Roman"/>
          <w:b/>
          <w:color w:val="FF0000"/>
          <w:sz w:val="16"/>
          <w:szCs w:val="16"/>
          <w:lang w:eastAsia="pt-BR"/>
        </w:rPr>
        <w:t xml:space="preserve"> </w:t>
      </w:r>
      <w:r w:rsidR="00C213EC" w:rsidRPr="00494367">
        <w:rPr>
          <w:rFonts w:ascii="Book Antiqua" w:eastAsia="Times New Roman" w:hAnsi="Book Antiqua" w:cs="Times New Roman"/>
          <w:b/>
          <w:color w:val="FF0000"/>
          <w:sz w:val="16"/>
          <w:szCs w:val="16"/>
          <w:u w:val="single"/>
          <w:lang w:eastAsia="pt-BR"/>
        </w:rPr>
        <w:t>(MPF-2017)</w:t>
      </w:r>
      <w:r w:rsidR="0032549E" w:rsidRPr="00494367">
        <w:rPr>
          <w:rFonts w:ascii="Book Antiqua" w:hAnsi="Book Antiqua"/>
          <w:b/>
          <w:color w:val="FF0000"/>
          <w:sz w:val="16"/>
          <w:szCs w:val="16"/>
        </w:rPr>
        <w:t xml:space="preserve"> </w:t>
      </w:r>
      <w:r w:rsidR="0032549E" w:rsidRPr="00494367">
        <w:rPr>
          <w:rFonts w:ascii="Book Antiqua" w:hAnsi="Book Antiqua"/>
          <w:b/>
          <w:color w:val="FF0000"/>
          <w:sz w:val="16"/>
          <w:szCs w:val="16"/>
          <w:u w:val="single"/>
        </w:rPr>
        <w:t>(DPEDF-2019)</w:t>
      </w:r>
      <w:r w:rsidR="00494367">
        <w:rPr>
          <w:rFonts w:ascii="Book Antiqua" w:hAnsi="Book Antiqua"/>
          <w:b/>
          <w:color w:val="FF0000"/>
          <w:sz w:val="16"/>
          <w:szCs w:val="16"/>
        </w:rPr>
        <w:t xml:space="preserve"> </w:t>
      </w:r>
      <w:r w:rsidR="00494367">
        <w:rPr>
          <w:rFonts w:ascii="Book Antiqua" w:eastAsia="Times New Roman" w:hAnsi="Book Antiqua" w:cs="Times New Roman"/>
          <w:b/>
          <w:bCs/>
          <w:color w:val="FF0000"/>
          <w:sz w:val="16"/>
          <w:szCs w:val="16"/>
          <w:u w:val="single"/>
          <w:lang w:eastAsia="pt-BR"/>
        </w:rPr>
        <w:t>(MPBA-2023)</w:t>
      </w:r>
    </w:p>
    <w:p w14:paraId="55B2BBF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É vedada a presença de quaisquer agentes policiais responsáveis pela prisão ou pela investigação durante a audiência de custódia. (redação dada pela Resolução n. 562, de 3.6.2024)</w:t>
      </w:r>
    </w:p>
    <w:p w14:paraId="0F4B2AA5" w14:textId="1EAF5C91" w:rsid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Deverá ser assegurado que a condução e a custódia de mulher presa em audiência sejam realizadas por profissional de segurança do mesmo gênero, salvo impossibilidade fundamentada informada pelo órgão responsável do Poder Executivo e registrada em ata de audiência, cabendo à autoridade judicial a comunicação do descumprimento ao órgão do tribunal competente para a articulação interinstitucional. (redação dada pela Resolução n. 562, de 3.6.2024)</w:t>
      </w:r>
    </w:p>
    <w:p w14:paraId="31CD86F1" w14:textId="7B448910"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5º Se a pessoa presa em flagrante delito constituir advogado até o término da lavratura do auto de prisão em flagrante, o Delegado de polícia deverá notificá-lo, pelos meios mais comuns, tais como correio eletrônico, telefone ou mensagem de texto, para que compareça à audiência de custódia, consignando nos autos.</w:t>
      </w:r>
    </w:p>
    <w:p w14:paraId="34BE98C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Parágrafo único. Não havendo defensor constituído, a pessoa presa será atendida pela Defensoria Pública.</w:t>
      </w:r>
    </w:p>
    <w:p w14:paraId="0EF8D4B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sz w:val="19"/>
          <w:szCs w:val="19"/>
          <w:highlight w:val="magenta"/>
        </w:rPr>
        <w:t>Art. 6º</w:t>
      </w:r>
      <w:r w:rsidRPr="000B3A5C">
        <w:rPr>
          <w:rFonts w:ascii="Book Antiqua" w:hAnsi="Book Antiqua"/>
          <w:sz w:val="19"/>
          <w:szCs w:val="19"/>
        </w:rPr>
        <w:t xml:space="preserve"> Antes da apresentação da pessoa presa ao juiz, será assegurado seu atendimento prévio e reservado por advogado por ela constituído ou defensor público, sem a presença de agentes policiais, sendo esclarecidos por funcionário credenciado os motivos, fundamentos e ritos que versam a audiência de custódia.</w:t>
      </w:r>
    </w:p>
    <w:p w14:paraId="7B05BEC1" w14:textId="2C3D83D0"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sz w:val="19"/>
          <w:szCs w:val="19"/>
          <w:highlight w:val="magenta"/>
        </w:rPr>
        <w:t>Parágrafo único</w:t>
      </w:r>
      <w:r w:rsidRPr="000B3A5C">
        <w:rPr>
          <w:rFonts w:ascii="Book Antiqua" w:hAnsi="Book Antiqua"/>
          <w:sz w:val="19"/>
          <w:szCs w:val="19"/>
        </w:rPr>
        <w:t xml:space="preserve">. </w:t>
      </w:r>
      <w:r w:rsidRPr="000B3A5C">
        <w:rPr>
          <w:rFonts w:ascii="Book Antiqua" w:hAnsi="Book Antiqua"/>
          <w:b/>
          <w:caps/>
          <w:sz w:val="19"/>
          <w:szCs w:val="19"/>
          <w:highlight w:val="green"/>
        </w:rPr>
        <w:t>Será reservado</w:t>
      </w:r>
      <w:r w:rsidRPr="000B3A5C">
        <w:rPr>
          <w:rFonts w:ascii="Book Antiqua" w:hAnsi="Book Antiqua"/>
          <w:sz w:val="19"/>
          <w:szCs w:val="19"/>
        </w:rPr>
        <w:t xml:space="preserve"> local apropriado visando </w:t>
      </w:r>
      <w:r w:rsidRPr="000B3A5C">
        <w:rPr>
          <w:rFonts w:ascii="Book Antiqua" w:hAnsi="Book Antiqua"/>
          <w:b/>
          <w:caps/>
          <w:sz w:val="19"/>
          <w:szCs w:val="19"/>
          <w:shd w:val="clear" w:color="auto" w:fill="F7CAAC" w:themeFill="accent2" w:themeFillTint="66"/>
        </w:rPr>
        <w:t>a garantia da confidencialidade</w:t>
      </w:r>
      <w:r w:rsidRPr="000B3A5C">
        <w:rPr>
          <w:rFonts w:ascii="Book Antiqua" w:hAnsi="Book Antiqua"/>
          <w:sz w:val="19"/>
          <w:szCs w:val="19"/>
        </w:rPr>
        <w:t xml:space="preserve"> </w:t>
      </w:r>
      <w:r w:rsidRPr="000B3A5C">
        <w:rPr>
          <w:rFonts w:ascii="Book Antiqua" w:hAnsi="Book Antiqua"/>
          <w:b/>
          <w:sz w:val="19"/>
          <w:szCs w:val="19"/>
          <w:highlight w:val="cyan"/>
        </w:rPr>
        <w:t>do atendimento prévio</w:t>
      </w:r>
      <w:r w:rsidRPr="000B3A5C">
        <w:rPr>
          <w:rFonts w:ascii="Book Antiqua" w:hAnsi="Book Antiqua"/>
          <w:b/>
          <w:sz w:val="19"/>
          <w:szCs w:val="19"/>
        </w:rPr>
        <w:t xml:space="preserve"> </w:t>
      </w:r>
      <w:r w:rsidRPr="000B3A5C">
        <w:rPr>
          <w:rFonts w:ascii="Book Antiqua" w:hAnsi="Book Antiqua"/>
          <w:b/>
          <w:sz w:val="19"/>
          <w:szCs w:val="19"/>
          <w:highlight w:val="yellow"/>
        </w:rPr>
        <w:t>com advogado</w:t>
      </w:r>
      <w:r w:rsidRPr="000B3A5C">
        <w:rPr>
          <w:rFonts w:ascii="Book Antiqua" w:hAnsi="Book Antiqua"/>
          <w:sz w:val="19"/>
          <w:szCs w:val="19"/>
        </w:rPr>
        <w:t xml:space="preserve"> ou </w:t>
      </w:r>
      <w:r w:rsidRPr="000B3A5C">
        <w:rPr>
          <w:rFonts w:ascii="Book Antiqua" w:hAnsi="Book Antiqua"/>
          <w:b/>
          <w:sz w:val="19"/>
          <w:szCs w:val="19"/>
          <w:highlight w:val="yellow"/>
        </w:rPr>
        <w:t>defensor público</w:t>
      </w:r>
      <w:r w:rsidRPr="000B3A5C">
        <w:rPr>
          <w:rFonts w:ascii="Book Antiqua" w:hAnsi="Book Antiqua"/>
          <w:sz w:val="19"/>
          <w:szCs w:val="19"/>
        </w:rPr>
        <w:t>.</w:t>
      </w:r>
      <w:r w:rsidR="00C213EC">
        <w:rPr>
          <w:rFonts w:ascii="Book Antiqua" w:hAnsi="Book Antiqua"/>
          <w:sz w:val="19"/>
          <w:szCs w:val="19"/>
        </w:rPr>
        <w:t xml:space="preserve"> </w:t>
      </w:r>
      <w:r w:rsidR="00C213EC">
        <w:rPr>
          <w:rFonts w:ascii="Book Antiqua" w:hAnsi="Book Antiqua"/>
          <w:b/>
          <w:bCs/>
          <w:color w:val="FF0000"/>
          <w:sz w:val="16"/>
          <w:szCs w:val="16"/>
          <w:u w:val="single"/>
        </w:rPr>
        <w:t>(DPEPR-2017)</w:t>
      </w:r>
    </w:p>
    <w:tbl>
      <w:tblPr>
        <w:tblStyle w:val="Tabelacomgrade"/>
        <w:tblW w:w="0" w:type="auto"/>
        <w:shd w:val="clear" w:color="auto" w:fill="CCFFFF"/>
        <w:tblLook w:val="04A0" w:firstRow="1" w:lastRow="0" w:firstColumn="1" w:lastColumn="0" w:noHBand="0" w:noVBand="1"/>
      </w:tblPr>
      <w:tblGrid>
        <w:gridCol w:w="8494"/>
      </w:tblGrid>
      <w:tr w:rsidR="00ED6D96" w:rsidRPr="000B3A5C" w14:paraId="5D7C84BB" w14:textId="77777777" w:rsidTr="003F2A09">
        <w:tc>
          <w:tcPr>
            <w:tcW w:w="8494" w:type="dxa"/>
            <w:shd w:val="clear" w:color="auto" w:fill="CCFFFF"/>
          </w:tcPr>
          <w:p w14:paraId="0005117C" w14:textId="108936F4" w:rsidR="00ED6D96" w:rsidRPr="000B3A5C" w:rsidRDefault="00ED6D96" w:rsidP="00ED6D96">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t>(</w:t>
            </w:r>
            <w:r w:rsidRPr="000B3A5C">
              <w:rPr>
                <w:rFonts w:ascii="Book Antiqua" w:hAnsi="Book Antiqua"/>
                <w:b/>
                <w:sz w:val="19"/>
                <w:szCs w:val="19"/>
                <w:highlight w:val="yellow"/>
              </w:rPr>
              <w:t>DPEPR-2017-FCC</w:t>
            </w:r>
            <w:r w:rsidRPr="000B3A5C">
              <w:rPr>
                <w:rFonts w:ascii="Book Antiqua" w:hAnsi="Book Antiqua"/>
                <w:b/>
                <w:sz w:val="19"/>
                <w:szCs w:val="19"/>
              </w:rPr>
              <w:t>)</w:t>
            </w:r>
            <w:r w:rsidRPr="000B3A5C">
              <w:rPr>
                <w:rFonts w:ascii="Book Antiqua" w:hAnsi="Book Antiqua"/>
                <w:sz w:val="19"/>
                <w:szCs w:val="19"/>
              </w:rPr>
              <w:t xml:space="preserve">: A respeito da audiência de custódia, prevista na Resolução n° 213/2015, do Conselho Nacional de Justiça: O Defensor Público poderá conversar com o custodiado antes da apresentação da pessoa presa ao juiz, sendo assegurado seu atendimento prévio e reservado sem a presença de agentes policiais. </w:t>
            </w:r>
            <w:r w:rsidRPr="000B3A5C">
              <w:rPr>
                <w:rFonts w:ascii="Book Antiqua" w:hAnsi="Book Antiqua"/>
                <w:b/>
                <w:sz w:val="19"/>
                <w:szCs w:val="19"/>
              </w:rPr>
              <w:t>BL: art. 6º, § único, da Res. 213/</w:t>
            </w:r>
            <w:r w:rsidR="009A0DBF" w:rsidRPr="000B3A5C">
              <w:rPr>
                <w:rFonts w:ascii="Book Antiqua" w:hAnsi="Book Antiqua"/>
                <w:b/>
                <w:sz w:val="19"/>
                <w:szCs w:val="19"/>
              </w:rPr>
              <w:t xml:space="preserve">2015, do </w:t>
            </w:r>
            <w:r w:rsidRPr="000B3A5C">
              <w:rPr>
                <w:rFonts w:ascii="Book Antiqua" w:hAnsi="Book Antiqua"/>
                <w:b/>
                <w:sz w:val="19"/>
                <w:szCs w:val="19"/>
              </w:rPr>
              <w:t>CNJ.</w:t>
            </w:r>
          </w:p>
        </w:tc>
      </w:tr>
    </w:tbl>
    <w:p w14:paraId="51643A7E" w14:textId="76761AB7" w:rsidR="007051A3"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7</w:t>
      </w:r>
      <w:r>
        <w:rPr>
          <w:rFonts w:ascii="Book Antiqua" w:hAnsi="Book Antiqua"/>
          <w:sz w:val="19"/>
          <w:szCs w:val="19"/>
        </w:rPr>
        <w:t>º</w:t>
      </w:r>
      <w:r w:rsidRPr="007051A3">
        <w:rPr>
          <w:rFonts w:ascii="Book Antiqua" w:hAnsi="Book Antiqua"/>
          <w:sz w:val="19"/>
          <w:szCs w:val="19"/>
        </w:rPr>
        <w:t xml:space="preserve"> A pessoa presa devidamente qualificada e identificada, o auto de prisão em flagrante e o resultado da audiência de custódia serão obrigatoriamente cadastrados no BNMP 3.0. (redação dada pela Resolução n. 417, de 20.9.2021)</w:t>
      </w:r>
    </w:p>
    <w:p w14:paraId="49773B59" w14:textId="7A8EDC1E" w:rsidR="0002008A" w:rsidRPr="007051A3" w:rsidRDefault="0002008A"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 1º </w:t>
      </w:r>
      <w:r w:rsidR="007051A3" w:rsidRPr="007051A3">
        <w:rPr>
          <w:rFonts w:ascii="Book Antiqua" w:hAnsi="Book Antiqua"/>
          <w:sz w:val="19"/>
          <w:szCs w:val="19"/>
        </w:rPr>
        <w:t>(revogado pela Resolução n. 417, de 20.9.2021)</w:t>
      </w:r>
    </w:p>
    <w:p w14:paraId="716DF97A" w14:textId="2308C3AE" w:rsidR="0002008A"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 apresentação da pessoa presa em flagrante delito ao juiz das garantias acontecerá após o protocolo e distribuição judicial do auto de prisão em flagrante e respectiva nota de culpa, dela constando o motivo da prisão, o nome do condutor e das testemunhas do flagrante, ou perante a unidade responsável para operacionalizar o ato. (redação dada pela Resolução n. 562, de 3.6.2024)</w:t>
      </w:r>
    </w:p>
    <w:p w14:paraId="6CBF33B4" w14:textId="44D5DC02" w:rsidR="007051A3" w:rsidRPr="000B3A5C" w:rsidRDefault="007051A3" w:rsidP="00C42E2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3</w:t>
      </w:r>
      <w:r>
        <w:rPr>
          <w:rFonts w:ascii="Book Antiqua" w:hAnsi="Book Antiqua"/>
          <w:sz w:val="19"/>
          <w:szCs w:val="19"/>
        </w:rPr>
        <w:t>º</w:t>
      </w:r>
      <w:r w:rsidRPr="007051A3">
        <w:rPr>
          <w:rFonts w:ascii="Book Antiqua" w:hAnsi="Book Antiqua"/>
          <w:sz w:val="19"/>
          <w:szCs w:val="19"/>
        </w:rPr>
        <w:t xml:space="preserve"> O auto de prisão em flagrante subsidiará as informações a serem registradas no BNMP 3.0, conjuntamente com aquelas obtidas a partir do relato da própria pessoa autuada. (redação dada pela Resolução n. 417, de 20.9.2021)</w:t>
      </w:r>
    </w:p>
    <w:p w14:paraId="2308A33A" w14:textId="6F582BE5"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 4º </w:t>
      </w:r>
      <w:r w:rsidR="007051A3" w:rsidRPr="007051A3">
        <w:rPr>
          <w:rFonts w:ascii="Book Antiqua" w:hAnsi="Book Antiqua"/>
          <w:sz w:val="19"/>
          <w:szCs w:val="19"/>
        </w:rPr>
        <w:t>(revogado pela Resolução n. 417, de 20.9.2021)</w:t>
      </w:r>
    </w:p>
    <w:p w14:paraId="6D50640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 A audiência de custódia será realizada com o escopo de garantir os direitos fundamentais da pessoa presa, na sua presença, de seu advogado ou advogada constituída ou membro da Defensoria Pública e do Ministério Público, na qual o juiz deverá: (redação dada pela Resolução n. 562, de 3.6.2024)</w:t>
      </w:r>
    </w:p>
    <w:p w14:paraId="36B1E8F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certificar-se</w:t>
      </w:r>
      <w:proofErr w:type="gramEnd"/>
      <w:r w:rsidRPr="007051A3">
        <w:rPr>
          <w:rFonts w:ascii="Book Antiqua" w:hAnsi="Book Antiqua"/>
          <w:sz w:val="19"/>
          <w:szCs w:val="19"/>
        </w:rPr>
        <w:t xml:space="preserve"> de que a pessoa presa se encontra calçada e adequadamente vestida, considerando a temperatura e clima locais, conforme Manual de Proteção Social na Audiência de Custódia, se necessário determinando à autoridade competente o fornecimento de vestuário e calçado compatíveis; (redação dada pela Resolução n. 562, de 3.6.2024)</w:t>
      </w:r>
    </w:p>
    <w:p w14:paraId="70E3CA6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certificar-se</w:t>
      </w:r>
      <w:proofErr w:type="gramEnd"/>
      <w:r w:rsidRPr="007051A3">
        <w:rPr>
          <w:rFonts w:ascii="Book Antiqua" w:hAnsi="Book Antiqua"/>
          <w:sz w:val="19"/>
          <w:szCs w:val="19"/>
        </w:rPr>
        <w:t>, com apoio da equipe especializada em proteção social (Serviço de Atendimento à Pessoa Custodiada), se a pessoa custodiada apresenta indícios de transtorno mental ou qualquer forma de deficiência psicossocial, adotando os procedimentos previstos na Resolução CNJ nº 487/2023 quando identificados estes indícios ou situações de crise em saúde mental; (redação dada pela Resolução n. 562, de 3.6.2024)</w:t>
      </w:r>
    </w:p>
    <w:p w14:paraId="5BD90FA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consultar se a pessoa presa é migrante, se é indígena, se é fluente na língua portuguesa ou se deseja ser tratada por nome social, de acordo com sua identidade de gênero; (redação dada pela Resolução n. 562, de 3.6.2024)</w:t>
      </w:r>
    </w:p>
    <w:p w14:paraId="310AF08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esclarecer</w:t>
      </w:r>
      <w:proofErr w:type="gramEnd"/>
      <w:r w:rsidRPr="007051A3">
        <w:rPr>
          <w:rFonts w:ascii="Book Antiqua" w:hAnsi="Book Antiqua"/>
          <w:sz w:val="19"/>
          <w:szCs w:val="19"/>
        </w:rPr>
        <w:t xml:space="preserve"> as razões pelas quais a pessoa está sendo investigada e sobre o objetivo da audiência de custódia, ressaltando as questões que serão analisadas, em linguagem acessível; (redação dada pela Resolução n. 562, de 3.6.2024)</w:t>
      </w:r>
    </w:p>
    <w:p w14:paraId="6092BB2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assegurar</w:t>
      </w:r>
      <w:proofErr w:type="gramEnd"/>
      <w:r w:rsidRPr="007051A3">
        <w:rPr>
          <w:rFonts w:ascii="Book Antiqua" w:hAnsi="Book Antiqua"/>
          <w:sz w:val="19"/>
          <w:szCs w:val="19"/>
        </w:rPr>
        <w:t xml:space="preserve"> que a pessoa presa não esteja algemada, salvo em casos de resistência e de fundado receio de fuga ou de perigo à integridade física própria ou alheia, devendo a excepcionalidade ser justificada por escrito e, nesse caso, serão observados os princípios da legalidade, necessidade e proporcionalidade, em especial sobre o tipo e a técnica de aplicação do instrumento de contenção; (redação dada pela Resolução n. 562, de 3.6.2024)</w:t>
      </w:r>
    </w:p>
    <w:p w14:paraId="5FE4454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VI – </w:t>
      </w:r>
      <w:proofErr w:type="gramStart"/>
      <w:r w:rsidRPr="007051A3">
        <w:rPr>
          <w:rFonts w:ascii="Book Antiqua" w:hAnsi="Book Antiqua"/>
          <w:sz w:val="19"/>
          <w:szCs w:val="19"/>
        </w:rPr>
        <w:t>dar</w:t>
      </w:r>
      <w:proofErr w:type="gramEnd"/>
      <w:r w:rsidRPr="007051A3">
        <w:rPr>
          <w:rFonts w:ascii="Book Antiqua" w:hAnsi="Book Antiqua"/>
          <w:sz w:val="19"/>
          <w:szCs w:val="19"/>
        </w:rPr>
        <w:t xml:space="preserve"> ciência sobre seu direito de permanecer em silêncio; (redação dada pela Resolução n. 562, de 3.6.2024)</w:t>
      </w:r>
    </w:p>
    <w:p w14:paraId="5CBA2EA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VII – entrevistar a pessoa presa, formulando questões sobre: (redação dada pela Resolução n. 562, de 3.6.2024)</w:t>
      </w:r>
    </w:p>
    <w:p w14:paraId="5A306E9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se lhe foi dada ciência e efetiva oportunidade de exercício dos direitos constitucionais inerentes à sua condição, particularmente o direito de consultar-se com advogado, advogada, defensor ou defensora pública, o de ser atendido por médico e o de comunicar-se com seus familiares; (redação dada pela Resolução n. 562, de 3.6.2024)</w:t>
      </w:r>
    </w:p>
    <w:p w14:paraId="486CAB4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se lhe foi fornecida água potável e alimentação no período de espera entre a prisão e a audiência; (redação dada pela Resolução n. 562, de 3.6.2024)</w:t>
      </w:r>
    </w:p>
    <w:p w14:paraId="3926B27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a qualificação da pessoa presa, incluindo nome, nacionalidade, idade, autodeclaração de gênero e raça/cor e outras informações pertinentes, como gravidez, existência de filhos ou dependentes sob os seus cuidados, histórico de saúde, incluídos os transtornos mentais e medicamentos de uso contínuo, utilização excessiva de álcool e drogas, situação de moradia, trabalho e estudo, a fim de analisar o cabimento da concessão da liberdade provisória, com ou sem medida cautelar, assim como encaminhamento assistencial voluntário. (redação dada pela Resolução n. 562, de 3.6.2024)</w:t>
      </w:r>
    </w:p>
    <w:p w14:paraId="430ECCC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d) as circunstâncias da abordagem policial, prisão ou apreensão, a fim de verificar sua legalidade e a subsunção a alguma das hipóteses de flagrante delito estabelecidas no art. 302, do Código de Processo Penal; (redação dada pela Resolução n. 562, de 3.6.2024)</w:t>
      </w:r>
    </w:p>
    <w:p w14:paraId="31361C6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e) o tratamento recebido em todos os locais por onde passou antes da apresentação à audiência, questionando sobre eventual tortura e maus tratos, para a adoção das providências cabíveis; (redação dada pela Resolução n. 562, de 3.6.2024)</w:t>
      </w:r>
    </w:p>
    <w:p w14:paraId="3751B9B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f) a realização de exame de corpo de delito, determinando-a em caso de ausência ou insuficiência dos registros, se tiver ocorrido na presença de agente policial, bem como quando a alegação de tortura e maus tratos se referir a momento posterior ao exame efetuado, observando-se a Resolução CNJ nº 414/2021, quanto à formulação de quesitos ao perito; (redação dada pela Resolução n. 562, de 3.6.2024)</w:t>
      </w:r>
    </w:p>
    <w:p w14:paraId="15E1E281"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VIII – adotar as providências a seu cargo para sanar as irregularidades; (redação dada pela Resolução n. 562, de 3.6.2024)</w:t>
      </w:r>
    </w:p>
    <w:p w14:paraId="4794301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IX – </w:t>
      </w:r>
      <w:proofErr w:type="gramStart"/>
      <w:r w:rsidRPr="007051A3">
        <w:rPr>
          <w:rFonts w:ascii="Book Antiqua" w:hAnsi="Book Antiqua"/>
          <w:sz w:val="19"/>
          <w:szCs w:val="19"/>
        </w:rPr>
        <w:t>após</w:t>
      </w:r>
      <w:proofErr w:type="gramEnd"/>
      <w:r w:rsidRPr="007051A3">
        <w:rPr>
          <w:rFonts w:ascii="Book Antiqua" w:hAnsi="Book Antiqua"/>
          <w:sz w:val="19"/>
          <w:szCs w:val="19"/>
        </w:rPr>
        <w:t xml:space="preserve"> a oitiva da pessoa presa, o juiz deferirá ao Ministério Público e à defesa técnica, nesta ordem, perguntas compatíveis com a natureza do ato, sem relação com o mérito da causa, permitindo-lhes, em seguida, requerer: (redação dada pela Resolução n. 562, de 3.6.2024)</w:t>
      </w:r>
    </w:p>
    <w:p w14:paraId="5B4A676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o relaxamento da prisão em flagrante; (redação dada pela Resolução n. 562, de 3.6.2024)</w:t>
      </w:r>
    </w:p>
    <w:p w14:paraId="26EF17C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o arquivamento do inquérito policial, se for o caso, sendo vedada a apreciação da matéria por juiz ou juíza plantonista; (redação dada pela Resolução n. 562, de 3.6.2024)</w:t>
      </w:r>
    </w:p>
    <w:p w14:paraId="36D5DC7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a concessão da liberdade provisória com ou sem aplicação de medida cautelar diversa da prisão, prevista no art. 319 do Código de Processo Penal; (redação dada pela Resolução n. 562, de 3.6.2024)</w:t>
      </w:r>
    </w:p>
    <w:p w14:paraId="1B36B42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d) a decretação de prisão preventiva; (redação dada pela Resolução n. 562, de 3.6.2024)</w:t>
      </w:r>
    </w:p>
    <w:p w14:paraId="620A839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e) a adoção de outras medidas necessárias à preservação de direitos da pessoa presa, incluindo encaminhamentos voluntários às políticas de proteção social; e (redação dada pela Resolução n. 562, de 3.6.2024)</w:t>
      </w:r>
    </w:p>
    <w:p w14:paraId="5B12763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f) a adoção de medidas de proteção ou de assistência à vítima, podendo encaminhá-la ao Núcleo de Atendimento de Assistência Social do juízo, se houver. (redação dada pela Resolução n. 562, de 3.6.2024)</w:t>
      </w:r>
    </w:p>
    <w:p w14:paraId="3F4C916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Os atos previstos neste artigo deverão seguir a ordem em que estão enunciados. (redação dada pela Resolução n. 562, de 3.6.2024)</w:t>
      </w:r>
    </w:p>
    <w:p w14:paraId="34ED6E90"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 autoridade judicial não realizará qualquer iniciativa probatória quanto à imputação à pessoa presa, abstendo-se, no ato da audiência de custódia, de formular perguntas com a finalidade de produzir prova para a investigação ou ação penal, inclusive no que tange a eventual confissão, zelando para que os demais participantes adotem o mesmo procedimento. (redação dada pela Resolução n. 562, de 3.6.2024)</w:t>
      </w:r>
    </w:p>
    <w:p w14:paraId="7ED76ED6"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3º Deverão estar disponíveis ao juiz das garantias, no momento da audiência, o laudo do exame pericial para verificação da integridade física do custodiado e, preferencialmente, o relatório técnico previsto no art. 9º juntamente com o auto de prisão em flagrante. (redação dada pela Resolução n. 562, de 3.6.2024)</w:t>
      </w:r>
    </w:p>
    <w:p w14:paraId="5DB9FFF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4º Diante de indícios de que a pessoa seja indígena, a autoridade judicial deverá cientificá-la da possibilidade de autodeclaração e adotar as providências previstas no art. 3º da Resolução CNJ nº 287/2019. (redação dada pela Resolução n. 562, de 3.6.2024)</w:t>
      </w:r>
    </w:p>
    <w:p w14:paraId="01CF0C2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 5º Em caso de autodeclaração da pessoa como parte da população LGBTQIAPN+, a autoridade judicial aplicará o disposto nos </w:t>
      </w:r>
      <w:proofErr w:type="spellStart"/>
      <w:r w:rsidRPr="007051A3">
        <w:rPr>
          <w:rFonts w:ascii="Book Antiqua" w:hAnsi="Book Antiqua"/>
          <w:sz w:val="19"/>
          <w:szCs w:val="19"/>
        </w:rPr>
        <w:t>arts</w:t>
      </w:r>
      <w:proofErr w:type="spellEnd"/>
      <w:r w:rsidRPr="007051A3">
        <w:rPr>
          <w:rFonts w:ascii="Book Antiqua" w:hAnsi="Book Antiqua"/>
          <w:sz w:val="19"/>
          <w:szCs w:val="19"/>
        </w:rPr>
        <w:t xml:space="preserve">. 4º a 6º da Resolução CNJ nº 348/2020, atentando, ainda, para o estabelecido nos </w:t>
      </w:r>
      <w:proofErr w:type="spellStart"/>
      <w:r w:rsidRPr="007051A3">
        <w:rPr>
          <w:rFonts w:ascii="Book Antiqua" w:hAnsi="Book Antiqua"/>
          <w:sz w:val="19"/>
          <w:szCs w:val="19"/>
        </w:rPr>
        <w:t>arts</w:t>
      </w:r>
      <w:proofErr w:type="spellEnd"/>
      <w:r w:rsidRPr="007051A3">
        <w:rPr>
          <w:rFonts w:ascii="Book Antiqua" w:hAnsi="Book Antiqua"/>
          <w:sz w:val="19"/>
          <w:szCs w:val="19"/>
        </w:rPr>
        <w:t>. 7º e 8º da referida norma, em caso de conversão da prisão em flagrante em prisão provisória. (redação dada pela Resolução n. 562, de 3.6.2024)</w:t>
      </w:r>
    </w:p>
    <w:p w14:paraId="6C1EA00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6º Se a pessoa presa for migrante, será aplicado o disposto no art. 7º da Resolução CNJ nº 405/2021. (redação dada pela Resolução n. 562, de 3.6.2024)</w:t>
      </w:r>
    </w:p>
    <w:p w14:paraId="0A2E4365"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lastRenderedPageBreak/>
        <w:t>§ 7º Caso a pessoa presa não seja fluente na língua portuguesa, ou tenha deficiência auditiva, o juiz das garantias nomeará intérprete para a audiência. (incluído pela Resolução n. 562, de 3.6.2024)</w:t>
      </w:r>
    </w:p>
    <w:p w14:paraId="3BD6F899"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8º-A. A audiência de custódia constitui ato uno e indivisível, sendo informada pelo princípio da oralidade, da individualização do processo penal e pela presença da pessoa presa, não se admitindo a sua ausência ou seu não comparecimento, nem a realização de audiências coletivas. (incluído pela Resolução n. 562, de 3.6.2024)</w:t>
      </w:r>
    </w:p>
    <w:p w14:paraId="017B2D6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Excepcionalmente, na forma dos parágrafos 9º a 12 do art. 1º, será permitida a realização de audiência de custódia por videoconferência. (incluído pela Resolução n. 562, de 3.6.2024)</w:t>
      </w:r>
    </w:p>
    <w:p w14:paraId="55D77BF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Após ouvida a pessoa presa e os requerimentos do Ministério Público e da Defesa, o juiz deverá: (incluído pela Resolução n. 562, de 3.6.2024)</w:t>
      </w:r>
    </w:p>
    <w:p w14:paraId="4C1141C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verificar</w:t>
      </w:r>
      <w:proofErr w:type="gramEnd"/>
      <w:r w:rsidRPr="007051A3">
        <w:rPr>
          <w:rFonts w:ascii="Book Antiqua" w:hAnsi="Book Antiqua"/>
          <w:sz w:val="19"/>
          <w:szCs w:val="19"/>
        </w:rPr>
        <w:t xml:space="preserve"> a adequação da tipificação da conduta penal prevista no auto de prisão em flagrante, devendo, de acordo com o caso, relaxar a prisão, em hipótese de não cabimento do flagrante, alterá-la para tipo penal menos grave, ou mantê-la; (incluído pela Resolução n. 562, de 3.6.2024)</w:t>
      </w:r>
    </w:p>
    <w:p w14:paraId="5C6B9D1C"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avaliar</w:t>
      </w:r>
      <w:proofErr w:type="gramEnd"/>
      <w:r w:rsidRPr="007051A3">
        <w:rPr>
          <w:rFonts w:ascii="Book Antiqua" w:hAnsi="Book Antiqua"/>
          <w:sz w:val="19"/>
          <w:szCs w:val="19"/>
        </w:rPr>
        <w:t xml:space="preserve"> se a pessoa presa praticou o fato em qualquer das condições de exclusão de ilicitude, constantes dos incisos I, II ou III do caput do art. 23, do Código Penal; (incluído pela Resolução n. 562, de 3.6.2024)</w:t>
      </w:r>
    </w:p>
    <w:p w14:paraId="211FC6B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averiguar a necessidade e adequação para imposição de medida cautelar diversa da prisão, considerando elementos concretos sobre as circunstâncias do crime e as condições pessoais da pessoa presa, assim como o seu prazo; e (incluído pela Resolução n. 562, de 3.6.2024)</w:t>
      </w:r>
    </w:p>
    <w:p w14:paraId="30EF2D5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decidir</w:t>
      </w:r>
      <w:proofErr w:type="gramEnd"/>
      <w:r w:rsidRPr="007051A3">
        <w:rPr>
          <w:rFonts w:ascii="Book Antiqua" w:hAnsi="Book Antiqua"/>
          <w:sz w:val="19"/>
          <w:szCs w:val="19"/>
        </w:rPr>
        <w:t>, fundamentadamente, por escrito: (incluído pela Resolução n. 562, de 3.6.2024)</w:t>
      </w:r>
    </w:p>
    <w:p w14:paraId="44F15654"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 relaxar a prisão ilegal e, em sendo o caso, determinar o trancamento do inquérito policial quando não houver fundamento razoável para o seu prosseguimento; (incluído pela Resolução n. 562, de 3.6.2024)</w:t>
      </w:r>
    </w:p>
    <w:p w14:paraId="3162F133"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b) conceder liberdade provisória, com ou sem medida cautelar diversa da prisão, considerando, em caso de imposição de medida cautelar, sua necessidade e adequação; (incluído pela Resolução n. 562, de 3.6.2024)</w:t>
      </w:r>
    </w:p>
    <w:p w14:paraId="1A2E113E"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c) converter a prisão em flagrante em preventiva, quando presentes os requisitos constantes do art. 312 do Código de Processo Penal, e se revelarem inadequadas ou insuficientes as medidas cautelares diversas da prisão; (incluído pela Resolução n. 562, de 3.6.2024)</w:t>
      </w:r>
    </w:p>
    <w:p w14:paraId="76BE21E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V – </w:t>
      </w:r>
      <w:proofErr w:type="gramStart"/>
      <w:r w:rsidRPr="007051A3">
        <w:rPr>
          <w:rFonts w:ascii="Book Antiqua" w:hAnsi="Book Antiqua"/>
          <w:sz w:val="19"/>
          <w:szCs w:val="19"/>
        </w:rPr>
        <w:t>adotar</w:t>
      </w:r>
      <w:proofErr w:type="gramEnd"/>
      <w:r w:rsidRPr="007051A3">
        <w:rPr>
          <w:rFonts w:ascii="Book Antiqua" w:hAnsi="Book Antiqua"/>
          <w:sz w:val="19"/>
          <w:szCs w:val="19"/>
        </w:rPr>
        <w:t xml:space="preserve"> providências para a documentação e apuração de relato de tortura ou maus tratos, assim como encaminhamentos às políticas de proteção, de caráter voluntário, recomendados pelo juiz ou indicados pela equipe especializada em proteção social. (incluído pela Resolução n. 562, de 3.6.2024)</w:t>
      </w:r>
    </w:p>
    <w:p w14:paraId="6679C9C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3º Nos casos previstos no inciso II, do caput, o juiz poderá conceder liberdade provisória, mediante termo de comparecimento obrigatório a todos os atos processuais, sob pena de revogação, como disposto no art. 310, § 1º, do Código de Processo Penal. (incluído pela Resolução n. 562, de 3.6.2024)</w:t>
      </w:r>
    </w:p>
    <w:p w14:paraId="3862D91A"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4º Proferida a decisão que resultar no relaxamento da prisão em flagrante, na concessão da liberdade provisória com ou sem a imposição de medida cautelar, ou quando determinado o imediato arquivamento do inquérito, a pessoa presa em flagrante delito será prontamente colocada em liberdade e será informada sobre seus direitos e obrigações, sem necessidade de retorno à carceragem do local onde ocorrem as audiências. (incluído pela Resolução n. 562, de 3.6.2024)</w:t>
      </w:r>
    </w:p>
    <w:p w14:paraId="1158DD3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Art. 8º-B. Finalizada a audiência, será lavrada ata que conterá resumidamente: (incluído pela Resolução n. 562, de 3.6.2024)</w:t>
      </w:r>
    </w:p>
    <w:p w14:paraId="2B0F64EF"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deliberação fundamentada do juiz quanto à legalidade da prisão, cabimento de liberdade provisória com ou sem a imposição de medida cautelar, ou decretação de prisão preventiva com base </w:t>
      </w:r>
      <w:r w:rsidRPr="007051A3">
        <w:rPr>
          <w:rFonts w:ascii="Book Antiqua" w:hAnsi="Book Antiqua"/>
          <w:sz w:val="19"/>
          <w:szCs w:val="19"/>
        </w:rPr>
        <w:lastRenderedPageBreak/>
        <w:t>nas disposições do art. 315, § 2º, do Código de Processo Penal. (incluído pela Resolução n. 562, de 3.6.2024)</w:t>
      </w:r>
    </w:p>
    <w:p w14:paraId="7CD1533D"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II – </w:t>
      </w:r>
      <w:proofErr w:type="gramStart"/>
      <w:r w:rsidRPr="007051A3">
        <w:rPr>
          <w:rFonts w:ascii="Book Antiqua" w:hAnsi="Book Antiqua"/>
          <w:sz w:val="19"/>
          <w:szCs w:val="19"/>
        </w:rPr>
        <w:t>a</w:t>
      </w:r>
      <w:proofErr w:type="gramEnd"/>
      <w:r w:rsidRPr="007051A3">
        <w:rPr>
          <w:rFonts w:ascii="Book Antiqua" w:hAnsi="Book Antiqua"/>
          <w:sz w:val="19"/>
          <w:szCs w:val="19"/>
        </w:rPr>
        <w:t xml:space="preserve"> justificativa para a aplicação particularizada da medida cautelar diversa da prisão imposta e cumulação destas, em sendo o caso; (incluído pela Resolução n. 562, de 3.6.2024)</w:t>
      </w:r>
    </w:p>
    <w:p w14:paraId="3033A228"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III – o relato de tortura ou maus tratos e as providências adotadas; (incluído pela Resolução n. 562, de 3.6.2024)</w:t>
      </w:r>
    </w:p>
    <w:p w14:paraId="12BA5197"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xml:space="preserve">IV – </w:t>
      </w:r>
      <w:proofErr w:type="gramStart"/>
      <w:r w:rsidRPr="007051A3">
        <w:rPr>
          <w:rFonts w:ascii="Book Antiqua" w:hAnsi="Book Antiqua"/>
          <w:sz w:val="19"/>
          <w:szCs w:val="19"/>
        </w:rPr>
        <w:t>encaminhamentos</w:t>
      </w:r>
      <w:proofErr w:type="gramEnd"/>
      <w:r w:rsidRPr="007051A3">
        <w:rPr>
          <w:rFonts w:ascii="Book Antiqua" w:hAnsi="Book Antiqua"/>
          <w:sz w:val="19"/>
          <w:szCs w:val="19"/>
        </w:rPr>
        <w:t xml:space="preserve"> assistenciais, de caráter voluntário, recomendados pelo juiz ou juíza, considerando as indicações da equipe especializada. (incluído pela Resolução n. 562, de 3.6.2024)</w:t>
      </w:r>
    </w:p>
    <w:p w14:paraId="696BE9CB" w14:textId="77777777" w:rsidR="007051A3" w:rsidRP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1º Concluída a audiência de custódia, cópia da sua ata será entregue à pessoa presa, a seu advogado ou advogada constituída ou membro da Defensoria Pública e do Ministério Público, tomando-se a ciência de todos. (incluído pela Resolução n. 562, de 3.6.2024)</w:t>
      </w:r>
    </w:p>
    <w:p w14:paraId="17A1E32B" w14:textId="33502F2F" w:rsidR="007051A3" w:rsidRDefault="007051A3" w:rsidP="007051A3">
      <w:pPr>
        <w:spacing w:before="100" w:beforeAutospacing="1" w:after="100" w:afterAutospacing="1" w:line="240" w:lineRule="auto"/>
        <w:jc w:val="both"/>
        <w:rPr>
          <w:rFonts w:ascii="Book Antiqua" w:hAnsi="Book Antiqua"/>
          <w:sz w:val="19"/>
          <w:szCs w:val="19"/>
        </w:rPr>
      </w:pPr>
      <w:r w:rsidRPr="007051A3">
        <w:rPr>
          <w:rFonts w:ascii="Book Antiqua" w:hAnsi="Book Antiqua"/>
          <w:sz w:val="19"/>
          <w:szCs w:val="19"/>
        </w:rPr>
        <w:t>§ 2º Proferida a decisão que resultar no relaxamento da prisão em flagrante, na concessão da liberdade provisória com ou sem a imposição de medida cautelar, ou quando determinado o imediato arquivamento do inquérito, será obrigatoriamente expedido o alvará de soltura no BNMP 3.0, nos termos da Resolução CNJ nº 417/2021. (incluído pela Resolução n. 562, de 3.6.2024)</w:t>
      </w:r>
    </w:p>
    <w:p w14:paraId="2FF4255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Art. 9º A aplicação de medidas cautelares diversas da prisão previstas no art. 319 do CPP deverá compreender a avaliação da real adequação e necessidade das medidas, com estipulação de prazos para seu cumprimento e para a reavaliação de sua manutenção, </w:t>
      </w:r>
      <w:proofErr w:type="spellStart"/>
      <w:r w:rsidRPr="000B3A5C">
        <w:rPr>
          <w:rFonts w:ascii="Book Antiqua" w:hAnsi="Book Antiqua"/>
          <w:sz w:val="19"/>
          <w:szCs w:val="19"/>
        </w:rPr>
        <w:t>observandose</w:t>
      </w:r>
      <w:proofErr w:type="spellEnd"/>
      <w:r w:rsidRPr="000B3A5C">
        <w:rPr>
          <w:rFonts w:ascii="Book Antiqua" w:hAnsi="Book Antiqua"/>
          <w:sz w:val="19"/>
          <w:szCs w:val="19"/>
        </w:rPr>
        <w:t xml:space="preserve"> o Protocolo I desta Resolução.</w:t>
      </w:r>
    </w:p>
    <w:p w14:paraId="444A192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1º O acompanhamento das medidas cautelares diversas da prisão determinadas judicialmente ficará a cargo dos serviços de acompanhamento de alternativas penais, denominados Centrais Integradas de Alternativas Penais, estruturados preferencialmente no âmbito do Poder Executivo estadual, contando com equipes multidisciplinares, responsáveis, ainda, pela realização dos encaminhamentos necessários à Rede de Atenção à Saúde do Sistema Único de Saúde (SUS) e à rede de assistência social do Sistema Único de Assistência Social (SUAS), bem como a outras políticas e programas ofertados pelo Poder Público, sendo os resultados do atendimento e do acompanhamento comunicados regularmente ao juízo ao qual for distribuído o auto de prisão em flagrante após a realização da audiência de custódia.</w:t>
      </w:r>
    </w:p>
    <w:p w14:paraId="69B2F79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2º Identificadas demandas abrangidas por políticas de proteção ou de inclusão social implementadas pelo Poder Público, caberá ao juiz encaminhar a pessoa presa em flagrante delito ao serviço de acompanhamento de alternativas penais, ao qual cabe a articulação com a rede de proteção social e a identificação das políticas e dos programas adequados a cada caso ou, nas Comarcas em que inexistirem serviços de acompanhamento de alternativas penais, indicar o encaminhamento direto às políticas de proteção ou inclusão social existentes, sensibilizando a pessoa presa em flagrante delito para o comparecimento de forma não obrigatória.</w:t>
      </w:r>
    </w:p>
    <w:p w14:paraId="11D1CF60" w14:textId="77777777"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3° O juiz deve buscar garantir às pessoas presas em flagrante delito o direito à atenção médica e psicossocial eventualmente necessária, resguardada a natureza voluntária desses serviços, a partir do encaminhamento ao serviço de acompanhamento de alternativas penais, não sendo cabível a aplicação de medidas cautelares para tratamento ou internação compulsória de pessoas autuadas em flagrante que apresentem quadro de transtorno mental ou de dependência química, em desconformidade com o previsto no art. 4º da Lei 10.216, de 6 de abril de 2001, e no art. 319, inciso VII, do CPP.</w:t>
      </w:r>
    </w:p>
    <w:p w14:paraId="0EE96886"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4º A decisão judicial sobre a imposição ou não de medida cautelar diversa da prisão, assim como sobre aquela a ser aplicada, poderá contar com o apoio de atendimento à pessoa custodiada por equipe especializada em proteção social (Serviço de Atendimento à Pessoa Custodiada), realizado antes da audiência, que elaborará relatório técnico de atendimento contendo informações sobre as condições sociais e de saúde da pessoa presa, bem como recomendações dos possíveis encaminhamentos à rede pública de proteção social, conforme o caso. (incluído pela Resolução n. 562, de 3.6.2024)</w:t>
      </w:r>
    </w:p>
    <w:p w14:paraId="71C78AEF"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lastRenderedPageBreak/>
        <w:t>§ 5º Uma vez concedida a liberdade provisória com ou sem alguma medida cautelar, a pessoa liberada poderá passar por atendimento técnico logo após a audiência de custódia para orientação do acompanhamento previsto no § 1º. (incluído pela Resolução n. 562, de 3.6.2024)</w:t>
      </w:r>
    </w:p>
    <w:p w14:paraId="4EC43604" w14:textId="56D04BB3" w:rsidR="00BA4B3E" w:rsidRPr="000B3A5C"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6º O atendimento técnico deverá observar o disposto no art. 8º, V, no que tange à não utilização de algemas ou instrumentos de contenção. (incluído pela Resolução n. 562, de 3.6.2024)</w:t>
      </w:r>
    </w:p>
    <w:p w14:paraId="390D5617" w14:textId="68BEF6A2" w:rsidR="0002008A" w:rsidRPr="00C213EC" w:rsidRDefault="0002008A" w:rsidP="00C42E23">
      <w:pPr>
        <w:spacing w:before="100" w:beforeAutospacing="1" w:after="100" w:afterAutospacing="1" w:line="240" w:lineRule="auto"/>
        <w:jc w:val="both"/>
        <w:rPr>
          <w:rFonts w:ascii="Book Antiqua" w:hAnsi="Book Antiqua"/>
          <w:sz w:val="18"/>
          <w:szCs w:val="18"/>
        </w:rPr>
      </w:pPr>
      <w:r w:rsidRPr="000B3A5C">
        <w:rPr>
          <w:rFonts w:ascii="Book Antiqua" w:hAnsi="Book Antiqua"/>
          <w:b/>
          <w:sz w:val="19"/>
          <w:szCs w:val="19"/>
          <w:highlight w:val="magenta"/>
        </w:rPr>
        <w:t>Art. 10</w:t>
      </w:r>
      <w:r w:rsidRPr="000B3A5C">
        <w:rPr>
          <w:rFonts w:ascii="Book Antiqua" w:hAnsi="Book Antiqua"/>
          <w:sz w:val="19"/>
          <w:szCs w:val="19"/>
        </w:rPr>
        <w:t xml:space="preserve">. A </w:t>
      </w:r>
      <w:r w:rsidRPr="000B3A5C">
        <w:rPr>
          <w:rFonts w:ascii="Book Antiqua" w:hAnsi="Book Antiqua"/>
          <w:b/>
          <w:caps/>
          <w:sz w:val="19"/>
          <w:szCs w:val="19"/>
          <w:shd w:val="clear" w:color="auto" w:fill="F7CAAC" w:themeFill="accent2" w:themeFillTint="66"/>
        </w:rPr>
        <w:t>aplicação da medida cautelar diversa da prisão</w:t>
      </w:r>
      <w:r w:rsidRPr="000B3A5C">
        <w:rPr>
          <w:rFonts w:ascii="Book Antiqua" w:hAnsi="Book Antiqua"/>
          <w:sz w:val="19"/>
          <w:szCs w:val="19"/>
        </w:rPr>
        <w:t xml:space="preserve"> </w:t>
      </w:r>
      <w:r w:rsidRPr="000B3A5C">
        <w:rPr>
          <w:rFonts w:ascii="Book Antiqua" w:hAnsi="Book Antiqua"/>
          <w:b/>
          <w:sz w:val="19"/>
          <w:szCs w:val="19"/>
          <w:highlight w:val="yellow"/>
        </w:rPr>
        <w:t>prevista no art. 319, inciso IX, do Código de Processo Penal</w:t>
      </w:r>
      <w:r w:rsidRPr="000B3A5C">
        <w:rPr>
          <w:rFonts w:ascii="Book Antiqua" w:hAnsi="Book Antiqua"/>
          <w:sz w:val="19"/>
          <w:szCs w:val="19"/>
        </w:rPr>
        <w:t xml:space="preserve">, </w:t>
      </w:r>
      <w:r w:rsidRPr="000B3A5C">
        <w:rPr>
          <w:rFonts w:ascii="Book Antiqua" w:hAnsi="Book Antiqua"/>
          <w:b/>
          <w:caps/>
          <w:sz w:val="19"/>
          <w:szCs w:val="19"/>
          <w:highlight w:val="green"/>
        </w:rPr>
        <w:t>será</w:t>
      </w:r>
      <w:r w:rsidRPr="000B3A5C">
        <w:rPr>
          <w:rFonts w:ascii="Book Antiqua" w:hAnsi="Book Antiqua"/>
          <w:sz w:val="19"/>
          <w:szCs w:val="19"/>
        </w:rPr>
        <w:t xml:space="preserve"> </w:t>
      </w:r>
      <w:r w:rsidRPr="000B3A5C">
        <w:rPr>
          <w:rFonts w:ascii="Book Antiqua" w:hAnsi="Book Antiqua"/>
          <w:b/>
          <w:caps/>
          <w:sz w:val="19"/>
          <w:szCs w:val="19"/>
          <w:shd w:val="clear" w:color="auto" w:fill="F7CAAC" w:themeFill="accent2" w:themeFillTint="66"/>
        </w:rPr>
        <w:t>excepcional</w:t>
      </w:r>
      <w:r w:rsidRPr="000B3A5C">
        <w:rPr>
          <w:rFonts w:ascii="Book Antiqua" w:hAnsi="Book Antiqua"/>
          <w:sz w:val="19"/>
          <w:szCs w:val="19"/>
        </w:rPr>
        <w:t xml:space="preserve"> e </w:t>
      </w:r>
      <w:r w:rsidRPr="000B3A5C">
        <w:rPr>
          <w:rFonts w:ascii="Book Antiqua" w:hAnsi="Book Antiqua"/>
          <w:b/>
          <w:caps/>
          <w:sz w:val="19"/>
          <w:szCs w:val="19"/>
          <w:highlight w:val="green"/>
        </w:rPr>
        <w:t>determinada</w:t>
      </w:r>
      <w:r w:rsidRPr="000B3A5C">
        <w:rPr>
          <w:rFonts w:ascii="Book Antiqua" w:hAnsi="Book Antiqua"/>
          <w:sz w:val="19"/>
          <w:szCs w:val="19"/>
        </w:rPr>
        <w:t xml:space="preserve"> </w:t>
      </w:r>
      <w:r w:rsidRPr="000B3A5C">
        <w:rPr>
          <w:rFonts w:ascii="Book Antiqua" w:hAnsi="Book Antiqua"/>
          <w:b/>
          <w:sz w:val="19"/>
          <w:szCs w:val="19"/>
          <w:highlight w:val="yellow"/>
        </w:rPr>
        <w:t>apenas quando</w:t>
      </w:r>
      <w:r w:rsidRPr="000B3A5C">
        <w:rPr>
          <w:rFonts w:ascii="Book Antiqua" w:hAnsi="Book Antiqua"/>
          <w:sz w:val="19"/>
          <w:szCs w:val="19"/>
        </w:rPr>
        <w:t xml:space="preserve"> </w:t>
      </w:r>
      <w:r w:rsidRPr="000B3A5C">
        <w:rPr>
          <w:rFonts w:ascii="Book Antiqua" w:hAnsi="Book Antiqua"/>
          <w:b/>
          <w:sz w:val="19"/>
          <w:szCs w:val="19"/>
          <w:highlight w:val="cyan"/>
        </w:rPr>
        <w:t>demonstrada a impossibilidade de concessão da liberdade provisória sem cautelar</w:t>
      </w:r>
      <w:r w:rsidRPr="000B3A5C">
        <w:rPr>
          <w:rFonts w:ascii="Book Antiqua" w:hAnsi="Book Antiqua"/>
          <w:sz w:val="19"/>
          <w:szCs w:val="19"/>
        </w:rPr>
        <w:t xml:space="preserve"> ou </w:t>
      </w:r>
      <w:r w:rsidRPr="000B3A5C">
        <w:rPr>
          <w:rFonts w:ascii="Book Antiqua" w:hAnsi="Book Antiqua"/>
          <w:b/>
          <w:sz w:val="19"/>
          <w:szCs w:val="19"/>
          <w:highlight w:val="cyan"/>
        </w:rPr>
        <w:t>de aplicação de outra medida cautelar menos gravosa</w:t>
      </w:r>
      <w:r w:rsidRPr="000B3A5C">
        <w:rPr>
          <w:rFonts w:ascii="Book Antiqua" w:hAnsi="Book Antiqua"/>
          <w:sz w:val="19"/>
          <w:szCs w:val="19"/>
        </w:rPr>
        <w:t>, sujeitando-se à reavaliação periódica quanto à necessidade e adequação de sua manutenção, sendo destinada exclusivamente a pessoas presas em flagrante delito por crimes dolosos puníveis com pena privativa de liberdade máxima superior a 4 (quatro) anos ou condenadas por outro crime doloso, em sentença transitada em julgado, ressalvado o disposto no inciso I do caput do art. 64 do Código Penal, bem como pessoas em cumprimento de medidas protetivas de urgência acusadas por crimes que envolvam violência doméstica e familiar contra a mulher, criança, adolescente, idoso, enfermo ou pessoa com deficiência, quando não couber outra medida menos gravosa</w:t>
      </w:r>
      <w:r w:rsidRPr="00C213EC">
        <w:rPr>
          <w:rFonts w:ascii="Book Antiqua" w:hAnsi="Book Antiqua"/>
          <w:sz w:val="16"/>
          <w:szCs w:val="16"/>
        </w:rPr>
        <w:t>.</w:t>
      </w:r>
      <w:r w:rsidR="00C42E23" w:rsidRPr="00C213EC">
        <w:rPr>
          <w:rFonts w:ascii="Book Antiqua" w:hAnsi="Book Antiqua"/>
          <w:sz w:val="16"/>
          <w:szCs w:val="16"/>
        </w:rPr>
        <w:t xml:space="preserve"> </w:t>
      </w:r>
      <w:r w:rsidR="00C42E23" w:rsidRPr="00C213EC">
        <w:rPr>
          <w:rFonts w:ascii="Book Antiqua" w:eastAsia="Times New Roman" w:hAnsi="Book Antiqua" w:cs="Times New Roman"/>
          <w:b/>
          <w:color w:val="FF0000"/>
          <w:sz w:val="16"/>
          <w:szCs w:val="16"/>
          <w:u w:val="single"/>
          <w:lang w:val="en-US" w:eastAsia="pt-BR"/>
        </w:rPr>
        <w:t>(MPMG-2017)</w:t>
      </w:r>
    </w:p>
    <w:p w14:paraId="4592EC95" w14:textId="5DFA47E6" w:rsidR="00BA4B3E" w:rsidRDefault="00BA4B3E" w:rsidP="00C42E23">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Parágrafo único. A aplicação de medida de monitoramento eletrônico observará o disposto na Resolução CNJ nº 412/2021. (redação dada pela Resolução n. 562, de 3.6.2024)</w:t>
      </w:r>
    </w:p>
    <w:p w14:paraId="2752E7F4" w14:textId="428493DC" w:rsidR="0002008A" w:rsidRPr="00D21FB8" w:rsidRDefault="0002008A" w:rsidP="00C42E23">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494367">
        <w:rPr>
          <w:rFonts w:ascii="Book Antiqua" w:hAnsi="Book Antiqua"/>
          <w:b/>
          <w:bCs/>
          <w:sz w:val="19"/>
          <w:szCs w:val="19"/>
          <w:highlight w:val="magenta"/>
        </w:rPr>
        <w:t>Art. 11</w:t>
      </w:r>
      <w:r w:rsidRPr="00494367">
        <w:rPr>
          <w:rFonts w:ascii="Book Antiqua" w:hAnsi="Book Antiqua"/>
          <w:b/>
          <w:bCs/>
          <w:sz w:val="19"/>
          <w:szCs w:val="19"/>
        </w:rPr>
        <w:t>. Havendo declaração da pessoa presa em flagrante delito de que foi vítima de tortura e maus tratos ou entendimento da autoridade judicial de que há indícios da prática de tortura, será determinado o registro das informações, adotadas as providências cabíveis para a investigação da denúncia e preservação da segurança física e psicológica da vítima, que será encaminhada para atendimento médico e psicossocial especializado</w:t>
      </w:r>
      <w:r w:rsidRPr="000B3A5C">
        <w:rPr>
          <w:rFonts w:ascii="Book Antiqua" w:hAnsi="Book Antiqua"/>
          <w:sz w:val="19"/>
          <w:szCs w:val="19"/>
        </w:rPr>
        <w:t>.</w:t>
      </w:r>
      <w:r w:rsidR="00494367">
        <w:rPr>
          <w:rFonts w:ascii="Book Antiqua" w:hAnsi="Book Antiqua"/>
          <w:sz w:val="19"/>
          <w:szCs w:val="19"/>
        </w:rPr>
        <w:t xml:space="preserve"> </w:t>
      </w:r>
      <w:r w:rsidR="00494367">
        <w:rPr>
          <w:rFonts w:ascii="Book Antiqua" w:eastAsia="Times New Roman" w:hAnsi="Book Antiqua" w:cs="Times New Roman"/>
          <w:b/>
          <w:bCs/>
          <w:color w:val="FF0000"/>
          <w:sz w:val="16"/>
          <w:szCs w:val="16"/>
          <w:u w:val="single"/>
          <w:lang w:eastAsia="pt-BR"/>
        </w:rPr>
        <w:t>(MPBA-2023)</w:t>
      </w:r>
      <w:r w:rsidR="00D21FB8">
        <w:rPr>
          <w:rFonts w:ascii="Book Antiqua" w:eastAsia="Times New Roman" w:hAnsi="Book Antiqua" w:cs="Times New Roman"/>
          <w:b/>
          <w:bCs/>
          <w:color w:val="FF0000"/>
          <w:sz w:val="16"/>
          <w:szCs w:val="16"/>
          <w:lang w:eastAsia="pt-BR"/>
        </w:rPr>
        <w:t xml:space="preserve"> </w:t>
      </w:r>
      <w:r w:rsidR="00D21FB8">
        <w:rPr>
          <w:rFonts w:ascii="Book Antiqua" w:eastAsia="Times New Roman" w:hAnsi="Book Antiqua" w:cs="Times New Roman"/>
          <w:b/>
          <w:bCs/>
          <w:color w:val="FF0000"/>
          <w:sz w:val="16"/>
          <w:szCs w:val="16"/>
          <w:u w:val="single"/>
          <w:lang w:eastAsia="pt-BR"/>
        </w:rPr>
        <w:t>(ENAM/2º-2024)</w:t>
      </w:r>
    </w:p>
    <w:tbl>
      <w:tblPr>
        <w:tblStyle w:val="Tabelacomgrade"/>
        <w:tblW w:w="0" w:type="auto"/>
        <w:shd w:val="clear" w:color="auto" w:fill="CCFFFF"/>
        <w:tblLook w:val="04A0" w:firstRow="1" w:lastRow="0" w:firstColumn="1" w:lastColumn="0" w:noHBand="0" w:noVBand="1"/>
      </w:tblPr>
      <w:tblGrid>
        <w:gridCol w:w="8494"/>
      </w:tblGrid>
      <w:tr w:rsidR="00494367" w:rsidRPr="000B3A5C" w14:paraId="1F25939D" w14:textId="77777777" w:rsidTr="00C6662B">
        <w:tc>
          <w:tcPr>
            <w:tcW w:w="8494" w:type="dxa"/>
            <w:shd w:val="clear" w:color="auto" w:fill="CCFFFF"/>
          </w:tcPr>
          <w:p w14:paraId="79B7E6FE" w14:textId="3C7FEB89" w:rsidR="00494367" w:rsidRPr="000B3A5C" w:rsidRDefault="00494367" w:rsidP="00494367">
            <w:pPr>
              <w:spacing w:before="100" w:beforeAutospacing="1" w:after="100" w:afterAutospacing="1"/>
              <w:jc w:val="both"/>
              <w:rPr>
                <w:rFonts w:ascii="Book Antiqua" w:hAnsi="Book Antiqua"/>
                <w:b/>
                <w:sz w:val="19"/>
                <w:szCs w:val="19"/>
              </w:rPr>
            </w:pPr>
            <w:r w:rsidRPr="000B3A5C">
              <w:rPr>
                <w:rFonts w:ascii="Book Antiqua" w:hAnsi="Book Antiqua"/>
                <w:b/>
                <w:sz w:val="19"/>
                <w:szCs w:val="19"/>
              </w:rPr>
              <w:t>(</w:t>
            </w:r>
            <w:r>
              <w:rPr>
                <w:rFonts w:ascii="Book Antiqua" w:hAnsi="Book Antiqua"/>
                <w:b/>
                <w:sz w:val="19"/>
                <w:szCs w:val="19"/>
                <w:highlight w:val="yellow"/>
              </w:rPr>
              <w:t>MPBA-2023-CESPE</w:t>
            </w:r>
            <w:r w:rsidRPr="000B3A5C">
              <w:rPr>
                <w:rFonts w:ascii="Book Antiqua" w:hAnsi="Book Antiqua"/>
                <w:b/>
                <w:sz w:val="19"/>
                <w:szCs w:val="19"/>
              </w:rPr>
              <w:t>)</w:t>
            </w:r>
            <w:r w:rsidRPr="000B3A5C">
              <w:rPr>
                <w:rFonts w:ascii="Book Antiqua" w:hAnsi="Book Antiqua"/>
                <w:sz w:val="19"/>
                <w:szCs w:val="19"/>
              </w:rPr>
              <w:t xml:space="preserve">: </w:t>
            </w:r>
            <w:r w:rsidRPr="00494367">
              <w:rPr>
                <w:rFonts w:ascii="Book Antiqua" w:hAnsi="Book Antiqua"/>
                <w:sz w:val="19"/>
                <w:szCs w:val="19"/>
              </w:rPr>
              <w:t xml:space="preserve">Quanto à audiência de custódia, assinale a opção correta de acordo com a Resolução </w:t>
            </w:r>
            <w:proofErr w:type="spellStart"/>
            <w:r w:rsidRPr="00494367">
              <w:rPr>
                <w:rFonts w:ascii="Book Antiqua" w:hAnsi="Book Antiqua"/>
                <w:sz w:val="19"/>
                <w:szCs w:val="19"/>
              </w:rPr>
              <w:t>n.°</w:t>
            </w:r>
            <w:proofErr w:type="spellEnd"/>
            <w:r w:rsidRPr="00494367">
              <w:rPr>
                <w:rFonts w:ascii="Book Antiqua" w:hAnsi="Book Antiqua"/>
                <w:sz w:val="19"/>
                <w:szCs w:val="19"/>
              </w:rPr>
              <w:t xml:space="preserve"> 213/15 do CNJ</w:t>
            </w:r>
            <w:r>
              <w:rPr>
                <w:rFonts w:ascii="Book Antiqua" w:hAnsi="Book Antiqua"/>
                <w:sz w:val="19"/>
                <w:szCs w:val="19"/>
              </w:rPr>
              <w:t>:</w:t>
            </w:r>
            <w:r w:rsidRPr="000B3A5C">
              <w:rPr>
                <w:rFonts w:ascii="Book Antiqua" w:hAnsi="Book Antiqua"/>
                <w:sz w:val="19"/>
                <w:szCs w:val="19"/>
              </w:rPr>
              <w:t xml:space="preserve"> </w:t>
            </w:r>
            <w:r w:rsidRPr="00494367">
              <w:rPr>
                <w:rFonts w:ascii="Book Antiqua" w:hAnsi="Book Antiqua"/>
                <w:sz w:val="19"/>
                <w:szCs w:val="19"/>
              </w:rPr>
              <w:t>Se a autoridade judicial entender que há indícios da prática de tortura, deverá ser determinado o registro das informações, adotando-se as providências cabíveis para a investigação da denúncia e preservação da segurança física e psicológica da vítima, que será encaminhada para atendimento médico e psicossocial especializado.</w:t>
            </w:r>
            <w:r w:rsidRPr="000B3A5C">
              <w:rPr>
                <w:rFonts w:ascii="Book Antiqua" w:hAnsi="Book Antiqua"/>
                <w:sz w:val="19"/>
                <w:szCs w:val="19"/>
              </w:rPr>
              <w:t xml:space="preserve"> </w:t>
            </w:r>
            <w:r w:rsidRPr="000B3A5C">
              <w:rPr>
                <w:rFonts w:ascii="Book Antiqua" w:hAnsi="Book Antiqua"/>
                <w:b/>
                <w:sz w:val="19"/>
                <w:szCs w:val="19"/>
              </w:rPr>
              <w:t xml:space="preserve">BL: art. </w:t>
            </w:r>
            <w:r>
              <w:rPr>
                <w:rFonts w:ascii="Book Antiqua" w:hAnsi="Book Antiqua"/>
                <w:b/>
                <w:sz w:val="19"/>
                <w:szCs w:val="19"/>
              </w:rPr>
              <w:t xml:space="preserve">11, </w:t>
            </w:r>
            <w:r>
              <w:rPr>
                <w:rFonts w:ascii="Book Antiqua" w:hAnsi="Book Antiqua"/>
                <w:b/>
                <w:i/>
                <w:iCs/>
                <w:sz w:val="19"/>
                <w:szCs w:val="19"/>
              </w:rPr>
              <w:t>caput</w:t>
            </w:r>
            <w:r w:rsidRPr="000B3A5C">
              <w:rPr>
                <w:rFonts w:ascii="Book Antiqua" w:hAnsi="Book Antiqua"/>
                <w:b/>
                <w:sz w:val="19"/>
                <w:szCs w:val="19"/>
              </w:rPr>
              <w:t xml:space="preserve"> da Res. 213/15, do CNJ.</w:t>
            </w:r>
          </w:p>
        </w:tc>
      </w:tr>
    </w:tbl>
    <w:p w14:paraId="32993C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1º Com o objetivo de assegurar o efetivo combate à tortura e maus tratos, a autoridade jurídica e funcionários deverão observar o Protocolo II desta Resolução com vistas a garantir condições adequadas para a oitiva e coleta idônea de depoimento das pessoas presas em flagrante delito na audiência de custódia, a adoção de procedimentos durante o depoimento que permitam a apuração de indícios de práticas de tortura e de providências cabíveis em caso de identificação de práticas de tortura.</w:t>
      </w:r>
    </w:p>
    <w:p w14:paraId="3BBF6BE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2º O funcionário responsável pela coleta de dados da pessoa presa em flagrante delito deve cuidar para que sejam coletadas as seguintes informações, respeitando a vontade da vítima:</w:t>
      </w:r>
    </w:p>
    <w:p w14:paraId="399B636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 - </w:t>
      </w:r>
      <w:proofErr w:type="gramStart"/>
      <w:r w:rsidRPr="000B3A5C">
        <w:rPr>
          <w:rFonts w:ascii="Book Antiqua" w:hAnsi="Book Antiqua"/>
          <w:sz w:val="19"/>
          <w:szCs w:val="19"/>
        </w:rPr>
        <w:t>identificação</w:t>
      </w:r>
      <w:proofErr w:type="gramEnd"/>
      <w:r w:rsidRPr="000B3A5C">
        <w:rPr>
          <w:rFonts w:ascii="Book Antiqua" w:hAnsi="Book Antiqua"/>
          <w:sz w:val="19"/>
          <w:szCs w:val="19"/>
        </w:rPr>
        <w:t xml:space="preserve"> dos agressores, indicando sua instituição e sua unidade de atuação;</w:t>
      </w:r>
    </w:p>
    <w:p w14:paraId="1941EC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II - </w:t>
      </w:r>
      <w:proofErr w:type="gramStart"/>
      <w:r w:rsidRPr="000B3A5C">
        <w:rPr>
          <w:rFonts w:ascii="Book Antiqua" w:hAnsi="Book Antiqua"/>
          <w:sz w:val="19"/>
          <w:szCs w:val="19"/>
        </w:rPr>
        <w:t>locais</w:t>
      </w:r>
      <w:proofErr w:type="gramEnd"/>
      <w:r w:rsidRPr="000B3A5C">
        <w:rPr>
          <w:rFonts w:ascii="Book Antiqua" w:hAnsi="Book Antiqua"/>
          <w:sz w:val="19"/>
          <w:szCs w:val="19"/>
        </w:rPr>
        <w:t>, datas e horários aproximados dos fatos;</w:t>
      </w:r>
    </w:p>
    <w:p w14:paraId="1112CCB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III - descrição dos fatos, inclusive dos métodos adotados pelo agressor e a indicação das lesões sofridas;</w:t>
      </w:r>
    </w:p>
    <w:p w14:paraId="19446FA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IV - </w:t>
      </w:r>
      <w:proofErr w:type="gramStart"/>
      <w:r w:rsidRPr="000B3A5C">
        <w:rPr>
          <w:rFonts w:ascii="Book Antiqua" w:hAnsi="Book Antiqua"/>
          <w:sz w:val="19"/>
          <w:szCs w:val="19"/>
        </w:rPr>
        <w:t>identificação</w:t>
      </w:r>
      <w:proofErr w:type="gramEnd"/>
      <w:r w:rsidRPr="000B3A5C">
        <w:rPr>
          <w:rFonts w:ascii="Book Antiqua" w:hAnsi="Book Antiqua"/>
          <w:sz w:val="19"/>
          <w:szCs w:val="19"/>
        </w:rPr>
        <w:t xml:space="preserve"> de testemunhas que possam colaborar para a averiguação dos fatos;</w:t>
      </w:r>
    </w:p>
    <w:p w14:paraId="717C5E7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V - </w:t>
      </w:r>
      <w:proofErr w:type="gramStart"/>
      <w:r w:rsidRPr="000B3A5C">
        <w:rPr>
          <w:rFonts w:ascii="Book Antiqua" w:hAnsi="Book Antiqua"/>
          <w:sz w:val="19"/>
          <w:szCs w:val="19"/>
        </w:rPr>
        <w:t>verificação</w:t>
      </w:r>
      <w:proofErr w:type="gramEnd"/>
      <w:r w:rsidRPr="000B3A5C">
        <w:rPr>
          <w:rFonts w:ascii="Book Antiqua" w:hAnsi="Book Antiqua"/>
          <w:sz w:val="19"/>
          <w:szCs w:val="19"/>
        </w:rPr>
        <w:t xml:space="preserve"> de registros das lesões sofridas pela vítima;</w:t>
      </w:r>
    </w:p>
    <w:p w14:paraId="4B3FE9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VI - </w:t>
      </w:r>
      <w:proofErr w:type="gramStart"/>
      <w:r w:rsidRPr="000B3A5C">
        <w:rPr>
          <w:rFonts w:ascii="Book Antiqua" w:hAnsi="Book Antiqua"/>
          <w:sz w:val="19"/>
          <w:szCs w:val="19"/>
        </w:rPr>
        <w:t>existência</w:t>
      </w:r>
      <w:proofErr w:type="gramEnd"/>
      <w:r w:rsidRPr="000B3A5C">
        <w:rPr>
          <w:rFonts w:ascii="Book Antiqua" w:hAnsi="Book Antiqua"/>
          <w:sz w:val="19"/>
          <w:szCs w:val="19"/>
        </w:rPr>
        <w:t xml:space="preserve"> de registro que indique prática de tortura ou maus tratos no laudo elaborado pelos peritos do Instituto Médico Legal;</w:t>
      </w:r>
    </w:p>
    <w:p w14:paraId="6DF8FB5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VII - registro dos encaminhamentos dados pela autoridade judicial para requisitar investigação dos relatos;</w:t>
      </w:r>
    </w:p>
    <w:p w14:paraId="03D0313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VIII - registro da aplicação de medida protetiva ao autuado pela autoridade judicial, caso a natureza ou gravidade dos fatos relatados coloque em risco a vida ou a segurança da pessoa presa em flagrante delito, de seus familiares ou de testemunhas.</w:t>
      </w:r>
    </w:p>
    <w:p w14:paraId="64FC224E" w14:textId="77777777"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3º Os registros das lesões poderão ser feitos em modo fotográfico ou audiovisual, respeitando a intimidade e consignando o consentimento da vítima.</w:t>
      </w:r>
    </w:p>
    <w:p w14:paraId="0DAEB8CB" w14:textId="36A13F74" w:rsidR="00BA4B3E" w:rsidRPr="000B3A5C" w:rsidRDefault="00BA4B3E" w:rsidP="00C42E23">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xml:space="preserve">§ 3º-A. O juiz, ao identificar sinais de potencial interesse para a produção da prova pericial sobre o relato de tortura ou maus tratos, no vestuário ou no corpo da pessoa presa, determinará imediatamente o isolamento e a coleta dos vestígios pelo estabelecimento que realizará a perícia, consoante o disposto nos </w:t>
      </w:r>
      <w:proofErr w:type="spellStart"/>
      <w:r w:rsidRPr="00BA4B3E">
        <w:rPr>
          <w:rFonts w:ascii="Book Antiqua" w:hAnsi="Book Antiqua"/>
          <w:sz w:val="19"/>
          <w:szCs w:val="19"/>
        </w:rPr>
        <w:t>arts</w:t>
      </w:r>
      <w:proofErr w:type="spellEnd"/>
      <w:r w:rsidRPr="00BA4B3E">
        <w:rPr>
          <w:rFonts w:ascii="Book Antiqua" w:hAnsi="Book Antiqua"/>
          <w:sz w:val="19"/>
          <w:szCs w:val="19"/>
        </w:rPr>
        <w:t>. 158-A e seguintes, do Código de Processo Penal. (incluído pela Resolução n. 562, de 3.6.2024)</w:t>
      </w:r>
    </w:p>
    <w:p w14:paraId="37BCEDB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4º Averiguada pela autoridade judicial a necessidade da imposição de alguma medida de proteção à pessoa presa em flagrante delito, em razão da comunicação ou denúncia da prática de tortura e maus tratos, será assegurada, primordialmente, a integridade pessoal do denunciante, das testemunhas, do funcionário que constatou a ocorrência da prática abusiva e de seus familiares, e, se pertinente, o sigilo das informações.</w:t>
      </w:r>
    </w:p>
    <w:p w14:paraId="521100C0"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5º Os laudos periciais solicitados e as informações sobre as providências adotadas deverão ser remetidos, nos casos de prisão em flagrante, diretamente ao juiz das garantias, e, nos casos de prisão por ordem judicial, ao juiz que tiver expedido o mandado de prisão. (redação dada pela Resolução n. 562, de 3.6.2024)</w:t>
      </w:r>
    </w:p>
    <w:p w14:paraId="2700C9D1"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6º Os encaminhamentos dados pela autoridade judicial e as informações deles resultantes deverão ser comunicadas ao juiz competente para os próximos atos jurisdicionais e remetidas ao Grupo de Monitoramento e Fiscalização do Sistema Penitenciário e Sistema de Execução de Medidas Socioeducativa (GMF) do tribunal. (incluído pela Resolução n. 562, de 3.6.2024)</w:t>
      </w:r>
    </w:p>
    <w:p w14:paraId="5F9ADC8F" w14:textId="31C33616" w:rsid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7° O juiz das garantias ou o juiz competente poderá determinar, a qualquer tempo, a condução à sua presença da pessoa presa que tenha relatado na audiência de custódia tortura ou maus tratos, como forma de zelar pela observância dos seus direitos. (incluído pela Resolução n. 562, de 3.6.2024)</w:t>
      </w:r>
    </w:p>
    <w:p w14:paraId="611A7552" w14:textId="630C07FA" w:rsidR="0002008A"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12. O termo da audiência de custódia será apensado ao inquérito ou à ação penal.</w:t>
      </w:r>
    </w:p>
    <w:p w14:paraId="39E309BA"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Art. 13. A audiência de custódia também se realizará, no prazo previsto no art. 1º, em relação às pessoas presas em decorrência de cumprimento de mandado de prisão cautelar ou definitiva, ou de alimentos, aplicando-se, no que couber, os procedimentos previstos nesta Resolução. (redação dada pela Resolução n. 562, de 3.6.2024)</w:t>
      </w:r>
    </w:p>
    <w:p w14:paraId="4D3C08B2"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1º A pessoa presa será imediatamente apresentada à autoridade judicial que determinou a expedição da ordem de prisão ou ao juiz das garantias, segundo dispuser a lei de organização judiciária local. (redação dada pela Resolução n. 562, de 3.6.2024)</w:t>
      </w:r>
    </w:p>
    <w:p w14:paraId="42FA2D17" w14:textId="77777777" w:rsidR="00BA4B3E" w:rsidRPr="00BA4B3E"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2º Na hipótese em que a prisão for efetivada em localidade fora da jurisdição da autoridade judicial que a decretou, a pessoa será imediatamente apresentada ao juiz ou juíza competente do lugar em que ocorreu a prisão ou ao juiz das garantias do local da custódia, para a realização da audiência. (redação dada pela Resolução n. 562, de 3.6.2024)</w:t>
      </w:r>
    </w:p>
    <w:p w14:paraId="4E66EE2D" w14:textId="366D122B" w:rsidR="00BA4B3E" w:rsidRPr="000B3A5C" w:rsidRDefault="00BA4B3E" w:rsidP="00BA4B3E">
      <w:pPr>
        <w:spacing w:before="100" w:beforeAutospacing="1" w:after="100" w:afterAutospacing="1" w:line="240" w:lineRule="auto"/>
        <w:jc w:val="both"/>
        <w:rPr>
          <w:rFonts w:ascii="Book Antiqua" w:hAnsi="Book Antiqua"/>
          <w:sz w:val="19"/>
          <w:szCs w:val="19"/>
        </w:rPr>
      </w:pPr>
      <w:r w:rsidRPr="00BA4B3E">
        <w:rPr>
          <w:rFonts w:ascii="Book Antiqua" w:hAnsi="Book Antiqua"/>
          <w:sz w:val="19"/>
          <w:szCs w:val="19"/>
        </w:rPr>
        <w:t>§ 3º Na audiência de custódia realizada em razão de cumprimento de mandado, o juiz competente verificará a legalidade do ato da prisão, a ocorrência de tortura e maus tratos, bem como o escoamento do prazo prescricional da pretensão punitiva estatal. § 4º Os mandados de prisão deverão conter, preferencialmente, seu termo final de validade, vinculado ao prazo prescricional, e outras cautelas que entenderem necessárias, consoante previsto na Recomendação CNJ nº 20/2008. (redação dada pela Resolução n. 562, de 3.6.2024)</w:t>
      </w:r>
    </w:p>
    <w:p w14:paraId="1D1D6FC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14. Os tribunais expedirão os atos necessários e auxiliarão os juízes no cumprimento desta Resolução, em consideração à realidade local, podendo realizar os convênios e gestões necessárias ao seu pleno cumprimento.</w:t>
      </w:r>
    </w:p>
    <w:p w14:paraId="0D5634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Art. 15. Os Tribunais de Justiça e os Tribunais Regionais Federais terão o prazo de 90 dias, contados a partir da entrada em vigor desta Resolução, para implantar a audiência de custódia no âmbito de suas respectivas jurisdições.</w:t>
      </w:r>
    </w:p>
    <w:p w14:paraId="3F1F91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Parágrafo único. No mesmo prazo será assegurado, às pessoas presas em flagrante antes da implantação da audiência de custódia que não tenham sido apresentadas em outra audiência no curso do processo de conhecimento, a apresentação à autoridade judicial, nos termos desta Resolução.</w:t>
      </w:r>
    </w:p>
    <w:p w14:paraId="39173D0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16. O acompanhamento do cumprimento da presente Resolução contará com o apoio técnico do Departamento de Monitoramento e Fiscalização do Sistema Carcerário e Execução das Medidas Socioeducativas.</w:t>
      </w:r>
    </w:p>
    <w:p w14:paraId="4B8DE70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Art. 17. Esta Resolução entra em vigor a partir de 1º de fevereiro de 2016.</w:t>
      </w:r>
    </w:p>
    <w:p w14:paraId="1DE4C01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BA96C2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DA6C01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Ministro </w:t>
      </w:r>
      <w:r w:rsidRPr="000B3A5C">
        <w:rPr>
          <w:rFonts w:ascii="Book Antiqua" w:hAnsi="Book Antiqua"/>
          <w:b/>
          <w:bCs/>
          <w:sz w:val="19"/>
          <w:szCs w:val="19"/>
        </w:rPr>
        <w:t>Ricardo Lewandowski</w:t>
      </w:r>
    </w:p>
    <w:p w14:paraId="612383D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A85173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PROTOCOLO I </w:t>
      </w:r>
    </w:p>
    <w:p w14:paraId="4ED8392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Procedimentos para a aplicação e o acompanhamento de medidas cautelares </w:t>
      </w:r>
    </w:p>
    <w:p w14:paraId="5814578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diversas da prisão para custodiados apresentados nas audiências de custódia</w:t>
      </w:r>
    </w:p>
    <w:p w14:paraId="1F6F3DF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9A84D9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Este documento tem por objetivo apresentar orientações e diretrizes sobre a aplicação e o acompanhamento de medidas cautelares diversas da prisão para custodiados apresentados nas audiências de custódia.</w:t>
      </w:r>
    </w:p>
    <w:p w14:paraId="18B4C0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9373B7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1. Fundamentos legais e finalidade das medidas cautelares diversas da prisão</w:t>
      </w:r>
    </w:p>
    <w:p w14:paraId="06F0E7D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Lei das Cautelares (Lei 12.403/11) foi instituída com o objetivo de conter o uso excessivo da prisão provisória. Ao ampliar o leque de possibilidades das medidas cautelares, a Lei das Cautelares introduziu no ordenamento jurídico penal modalidades alternativas ao encarceramento provisório.</w:t>
      </w:r>
    </w:p>
    <w:p w14:paraId="62FA47D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 a disseminação das audiências de custódia no Brasil, e diante da apresentação do preso em flagrante a um juiz, é possível calibrar melhor a necessidade da conversão das prisões em flagrante em prisões provisórias, tal como já demonstram as estatísticas dessa prática em todas as Unidades da Federação.</w:t>
      </w:r>
    </w:p>
    <w:p w14:paraId="36A2FA2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Quanto mais demorado é o processo criminal, menor é a chance de que a pessoa tenha garantido o seu direito a uma pena alternativa à prisão.</w:t>
      </w:r>
    </w:p>
    <w:p w14:paraId="25640F2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Também menores são os índices de reincidência quando os réus não são submetidos à experiência de prisionalização.</w:t>
      </w:r>
    </w:p>
    <w:p w14:paraId="0AA602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O cárcere reforça o ciclo da violência ao contribuir para a ruptura dos vínculos familiares e comunitários da pessoa privada de liberdade, que sofre ainda com a estigmatização e as consequentes dificuldades de acesso ao mercado de trabalho, ampliando a situação de marginalização e a chance de ocorrerem novos processos de criminalização.</w:t>
      </w:r>
    </w:p>
    <w:p w14:paraId="1DB0CB6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Apesar desse cenário, o Levantamento Nacional de Informações Penitenciárias (2015), consolidado pelo Departamento Penitenciário Nacional, aponta que 41% da população prisional no país é composta por presos sem condenação, que aguardam privados de liberdade o julgamento de seu processo.</w:t>
      </w:r>
    </w:p>
    <w:p w14:paraId="2278282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esse respeito, pesquisa publicada pelo IPEA (2015), sobre a Aplicação de Penas e Medidas Alternativas, aponta que em 37,2% dos casos em que réus estiveram presos provisoriamente, não houve condenação à prisão ao final do processo, resultando em absolvição ou condenação a penas restritivas de direitos em sua maioria. A pesquisa confirma, no país, diagnósticos de observadores internacionais, quanto "</w:t>
      </w:r>
      <w:r w:rsidRPr="000B3A5C">
        <w:rPr>
          <w:rFonts w:ascii="Book Antiqua" w:hAnsi="Book Antiqua"/>
          <w:i/>
          <w:iCs/>
          <w:sz w:val="19"/>
          <w:szCs w:val="19"/>
        </w:rPr>
        <w:t>ao sistemático, abusivo e desproporcional uso da prisão provisória pelo sistema de justiça</w:t>
      </w:r>
      <w:r w:rsidRPr="000B3A5C">
        <w:rPr>
          <w:rFonts w:ascii="Book Antiqua" w:hAnsi="Book Antiqua"/>
          <w:sz w:val="19"/>
          <w:szCs w:val="19"/>
        </w:rPr>
        <w:t>".</w:t>
      </w:r>
    </w:p>
    <w:p w14:paraId="76AA268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 medidas cautelares devem agregar novos paradigmas a sua imposição, de modo que a adequação da medida se traduza na responsabilização do autuado, assegurando-lhe, ao mesmo tempo, condições de cumprimento dessas modalidades autonomia e liberdade, sem prejuízo do encaminhamento a programas e políticas de proteção e inclusão social já instituídos e disponibilizados pelo poder público.</w:t>
      </w:r>
    </w:p>
    <w:p w14:paraId="7895F81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Nesse sentido, conforme previsto nos Acordos de Cooperação nº 05, nº 06 e nº 07, de 09 de abril de 2015, firmados entre o Conselho Nacional de Justiça e o Ministério da Justiça, as medidas cautelares diversas da prisão aplicadas no âmbito das audiências de custódia serão encaminhadas para acompanhamento em serviços instituídos preferencialmente no âmbito do Poder Executivo estadual, denominados Centrais Integradas de Alternativas Penais ou com outra nomenclatura, bem como às Centrais de Monitoração Eletrônica, em casos específicos. Caberá ao Departamento Penitenciário Nacional, órgão vinculado ao Ministério da Justiça, em parceria com o Conselho Nacional de Justiça, elaborar manuais de gestão dessas práticas, com indicação das metodologias de acompanhamento dessas medidas.</w:t>
      </w:r>
    </w:p>
    <w:p w14:paraId="2C5C6B5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Ainda de acordo com os acordos de cooperação, as medidas cautelares diversas da prisão deverão atentar às seguintes finalidades:</w:t>
      </w:r>
    </w:p>
    <w:p w14:paraId="708EDDB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promoção da autonomia e da cidadania da pessoa submetida à medida;</w:t>
      </w:r>
    </w:p>
    <w:p w14:paraId="33DCB20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o incentivo à participação da comunidade e da vítima na resolução dos conflitos;</w:t>
      </w:r>
    </w:p>
    <w:p w14:paraId="34A5F2B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w:t>
      </w:r>
      <w:proofErr w:type="spellStart"/>
      <w:r w:rsidRPr="000B3A5C">
        <w:rPr>
          <w:rFonts w:ascii="Book Antiqua" w:hAnsi="Book Antiqua"/>
          <w:sz w:val="19"/>
          <w:szCs w:val="19"/>
        </w:rPr>
        <w:t>autoresponsabilização</w:t>
      </w:r>
      <w:proofErr w:type="spellEnd"/>
      <w:r w:rsidRPr="000B3A5C">
        <w:rPr>
          <w:rFonts w:ascii="Book Antiqua" w:hAnsi="Book Antiqua"/>
          <w:sz w:val="19"/>
          <w:szCs w:val="19"/>
        </w:rPr>
        <w:t xml:space="preserve"> e a manutenção do vínculo da pessoa submetida à medida com a comunidade, com a garantia de seus direitos individuais e sociais; e</w:t>
      </w:r>
    </w:p>
    <w:p w14:paraId="5D5DE16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 restauração das relações sociais.</w:t>
      </w:r>
    </w:p>
    <w:p w14:paraId="759BF9D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BCD72E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2. Diretrizes para a aplicação e o acompanhamento das medidas cautelares diversas da prisão </w:t>
      </w:r>
    </w:p>
    <w:p w14:paraId="13BD8C5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De forma a assegurar os fundamentos legais e as finalidades para a aplicação e o acompanhamento das medidas cautelares diversas da prisão, o juiz deverá observar as seguintes </w:t>
      </w:r>
      <w:r w:rsidRPr="000B3A5C">
        <w:rPr>
          <w:rFonts w:ascii="Book Antiqua" w:hAnsi="Book Antiqua"/>
          <w:b/>
          <w:bCs/>
          <w:sz w:val="19"/>
          <w:szCs w:val="19"/>
        </w:rPr>
        <w:t>diretrizes:</w:t>
      </w:r>
    </w:p>
    <w:p w14:paraId="69BDB4A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 Reserva da lei ou da legalidade:</w:t>
      </w:r>
      <w:r w:rsidRPr="000B3A5C">
        <w:rPr>
          <w:rFonts w:ascii="Book Antiqua" w:hAnsi="Book Antiqua"/>
          <w:sz w:val="19"/>
          <w:szCs w:val="19"/>
        </w:rPr>
        <w:t xml:space="preserve"> A aplicação e o acompanhamento das medidas cautelares diversas da prisão devem se ater às hipóteses previstas na legislação, não sendo cabíveis aplicações de medidas restritivas que extrapolem a legalidade.</w:t>
      </w:r>
    </w:p>
    <w:p w14:paraId="2DC85CB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 Subsidiariedade e intervenção penal mínima:</w:t>
      </w:r>
      <w:r w:rsidRPr="000B3A5C">
        <w:rPr>
          <w:rFonts w:ascii="Book Antiqua" w:hAnsi="Book Antiqua"/>
          <w:sz w:val="19"/>
          <w:szCs w:val="19"/>
        </w:rPr>
        <w:t xml:space="preserve"> É preciso limitar a intervenção penal ao mínimo e garantir que o uso da prisão seja recurso residual junto ao sistema penal, privilegiando outras respostas aos problemas e conflitos sociais. As intervenções penais devem se ater às mais graves violações aos direitos humanos e se restringir ao mínimo necessário para fazer cessar a violação, considerando os custos sociais envolvidos na aplicação da prisão provisória ou de medidas cautelares que imponham restrições à liberdade.</w:t>
      </w:r>
    </w:p>
    <w:p w14:paraId="7A99771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 Presunção de inocência:</w:t>
      </w:r>
      <w:r w:rsidRPr="000B3A5C">
        <w:rPr>
          <w:rFonts w:ascii="Book Antiqua" w:hAnsi="Book Antiqua"/>
          <w:sz w:val="19"/>
          <w:szCs w:val="19"/>
        </w:rPr>
        <w:t xml:space="preserve"> A presunção da inocência deve garantir às pessoas o direito à liberdade, à defesa e ao devido processo legal, devendo a prisão preventiva, bem como a aplicação de medidas cautelares diversas da prisão serem aplicadas de forma residual. A concessão da liberdade provisória sem ou com cautelares diversas da prisão é direito e não benefício, devendo sempre ser considerada a </w:t>
      </w:r>
      <w:r w:rsidRPr="000B3A5C">
        <w:rPr>
          <w:rFonts w:ascii="Book Antiqua" w:hAnsi="Book Antiqua"/>
          <w:sz w:val="19"/>
          <w:szCs w:val="19"/>
        </w:rPr>
        <w:lastRenderedPageBreak/>
        <w:t>presunção de inocência das pessoas acusadas. Dessa forma, a regra deve ser a concessão da liberdade provisória sem a aplicação de cautelares, resguardando este direito sobretudo em relação a segmentos da população mais vulneráveis a processos de criminalização e com menor acesso à justiça.</w:t>
      </w:r>
    </w:p>
    <w:p w14:paraId="6C7BEBA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 Dignidade e liberdade:</w:t>
      </w:r>
      <w:r w:rsidRPr="000B3A5C">
        <w:rPr>
          <w:rFonts w:ascii="Book Antiqua" w:hAnsi="Book Antiqua"/>
          <w:sz w:val="19"/>
          <w:szCs w:val="19"/>
        </w:rPr>
        <w:t xml:space="preserve"> A aplicação e o acompanhamento das medidas cautelares diversas da prisão devem primar pela dignidade e liberdade das pessoas. Esta liberdade pressupõe participação ativa das partes na construção das medidas, garantindo a individualização, a reparação, a restauração das relações e a justa medida para todos os envolvidos.</w:t>
      </w:r>
    </w:p>
    <w:p w14:paraId="690B53A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 Individuação, respeito às trajetórias individuais e reconhecimento das potencialidades:</w:t>
      </w:r>
      <w:r w:rsidRPr="000B3A5C">
        <w:rPr>
          <w:rFonts w:ascii="Book Antiqua" w:hAnsi="Book Antiqua"/>
          <w:sz w:val="19"/>
          <w:szCs w:val="19"/>
        </w:rPr>
        <w:t xml:space="preserve"> Na aplicação e no acompanhamento das medidas cautelares diversas da prisão, deve-se respeitar as trajetórias individuais, promovendo soluções que comprometam positivamente as partes, observando-se as potencialidades pessoais dos sujeitos, destituindo as medidas de um sentido de mera retribuição sobre atos do passado, incompatíveis com a presunção de inocência assegurada constitucionalmente. É necessário promover sentidos emancipatórios para as pessoas envolvidas, contribuindo para a construção da cultura da paz e para a redução das diversas formas de violência.</w:t>
      </w:r>
    </w:p>
    <w:p w14:paraId="7294471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 Respeito e promoção das diversidades:</w:t>
      </w:r>
      <w:r w:rsidRPr="000B3A5C">
        <w:rPr>
          <w:rFonts w:ascii="Book Antiqua" w:hAnsi="Book Antiqua"/>
          <w:sz w:val="19"/>
          <w:szCs w:val="19"/>
        </w:rPr>
        <w:t xml:space="preserve"> Na aplicação e no acompanhamento das medidas cautelares diversas da prisão, o Poder Judiciário e os programas de apoio à execução deverão garantir o respeito às diversidades geracionais, sociais, étnico/raciais, de gênero/sexualidade, de origem e nacionalidade, renda e classe social, de religião, crença, entre outras.</w:t>
      </w:r>
    </w:p>
    <w:p w14:paraId="3D78240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 Responsabilização:</w:t>
      </w:r>
      <w:r w:rsidRPr="000B3A5C">
        <w:rPr>
          <w:rFonts w:ascii="Book Antiqua" w:hAnsi="Book Antiqua"/>
          <w:sz w:val="19"/>
          <w:szCs w:val="19"/>
        </w:rPr>
        <w:t xml:space="preserve"> As medidas cautelares diversas da prisão devem promover a responsabilização com autonomia e liberdade dos indivíduos nelas envolvidas. Nesse sentido, a aplicação e o acompanhamento das medidas cautelares diversas da prisão devem ser estabelecidos a partir e com o compromisso das partes, de forma que a adequação da medida e seu cumprimento se traduzam em viabilidade e sentido para os envolvidos.</w:t>
      </w:r>
    </w:p>
    <w:p w14:paraId="450A34D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 Provisoriedade:</w:t>
      </w:r>
      <w:r w:rsidRPr="000B3A5C">
        <w:rPr>
          <w:rFonts w:ascii="Book Antiqua" w:hAnsi="Book Antiqua"/>
          <w:sz w:val="19"/>
          <w:szCs w:val="19"/>
        </w:rPr>
        <w:t xml:space="preserve"> A aplicação e o acompanhamento das medidas cautelares diversas da prisão devem se ater à provisoriedade das medidas, considerando o impacto </w:t>
      </w:r>
      <w:proofErr w:type="spellStart"/>
      <w:r w:rsidRPr="000B3A5C">
        <w:rPr>
          <w:rFonts w:ascii="Book Antiqua" w:hAnsi="Book Antiqua"/>
          <w:sz w:val="19"/>
          <w:szCs w:val="19"/>
        </w:rPr>
        <w:t>dessocializador</w:t>
      </w:r>
      <w:proofErr w:type="spellEnd"/>
      <w:r w:rsidRPr="000B3A5C">
        <w:rPr>
          <w:rFonts w:ascii="Book Antiqua" w:hAnsi="Book Antiqua"/>
          <w:sz w:val="19"/>
          <w:szCs w:val="19"/>
        </w:rPr>
        <w:t xml:space="preserve"> que as restrições implicam. A morosidade do processo penal poderá significar um tempo de medida indeterminado ou injustificadamente prolongado, o que fere a razoabilidade e o princípio do mínimo penal. Nesse sentido, as medidas cautelares diversas da prisão deverão ser aplicadas sempre com a determinação do término da medida, além de se assegurar a reavaliação periódica das medidas restritivas aplicadas.</w:t>
      </w:r>
    </w:p>
    <w:p w14:paraId="339B282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IX. Normalidade:</w:t>
      </w:r>
      <w:r w:rsidRPr="000B3A5C">
        <w:rPr>
          <w:rFonts w:ascii="Book Antiqua" w:hAnsi="Book Antiqua"/>
          <w:sz w:val="19"/>
          <w:szCs w:val="19"/>
        </w:rPr>
        <w:t xml:space="preserve"> A aplicação e o acompanhamento das medidas cautelares diversas da prisão devem ser </w:t>
      </w:r>
      <w:proofErr w:type="gramStart"/>
      <w:r w:rsidRPr="000B3A5C">
        <w:rPr>
          <w:rFonts w:ascii="Book Antiqua" w:hAnsi="Book Antiqua"/>
          <w:sz w:val="19"/>
          <w:szCs w:val="19"/>
        </w:rPr>
        <w:t>delineadas</w:t>
      </w:r>
      <w:proofErr w:type="gramEnd"/>
      <w:r w:rsidRPr="000B3A5C">
        <w:rPr>
          <w:rFonts w:ascii="Book Antiqua" w:hAnsi="Book Antiqua"/>
          <w:sz w:val="19"/>
          <w:szCs w:val="19"/>
        </w:rPr>
        <w:t xml:space="preserve"> a partir de cada situação concreta, em sintonia com os direitos e as trajetórias individuais das pessoas a cumprir. Assim, tais medidas devem primar por não interferir ou fazê-lo de forma menos impactante nas rotinas e relações cotidianas das pessoas envolvidas, limitando-se ao mínimo necessário para a tutela pretendida pela medida, sob risco de aprofundar os processos de marginalização e de criminalização das pessoas submetidas às medidas.</w:t>
      </w:r>
    </w:p>
    <w:p w14:paraId="626126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 Não penalização da pobreza:</w:t>
      </w:r>
      <w:r w:rsidRPr="000B3A5C">
        <w:rPr>
          <w:rFonts w:ascii="Book Antiqua" w:hAnsi="Book Antiqua"/>
          <w:sz w:val="19"/>
          <w:szCs w:val="19"/>
        </w:rPr>
        <w:t xml:space="preserve"> A situação de vulnerabilidade social das pessoas autuadas e conduzidas à audiência de custódia não pode ser critério de seletividade em seu desfavor na consideração sobre a conversão da prisão em flagrante em prisão preventiva. Especialmente no caso de moradores de rua, a conveniência para a instrução criminal ou a dificuldade de intimação para comparecimento a atos processuais não é circunstância apta a justificar a prisão processual ou medida cautelar, devendo-se garantir, ainda, os encaminhamentos sociais de forma não obrigatória, sempre que necessários, preservada a liberdade e a autonomia dos sujeitos.</w:t>
      </w:r>
    </w:p>
    <w:p w14:paraId="43FCD90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1E86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 Procedimentos para acompanhamento das medidas cautelares e inclusão social </w:t>
      </w:r>
    </w:p>
    <w:p w14:paraId="6C08CC5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 medidas cautelares, quando aplicadas, devem atender a procedimentos capazes de garantir a sua exequibilidade, considerando:</w:t>
      </w:r>
    </w:p>
    <w:p w14:paraId="289484A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adequação da medida à capacidade de se garantir o seu acompanhamento, sem que o ônus de dificuldades na gestão recaia sobre o autuado;</w:t>
      </w:r>
    </w:p>
    <w:p w14:paraId="64B2643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II.</w:t>
      </w:r>
      <w:r w:rsidRPr="000B3A5C">
        <w:rPr>
          <w:rFonts w:ascii="Book Antiqua" w:hAnsi="Book Antiqua"/>
          <w:sz w:val="19"/>
          <w:szCs w:val="19"/>
        </w:rPr>
        <w:t xml:space="preserve"> as condições e capacidade de cumprimento pelo autuado;</w:t>
      </w:r>
    </w:p>
    <w:p w14:paraId="2ABB98D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necessidade de garantia de encaminhamentos às demandas sociais do autuado, de forma não obrigatória.</w:t>
      </w:r>
    </w:p>
    <w:p w14:paraId="79E3BB3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garantir a efetividade das medidas cautelares diversas da prisão, cada órgão ou instância deve se ater às suas competências e conhecimentos, de forma sistêmica e complementar.</w:t>
      </w:r>
    </w:p>
    <w:p w14:paraId="3092D7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além da aplicação da medida, é necessário garantir instâncias de execução das medidas cautelares, com metodologias e equipes qualificadas capazes de permitir um acompanhamento adequado ao cumprimento das medidas cautelares diversas da prisão.</w:t>
      </w:r>
    </w:p>
    <w:p w14:paraId="0C50B0B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Para tanto, caberá ao Ministério da Justiça, em parceria com o Conselho Nacional de Justiça, desenvolver manuais de gestão, com metodologias, procedimentos e fluxos de trabalho, além de fomentar técnica e financeiramente a criação de estruturas de acompanhamento das medidas, conforme previsto nos Acordos de Cooperação nº 05, nº 06 e nº 07, de 09 de abril de 2015.</w:t>
      </w:r>
    </w:p>
    <w:p w14:paraId="0E982FA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Nesse sentido, as Centrais Integradas de Alternativas Penais ou órgãos equivalentes, bem como as Centrais de Monitoração Eletrônica, serão estruturados preferencialmente no âmbito do Poder Executivo estadual e contarão com equipes multidisciplinares regularmente capacitadas para atuarem no acompanhamento das medidas cautelares.</w:t>
      </w:r>
    </w:p>
    <w:p w14:paraId="7F68E4F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624ECF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3.1. A atuação do Juiz deverá considerar os seguintes procedimentos: </w:t>
      </w:r>
    </w:p>
    <w:p w14:paraId="01A4792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partir da apresentação de motivação para a sua decisão nos termos do art. 310 do CPP, resguardando o princípio da presunção de inocência, caberá ao juiz conceder a liberdade provisória ou impor, de forma fundamentada, a aplicação de medidas cautelares diversas da prisão, somente quando necessárias, justificando o porquê de sua não aplicação quando se entender pela decretação de prisão preventiva;</w:t>
      </w:r>
    </w:p>
    <w:p w14:paraId="1DC8C5E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Garantir ao autuado o direito à atenção médica e psicossocial eventualmente necessária(s), resguardada a natureza voluntária desses serviços, a partir do encaminhamento às Centrais Integradas de Alternativas Penais ou órgãos similares, evitando a aplicação de medidas cautelares para tratamento ou internação compulsória de pessoas em conflito com a lei autuadas em flagrante com transtorno mental, incluída a dependência química, em desconformidade com o previsto no Art. 4º da Lei 10.216, de 2001 e no Art. 319, inciso VII, do Decreto-Lei 3.689, de 1941.</w:t>
      </w:r>
    </w:p>
    <w:p w14:paraId="3A5C14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Articular, em nível local, os procedimentos adequados ao encaminhamento das pessoas em cumprimento de medidas cautelares diversas da prisão para as Centrais Integradas de Alternativas Penais ou órgãos similares, bem como os procedimentos de acolhimento dos cumpridores, acompanhamento das medidas aplicadas e encaminhamentos para políticas públicas de inclusão social; i. Nas Comarcas onde não existam as Centrais mencionadas, a partir da equipe psicossocial da vara responsável pelas audiências de custódia buscar-se-á a integração do autuado em redes amplas junto aos governos do estado e município, buscando garantir-lhe a inclusão social de forma não obrigatória, a partir das especificidades de cada caso.</w:t>
      </w:r>
    </w:p>
    <w:p w14:paraId="797C9DE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Articular, em nível local, os procedimentos adequados ao encaminhamento das pessoas em cumprimento da medida cautelar diversa da prisão prevista no Art. 319, inciso IX, do Código de Processo Penal, para as Centrais de Monitoração Eletrônica de Pessoas, bem como os procedimentos de acolhimento das pessoas monitoradas, acompanhamento das medidas aplicadas e encaminhamentos para políticas públicas de inclusão social.</w:t>
      </w:r>
    </w:p>
    <w:p w14:paraId="3CC25E5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Garantir o respeito e cumprimento às seguintes diretrizes quando da aplicação da medida cautelar de monitoração eletrônica:</w:t>
      </w:r>
    </w:p>
    <w:p w14:paraId="07AAFF8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a) Efetiva alternativa à prisão provisória:</w:t>
      </w:r>
      <w:r w:rsidRPr="000B3A5C">
        <w:rPr>
          <w:rFonts w:ascii="Book Antiqua" w:hAnsi="Book Antiqua"/>
          <w:sz w:val="19"/>
          <w:szCs w:val="19"/>
        </w:rPr>
        <w:t xml:space="preserve"> A aplicação da monitoração eletrônica será excepcional, devendo ser utilizada como alternativa à prisão provisória e não como elemento adicional de controle para autuados que, pelas circunstâncias apuradas em juízo, já responderiam ao processo em liberdade. </w:t>
      </w:r>
      <w:r w:rsidRPr="000B3A5C">
        <w:rPr>
          <w:rFonts w:ascii="Book Antiqua" w:hAnsi="Book Antiqua"/>
          <w:sz w:val="19"/>
          <w:szCs w:val="19"/>
        </w:rPr>
        <w:lastRenderedPageBreak/>
        <w:t>Assim, a monitoração eletrônica, enquanto medida cautelar diversa da prisão, deverá ser aplicada exclusivamente a pessoas acusadas por crimes dolosos puníveis com pena privativa de liberdade máxima superior a 04 (quatro) anos ou condenadas por outro crime doloso, em sentença transitada em julgado, ressalvado o disposto no inciso I do caput do art. 64 do Código Penal Brasileiro, bem como a pessoas em cumprimento de medidas protetivas de urgência acusadas por crime que envolva violência doméstica e familiar contra a mulher, criança, adolescente, idoso, enfermo ou pessoa com deficiência, sempre de forma excepcional, quando não couber outra medida cautelar menos gravosa.</w:t>
      </w:r>
    </w:p>
    <w:p w14:paraId="461903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b) Necessidade e Adequação:</w:t>
      </w:r>
      <w:r w:rsidRPr="000B3A5C">
        <w:rPr>
          <w:rFonts w:ascii="Book Antiqua" w:hAnsi="Book Antiqua"/>
          <w:sz w:val="19"/>
          <w:szCs w:val="19"/>
        </w:rPr>
        <w:t xml:space="preserve"> A medida cautelar da monitoração eletrônica somente poderá ser aplicada quando verificada e fundamentada a necessidade da vigilância eletrônica da pessoa processada ou investigada, após demonstrada a inaplicabilidade da concessão da liberdade provisória, com ou sem fiança, e a insuficiência ou inadequação das demais medidas cautelares diversas da prisão, considerando-se, sempre, a presunção de inocência. Da mesma forma, a monitoração somente deverá ser aplicada quando verificada a adequação da medida com a situação da pessoa processada ou investigada, bem como aspectos objetivos, relacionados ao processo-crime, sobretudo quanto à desproporcionalidade de aplicação da medida de monitoração eletrônica em casos nos quais não será aplicada pena privativa de liberdade ao final do processo, caso haja condenação.</w:t>
      </w:r>
    </w:p>
    <w:p w14:paraId="48A3825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c) Provisoriedade:</w:t>
      </w:r>
      <w:r w:rsidRPr="000B3A5C">
        <w:rPr>
          <w:rFonts w:ascii="Book Antiqua" w:hAnsi="Book Antiqua"/>
          <w:sz w:val="19"/>
          <w:szCs w:val="19"/>
        </w:rPr>
        <w:t xml:space="preserve"> Considerando a gravidade e a amplitude das restrições que a monitoração eletrônica impõe às pessoas submetidas à medida, sua aplicação deverá se atentar especialmente à provisoriedade, garantindo a reavaliação periódica de sua necessidade e adequação. Não são admitidas medidas de monitoração eletrônica aplicadas por prazo indeterminado ou por prazos demasiadamente elevados (exemplo: seis meses). O cumprimento regular das condições impostas judicialmente deve ser considerado como elemento para a revisão da monitoração eletrônica aplicada, revelando a desnecessidade do controle excessivo que impõe, que poderá ser substituída por medidas menos gravosas que favoreçam a </w:t>
      </w:r>
      <w:proofErr w:type="spellStart"/>
      <w:r w:rsidRPr="000B3A5C">
        <w:rPr>
          <w:rFonts w:ascii="Book Antiqua" w:hAnsi="Book Antiqua"/>
          <w:sz w:val="19"/>
          <w:szCs w:val="19"/>
        </w:rPr>
        <w:t>autoresponsabilização</w:t>
      </w:r>
      <w:proofErr w:type="spellEnd"/>
      <w:r w:rsidRPr="000B3A5C">
        <w:rPr>
          <w:rFonts w:ascii="Book Antiqua" w:hAnsi="Book Antiqua"/>
          <w:sz w:val="19"/>
          <w:szCs w:val="19"/>
        </w:rPr>
        <w:t xml:space="preserve"> do autuado no cumprimento das obrigações estabelecidas, bem como sua efetiva inclusão social.</w:t>
      </w:r>
    </w:p>
    <w:p w14:paraId="43CB54B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 Menor dano:</w:t>
      </w:r>
      <w:r w:rsidRPr="000B3A5C">
        <w:rPr>
          <w:rFonts w:ascii="Book Antiqua" w:hAnsi="Book Antiqua"/>
          <w:sz w:val="19"/>
          <w:szCs w:val="19"/>
        </w:rPr>
        <w:t xml:space="preserve"> A aplicação e o acompanhamento de medidas de monitoração eletrônica devem estar </w:t>
      </w:r>
      <w:proofErr w:type="gramStart"/>
      <w:r w:rsidRPr="000B3A5C">
        <w:rPr>
          <w:rFonts w:ascii="Book Antiqua" w:hAnsi="Book Antiqua"/>
          <w:sz w:val="19"/>
          <w:szCs w:val="19"/>
        </w:rPr>
        <w:t>orientadas</w:t>
      </w:r>
      <w:proofErr w:type="gramEnd"/>
      <w:r w:rsidRPr="000B3A5C">
        <w:rPr>
          <w:rFonts w:ascii="Book Antiqua" w:hAnsi="Book Antiqua"/>
          <w:sz w:val="19"/>
          <w:szCs w:val="19"/>
        </w:rPr>
        <w:t xml:space="preserve"> para a minimização de danos físicos e psicológicos causados às pessoas monitoradas eletronicamente. Deve-se buscar o fomento a adoção de fluxos, procedimentos, metodologias e tecnologias menos danosas à pessoa monitorada, minimizando-se a estigmatização e os constrangimentos causados pela utilização do aparelho.</w:t>
      </w:r>
    </w:p>
    <w:p w14:paraId="6A7DAA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e) Normalidade:</w:t>
      </w:r>
      <w:r w:rsidRPr="000B3A5C">
        <w:rPr>
          <w:rFonts w:ascii="Book Antiqua" w:hAnsi="Book Antiqua"/>
          <w:sz w:val="19"/>
          <w:szCs w:val="19"/>
        </w:rPr>
        <w:t xml:space="preserve"> A aplicação e o acompanhamento das medidas cautelares de monitoração eletrônica deverão buscar reduzir o impacto causado pelas restrições impostas e pelo uso do dispositivo, limitando-se ao mínimo necessário para a tutela pretendida pela medida, sob risco de aprofundar os processos de marginalização e de criminalização das pessoas submetidas às medidas. Deve-se buscar a aproximação ao máximo da rotina da pessoa monitorada em relação à rotina das pessoas não submetidas à monitoração eletrônica, favorecendo assim a inclusão social. Assim, é imprescindível que as áreas de inclusão e exclusão e demais restrições impostas, como eventuais limitações de horários, sejam determinadas de forma módica, atentando para as características individuais das pessoas monitoradas e suas necessidades de realização de atividades cotidianas das mais diversas dimensões (educação, trabalho, saúde, cultura, lazer, esporte, religião, convivência familiar e comunitária, entre outras).</w:t>
      </w:r>
    </w:p>
    <w:p w14:paraId="7204B44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39858F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3.2. A atuação das Centrais Integradas de Alternativas Penais ou órgãos similares deverá considerar os seguintes procedimentos: </w:t>
      </w:r>
    </w:p>
    <w:p w14:paraId="53E3694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Buscar integrar-se em redes amplas de atendimento e assistência social para a inclusão de forma não obrigatória dos autuados a partir das indicações do juiz, das especificidades de cada caso e das demandas sociais apresentadas diretamente pelos autuados, com destaque para as seguintes áreas ou outras que se mostrarem necessárias:</w:t>
      </w:r>
    </w:p>
    <w:p w14:paraId="564BA50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demandas emergenciais como alimentação, vestuário, moradia, transporte, dentre outras;</w:t>
      </w:r>
    </w:p>
    <w:p w14:paraId="2F08147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b) trabalho, renda e qualificação profissional;</w:t>
      </w:r>
    </w:p>
    <w:p w14:paraId="640678F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 assistência judiciária;</w:t>
      </w:r>
    </w:p>
    <w:p w14:paraId="675B841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d) desenvolvimento, produção, formação e difusão cultural principalmente para o público jovem.</w:t>
      </w:r>
    </w:p>
    <w:p w14:paraId="3CE7DA9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Realizar encaminhamentos necessários à Rede de Atenção à Saúde do Sistema Único de Saúde (SUS) e à rede de assistência social do Sistema Único de Assistência Social (SUAS), além de outras políticas e programas ofertadas pelo poder público, sendo os resultados do atendimento e do acompanhamento do autuado, assim indicados na decisão judicial, comunicados regularmente ao Juízo ao qual for distribuído o auto de prisão em flagrante após o encerramento da rotina da audiência de custódia;</w:t>
      </w:r>
    </w:p>
    <w:p w14:paraId="25BAE5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Consolidar redes adequadas para a internação e tratamento dos autuados, assegurado o direito à atenção médica e psicossocial sempre que necessária, resguardada a natureza voluntária desses serviços, não sendo cabível o encaminhamento de pessoas em conflito com a lei autuadas em flagrante portadoras de transtorno mental, incluída a dependência química, para tratamento ou internação compulsória, em desconformidade com o previsto no Art. 4º da Lei 10.216, de 2001 e no Art. 319, inciso VII, do Decreto-Lei 3.689, de 1941.</w:t>
      </w:r>
    </w:p>
    <w:p w14:paraId="0DFB5E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Executar ou construir parcerias com outras instituições especialistas para a execução de grupos temáticos ou de responsabilização dos autuados a partir do tipo de delito cometido, inclusive nos casos relativos à violência contra as mulheres no contexto da Lei Maria da Penha</w:t>
      </w:r>
    </w:p>
    <w:p w14:paraId="7F703E7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Estes grupos serão executados somente a partir da determinação judicial e como modalidade da medida cautelar de comparecimento obrigatório em juízo, prevista no inciso I do Art. 319 do Código de Processo Penal.</w:t>
      </w:r>
    </w:p>
    <w:p w14:paraId="1019B9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5DBC1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3.3. A atuação das Centrais de Monitoração Eletrônica de Pessoas deverá considerar os seguintes procedimentos:</w:t>
      </w:r>
    </w:p>
    <w:p w14:paraId="1A99EB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Assegurar o acolhimento e acompanhamento por equipes multidisciplinares, responsáveis pela articulação da rede de serviços de proteção e inclusão social disponibilizada pelo poder público e pelo acompanhamento do cumprimento das medidas estabelecidas judicialmente, a partir da interação individualizada com as pessoas monitoradas.</w:t>
      </w:r>
    </w:p>
    <w:p w14:paraId="1DEB0A0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Assegurar a prioridade ao cumprimento, manutenção e restauração da medida em liberdade, inclusive em casos de incidentes de violação, adotando-se preferencialmente medidas de conscientização e atendimento por equipe psicossocial, devendo o acionamento da autoridade judicial ser subsidiário e excepcional, após esgotadas todas as medidas adotadas pela equipe técnica responsável pelo acompanhamento das pessoas em monitoração.</w:t>
      </w:r>
    </w:p>
    <w:p w14:paraId="5CEC613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Primar pela adoção de padrões adequados de segurança, sigilo, proteção e uso dos dados das pessoas em monitoração, respeitado o tratamento dos dados em conformidade com a finalidade das coletas. Nesse sentido, deve-se considerar que os dados coletados durante a execução das medidas de monitoração eletrônica possuem finalidade específica, relacionada com o acompanhamento das condições estabelecidas judicialmente. As informações das pessoas monitoradas não poderão ser compartilhadas com terceiros estranhos ao processo de investigação ou de instrução criminal que justificou a aplicação da medida. O acesso aos dados, inclusive por instituições de segurança pública, somente poderá ser requisitado no âmbito de inquérito policial específico no qual a pessoa monitorada devidamente identificada já figure como suspeita, sendo submetido a autoridade judicial, que analisará o caso concreto e deferirá ou não o pedido.</w:t>
      </w:r>
    </w:p>
    <w:p w14:paraId="73598CE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Buscar integra-se em redes amplas de atendimento e assistência social para a inclusão de forma não obrigatória dos autuados a partir das indicações do juiz, das especificidades de cada caso e das demandas sociais apresentadas diretamente pelos autuados, com destaque para as seguintes áreas ou outras que se mostrarem necessárias:</w:t>
      </w:r>
    </w:p>
    <w:p w14:paraId="4D7FA70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demandas emergenciais como alimentação, vestuário, moradia, transporte, dentre outras;</w:t>
      </w:r>
    </w:p>
    <w:p w14:paraId="35369B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b) trabalho, renda e qualificação profissional;</w:t>
      </w:r>
    </w:p>
    <w:p w14:paraId="0AFCD67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c) assistência judiciária;</w:t>
      </w:r>
    </w:p>
    <w:p w14:paraId="20BC537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d) desenvolvimento, produção, formação e difusão cultural principalmente para o público jovem.</w:t>
      </w:r>
    </w:p>
    <w:p w14:paraId="73DA097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Realizar encaminhamentos necessários à Rede de Atenção à Saúde do Sistema Único de Saúde (SUS) e à rede de assistência social do Sistema Único de Assistência Social (SUAS), além de outras políticas e programas ofertadas pelo poder público, sendo os resultados do atendimento e do acompanhamento do autuado, assim indicados na decisão judicial, comunicados regularmente ao Juízo ao qual for distribuído o auto de prisão em flagrante após o encerramento da rotina da audiência de custódia.</w:t>
      </w:r>
    </w:p>
    <w:p w14:paraId="0EA9036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4F447A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A6EC01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PROTOCOLO II </w:t>
      </w:r>
    </w:p>
    <w:p w14:paraId="75CB2E8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 xml:space="preserve">Procedimentos para oitiva, registro e encaminhamento de denúncias </w:t>
      </w:r>
    </w:p>
    <w:p w14:paraId="0EC5EA6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de tortura e outros tratamentos cruéis, desumanos ou degradantes [1]</w:t>
      </w:r>
    </w:p>
    <w:p w14:paraId="59BD81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1FD0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Este documento tem por objetivo orientar tribunais e magistrados sobre procedimentos para denúncias de tortura e tratamentos cruéis, desumanos ou degradantes.</w:t>
      </w:r>
    </w:p>
    <w:p w14:paraId="1D99DC0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Serão apresentados o conceito de tortura, as orientações quanto a condições adequadas para a oitiva do custodiado na audiência, os procedimentos relativos à apuração de indícios </w:t>
      </w:r>
      <w:proofErr w:type="gramStart"/>
      <w:r w:rsidRPr="000B3A5C">
        <w:rPr>
          <w:rFonts w:ascii="Book Antiqua" w:hAnsi="Book Antiqua"/>
          <w:sz w:val="19"/>
          <w:szCs w:val="19"/>
        </w:rPr>
        <w:t>da práticas</w:t>
      </w:r>
      <w:proofErr w:type="gramEnd"/>
      <w:r w:rsidRPr="000B3A5C">
        <w:rPr>
          <w:rFonts w:ascii="Book Antiqua" w:hAnsi="Book Antiqua"/>
          <w:sz w:val="19"/>
          <w:szCs w:val="19"/>
        </w:rPr>
        <w:t xml:space="preserve"> de tortura durante a oitiva da pessoa custodiada e as providências a serem adotadas em caso de identificação de práticas de tortura e tratamentos cruéis, desumanos ou degradantes.</w:t>
      </w:r>
    </w:p>
    <w:p w14:paraId="329AE20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ADE90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1. DEFINIÇÃO DE TORTURA</w:t>
      </w:r>
    </w:p>
    <w:p w14:paraId="475088F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Considerando a Convenção das Nações Unidas contra a Tortura e Outras Penas ou Tratamentos Cruéis, Desumanos e Degradantes, de 1984; a Convenção Interamericana para Prevenir e Punir a Tortura de 9 de dezembro de 1985, e a Lei 9.455/97 de 7 de abril de 1997, que define os crimes de tortura e dá outras providências, observa-se que a definição de tortura na legislação internacional e nacional apresenta dois elementos essenciais:</w:t>
      </w:r>
    </w:p>
    <w:p w14:paraId="77A3620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finalidade do ato, voltada para a obtenção de informações ou confissões, aplicação de castigo, intimidação ou coação, ou qualquer outro motivo baseado em discriminação de qualquer natureza; e</w:t>
      </w:r>
    </w:p>
    <w:p w14:paraId="51F5129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aflição deliberada de dor ou sofrimentos físicos e mentais.</w:t>
      </w:r>
    </w:p>
    <w:p w14:paraId="41D6251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F5A743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Assim, recomenda-se à autoridade judicial atenção às condições de apresentação da pessoa mantida sob custódia a fim de averiguar a prática de tortura ou tratamento cruel, desumano ou degradante considerando duas premissas:</w:t>
      </w:r>
    </w:p>
    <w:p w14:paraId="5C2A5CE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prática da tortura constitui grave violação ao direito da pessoa custodiada;</w:t>
      </w:r>
    </w:p>
    <w:p w14:paraId="603A860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pessoa custodiada deve ser informada que a tortura é ilegal e injustificada, independentemente da acusação ou da condição de culpada de algum delito a si imputável.</w:t>
      </w:r>
    </w:p>
    <w:p w14:paraId="40345CE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33DE24F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Poderão ser consideradas como indícios quanto à ocorrência de práticas de tortura e outros tratamentos cruéis, desumanos ou degradantes:</w:t>
      </w:r>
    </w:p>
    <w:p w14:paraId="6C3D50B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Quando a pessoa custodiada tiver sido mantida em um local de detenção não oficial ou secreto;</w:t>
      </w:r>
    </w:p>
    <w:p w14:paraId="074EDB7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Quando a pessoa custodiada tiver sido mantida incomunicável por qualquer período de tempo;</w:t>
      </w:r>
    </w:p>
    <w:p w14:paraId="774653A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Quando a pessoa custodiada tiver sido mantida em veículos oficiais ou de escolta policial por um período maior do que o necessário para o seu transporte direto entre instituições;</w:t>
      </w:r>
    </w:p>
    <w:p w14:paraId="6003E4F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Quando os devidos registros de custódia não tiverem sido mantidos corretamente ou quando existirem discrepâncias significativas entre esses registros;</w:t>
      </w:r>
    </w:p>
    <w:p w14:paraId="1073B3A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Quando a pessoa custodiada não tiver sido informada corretamente sobre seus direitos no momento da detenção;</w:t>
      </w:r>
    </w:p>
    <w:p w14:paraId="41C07C1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Quando houver informações de que o agente público ofereceu benefícios mediante favores ou pagamento de dinheiro por parte da pessoa custodiada;</w:t>
      </w:r>
    </w:p>
    <w:p w14:paraId="1065577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Quando tiver sido negado à pessoa custodiada pronto acesso a um advogado ou defensor público;</w:t>
      </w:r>
    </w:p>
    <w:p w14:paraId="1AD8892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w:t>
      </w:r>
      <w:r w:rsidRPr="000B3A5C">
        <w:rPr>
          <w:rFonts w:ascii="Book Antiqua" w:hAnsi="Book Antiqua"/>
          <w:sz w:val="19"/>
          <w:szCs w:val="19"/>
        </w:rPr>
        <w:t xml:space="preserve"> Quando tiver sido negado acesso consular a uma pessoa custodiada de nacionalidade estrangeira;</w:t>
      </w:r>
    </w:p>
    <w:p w14:paraId="0011933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IX.</w:t>
      </w:r>
      <w:r w:rsidRPr="000B3A5C">
        <w:rPr>
          <w:rFonts w:ascii="Book Antiqua" w:hAnsi="Book Antiqua"/>
          <w:sz w:val="19"/>
          <w:szCs w:val="19"/>
        </w:rPr>
        <w:t xml:space="preserve"> Quando a pessoa custodiada não tiver passado por exame médico imediato após a detenção ou quando o exame constatar agressão ou lesão;</w:t>
      </w:r>
    </w:p>
    <w:p w14:paraId="3D49E28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w:t>
      </w:r>
      <w:r w:rsidRPr="000B3A5C">
        <w:rPr>
          <w:rFonts w:ascii="Book Antiqua" w:hAnsi="Book Antiqua"/>
          <w:sz w:val="19"/>
          <w:szCs w:val="19"/>
        </w:rPr>
        <w:t>. Quando os registros médicos não tiverem sido devidamente guardados ou tenha havido interferência inadequada ou falsificação;</w:t>
      </w:r>
    </w:p>
    <w:p w14:paraId="568503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w:t>
      </w:r>
      <w:r w:rsidRPr="000B3A5C">
        <w:rPr>
          <w:rFonts w:ascii="Book Antiqua" w:hAnsi="Book Antiqua"/>
          <w:sz w:val="19"/>
          <w:szCs w:val="19"/>
        </w:rPr>
        <w:t xml:space="preserve"> Quando o(s) depoimento(s) tiverem sido tomados por autoridades de investigação sem a presença de um advogado ou de um defensor público;</w:t>
      </w:r>
    </w:p>
    <w:p w14:paraId="47F0C3D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XII.</w:t>
      </w:r>
      <w:r w:rsidRPr="000B3A5C">
        <w:rPr>
          <w:rFonts w:ascii="Book Antiqua" w:hAnsi="Book Antiqua"/>
          <w:sz w:val="19"/>
          <w:szCs w:val="19"/>
        </w:rPr>
        <w:t xml:space="preserve"> Quando as circunstâncias nas quais os depoimentos foram tomados não tiverem sido devidamente registradas e os depoimentos em si não tiverem sido transcritos em sua totalidade na ocasião;</w:t>
      </w:r>
    </w:p>
    <w:p w14:paraId="7A96EC0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XIII.</w:t>
      </w:r>
      <w:r w:rsidRPr="000B3A5C">
        <w:rPr>
          <w:rFonts w:ascii="Book Antiqua" w:hAnsi="Book Antiqua"/>
          <w:sz w:val="19"/>
          <w:szCs w:val="19"/>
        </w:rPr>
        <w:t xml:space="preserve"> Quando os depoimentos tiverem sido indevidamente alterados posteriormente;</w:t>
      </w:r>
    </w:p>
    <w:p w14:paraId="0AEA5E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XIV.</w:t>
      </w:r>
      <w:r w:rsidRPr="000B3A5C">
        <w:rPr>
          <w:rFonts w:ascii="Book Antiqua" w:hAnsi="Book Antiqua"/>
          <w:sz w:val="19"/>
          <w:szCs w:val="19"/>
        </w:rPr>
        <w:t xml:space="preserve"> Quando a pessoa custodiada tiver sido vendada, encapuzada, amordaçada, algemada sem justificativa registrada por escrito ou sujeita a outro tipo de coibição física, ou tiver sido privada de suas próprias roupas, sem causa razoável, em qualquer momento durante a detenção;</w:t>
      </w:r>
    </w:p>
    <w:p w14:paraId="5C3376C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w:t>
      </w:r>
      <w:r w:rsidRPr="000B3A5C">
        <w:rPr>
          <w:rFonts w:ascii="Book Antiqua" w:hAnsi="Book Antiqua"/>
          <w:sz w:val="19"/>
          <w:szCs w:val="19"/>
        </w:rPr>
        <w:t xml:space="preserve"> Quando inspeções ou visitas independentes ao local de detenção por parte de instituições competentes, organizações de direitos humanos, programas de visitas pré-estabelecidos ou especialistas tiverem sido impedidas, postergadas ou sofrido qualquer interferência;</w:t>
      </w:r>
    </w:p>
    <w:p w14:paraId="3D61357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XVI.</w:t>
      </w:r>
      <w:r w:rsidRPr="000B3A5C">
        <w:rPr>
          <w:rFonts w:ascii="Book Antiqua" w:hAnsi="Book Antiqua"/>
          <w:sz w:val="19"/>
          <w:szCs w:val="19"/>
        </w:rPr>
        <w:t xml:space="preserve"> Quando a pessoa tiver sido apresentada à autoridade judicial fora do prazo máximo estipulado para a realização da audiência de custódia ou sequer tiver sido apresentada;</w:t>
      </w:r>
    </w:p>
    <w:p w14:paraId="554E044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XVII.</w:t>
      </w:r>
      <w:r w:rsidRPr="000B3A5C">
        <w:rPr>
          <w:rFonts w:ascii="Book Antiqua" w:hAnsi="Book Antiqua"/>
          <w:sz w:val="19"/>
          <w:szCs w:val="19"/>
        </w:rPr>
        <w:t xml:space="preserve"> Quando outros relatos de tortura e tratamentos cruéis, desumanos ou degradantes em circunstâncias similares ou pelos mesmos agentes indicarem a verossimilhança das alegações.</w:t>
      </w:r>
    </w:p>
    <w:p w14:paraId="2D06178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DC0FDF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2. CONDIÇÕES ADEQUADAS PARA A OITIVA DO CUSTODIADO NA AUDIÊNCIA DE CUSTÓDIA</w:t>
      </w:r>
    </w:p>
    <w:p w14:paraId="4FDCC75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A audiência de custódia deve ocorrer em condições adequadas que tornem possível o depoimento por parte da pessoa custodiada, livre de ameaças ou intimidações em potencial que possam inibir o relato de práticas de tortura e outros tratamentos cruéis, desumanos ou degradantes a que tenha sido submetida.</w:t>
      </w:r>
    </w:p>
    <w:p w14:paraId="63D8858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Entre as condições necessárias para a oitiva adequada da pessoa custodiada, recomenda-se que:</w:t>
      </w:r>
    </w:p>
    <w:p w14:paraId="0486C6D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A pessoa custodiada não deve estar algemada durante sua oitiva na audiência de apresentação, somente admitindo-se o uso de algumas "em casos de resistência e de fundado receio de fuga ou de perigo à integridade física própria ou alheia, por parte do preso ou de terceiros, justificada a excepcionalidade por escrito, sob pena de responsabilidade disciplinar, civil e penal do agente ou da autoridade e de nulidade da prisão ou do ator processual a que se refere, sem prejuízo da responsabilidade civil do Estado" (STF - Súmula Vinculante nº 11);</w:t>
      </w:r>
    </w:p>
    <w:p w14:paraId="4185D355"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A pessoa custodiada deve estar sempre acompanhada de advogado ou defensor público, assegurando-lhes entrevista prévia sigilosa, sem a presença de agente policial e em local adequado/reservado, de modo a garantir-lhe a efetiva assistência judiciária;</w:t>
      </w:r>
    </w:p>
    <w:p w14:paraId="46093F7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 pessoa custodiada estrangeira deve ter assegurada a assistência de intérprete e a pessoa surda a assistência de intérprete de LIBRAS, requisito essencial para a plena compreensão dos questionamentos e para a coleta do depoimento, atentando-se para a necessidade de (i) a pessoa custodiada estar de acordo com o uso de intérprete, (</w:t>
      </w:r>
      <w:proofErr w:type="spellStart"/>
      <w:r w:rsidRPr="000B3A5C">
        <w:rPr>
          <w:rFonts w:ascii="Book Antiqua" w:hAnsi="Book Antiqua"/>
          <w:sz w:val="19"/>
          <w:szCs w:val="19"/>
        </w:rPr>
        <w:t>ii</w:t>
      </w:r>
      <w:proofErr w:type="spellEnd"/>
      <w:r w:rsidRPr="000B3A5C">
        <w:rPr>
          <w:rFonts w:ascii="Book Antiqua" w:hAnsi="Book Antiqua"/>
          <w:sz w:val="19"/>
          <w:szCs w:val="19"/>
        </w:rPr>
        <w:t>) o intérprete ser informado da confidencialidade das informações e (</w:t>
      </w:r>
      <w:proofErr w:type="spellStart"/>
      <w:r w:rsidRPr="000B3A5C">
        <w:rPr>
          <w:rFonts w:ascii="Book Antiqua" w:hAnsi="Book Antiqua"/>
          <w:sz w:val="19"/>
          <w:szCs w:val="19"/>
        </w:rPr>
        <w:t>iii</w:t>
      </w:r>
      <w:proofErr w:type="spellEnd"/>
      <w:r w:rsidRPr="000B3A5C">
        <w:rPr>
          <w:rFonts w:ascii="Book Antiqua" w:hAnsi="Book Antiqua"/>
          <w:sz w:val="19"/>
          <w:szCs w:val="19"/>
        </w:rPr>
        <w:t>) o entrevistador manter contato com o entrevistado, evitando se dirigir exclusivamente ao intérprete;</w:t>
      </w:r>
    </w:p>
    <w:p w14:paraId="6BD3AA8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Os agentes responsáveis pela segurança do tribunal e, quando necessário, pela audiência de custódia devem ser organizacionalmente separados e independentes dos agentes responsáveis pela prisão ou pela investigação dos crimes. A pessoa custodiada deve aguardar a audiência em local fisicamente separado dos agentes responsáveis pela sua prisão ou investigação do crime;</w:t>
      </w:r>
    </w:p>
    <w:p w14:paraId="32425DD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O agente responsável pela custódia, prisão ou investigação do crime não deve estar presente durante a oitiva da pessoa custodiada.</w:t>
      </w:r>
    </w:p>
    <w:p w14:paraId="371664D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Os agentes responsáveis pela segurança da audiência da custódia não devem portar armamento letal.</w:t>
      </w:r>
    </w:p>
    <w:p w14:paraId="7128136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Os agentes responsáveis pela segurança da audiência de custódia não devem participar ou emitir opinião sobre a pessoa custodiada no decorrer da audiência.</w:t>
      </w:r>
    </w:p>
    <w:p w14:paraId="297D3B3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454D2D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3. PROCEDIMENTOS RELATIVOS À COLETA DE INFORMAÇÕES SOBRE PRÁTICAS TORTURA DURANTE A OITIVA DA PESSOA CUSTODIADA</w:t>
      </w:r>
    </w:p>
    <w:p w14:paraId="05296E9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Observadas as condições adequadas para a apuração, durante a oitiva da pessoa custodiada, de práticas de tortura e outros tratamentos cruéis, desumanos ou degradantes a que possa ter sido submetida, é importante que o Juiz adote uma série de procedimentos visando assegurar a coleta idônea do depoimento da pessoa custodiada.</w:t>
      </w:r>
    </w:p>
    <w:p w14:paraId="2184E46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Sendo um dos objetivos da audiência de custódia a coleta de informações sobre práticas de tortura, o Juiz deverá sempre questionar sobre ocorrência de agressão, abuso, ameaça, entre outras formas de violência, adotando os seguintes procedimentos:</w:t>
      </w:r>
    </w:p>
    <w:p w14:paraId="023A66A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Informar à pessoa custodiada que a tortura é expressamente proibida, não sendo comportamento aceitável, de modo que as denúncias de tortura serão encaminhadas às autoridades competentes para a investigação;</w:t>
      </w:r>
    </w:p>
    <w:p w14:paraId="158119D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Informar à pessoa custodiada sobre a finalidade da oitiva, destacando eventuais riscos de prestar as informações e as medidas protetivas que poderão ser adotadas para garantia de sua segurança e de </w:t>
      </w:r>
      <w:r w:rsidRPr="000B3A5C">
        <w:rPr>
          <w:rFonts w:ascii="Book Antiqua" w:hAnsi="Book Antiqua"/>
          <w:sz w:val="19"/>
          <w:szCs w:val="19"/>
        </w:rPr>
        <w:lastRenderedPageBreak/>
        <w:t>terceiros, bem como as providências a serem adotadas quanto à investigação das práticas de tortura e outros tratamentos cruéis, desumanos ou degradantes que forem relatadas;</w:t>
      </w:r>
    </w:p>
    <w:p w14:paraId="14C83827"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Assegurar a indicação de testemunhas ou outras fontes de informação que possam corroborar a veracidade do relato de tortura ou tratamentos cruéis, desumanos ou degradantes, com garantia de sigilo;</w:t>
      </w:r>
    </w:p>
    <w:p w14:paraId="601EF6C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Solicitar suporte de equipe psicossocial em casos de grave expressão de sofrimento, físico ou mental, ou dificuldades de orientação mental (memória, noção de espaço e tempo, linguagem, compreensão e expressão, fluxo do raciocínio) para acolher o indivíduo e orientar quanto a melhor abordagem ou encaminhamento imediato do caso.</w:t>
      </w:r>
    </w:p>
    <w:p w14:paraId="1EED01A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Questionar a pessoa custodiada sobre o tratamento recebido desde a sua prisão, em todos os locais e órgãos por onde foi conduzido, mantendo-se atento a relatos e sinais que indiquem ocorrência de práticas de tortura e outros tratamentos cruéis, desumanos ou degradantes.</w:t>
      </w:r>
    </w:p>
    <w:p w14:paraId="056494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EA3798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4. PROCEDIMENTOS PARA COLETA DO DEPOIMENTO DA VÍTIMA DE TORTURA</w:t>
      </w:r>
    </w:p>
    <w:p w14:paraId="607A127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 oitiva realizada durante a audiência de custódia não tem o objetivo de comprovar a ocorrência de práticas de tortura, o que deverá ser apurado em procedimentos específicos com essa finalidade.</w:t>
      </w:r>
    </w:p>
    <w:p w14:paraId="4624860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Sua finalidade é perceber e materializar indícios quanto à ocorrência de tortura e outros tratamentos cruéis, desumanos ou degradantes, considerando as graves consequências que podem decorrer da manutenção da custódia do preso sob responsabilidade de agentes supostamente responsáveis por práticas de tortura, sobretudo após o relato das práticas realizado pela pessoa custodiada perante a autoridade judicial.</w:t>
      </w:r>
    </w:p>
    <w:p w14:paraId="02377A7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Na coleta do depoimento, o Juiz deve considerar a situação particular de vulnerabilidade da pessoa submetida a práticas de tortura ou tratamentos cruéis, desumanos ou degradantes, adotando as seguintes práticas na oitiva, sempre que necessário:</w:t>
      </w:r>
    </w:p>
    <w:p w14:paraId="2562D8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 Repetir as perguntas</w:t>
      </w:r>
      <w:r w:rsidRPr="000B3A5C">
        <w:rPr>
          <w:rFonts w:ascii="Book Antiqua" w:hAnsi="Book Antiqua"/>
          <w:sz w:val="19"/>
          <w:szCs w:val="19"/>
        </w:rPr>
        <w:t>. Questões terão que ser repetidas ou reformuladas uma vez que algumas pessoas podem demorar mais tempo para absorver, compreender e recordar informações.</w:t>
      </w:r>
    </w:p>
    <w:p w14:paraId="5C09AE0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 Manter as perguntas simples</w:t>
      </w:r>
      <w:r w:rsidRPr="000B3A5C">
        <w:rPr>
          <w:rFonts w:ascii="Book Antiqua" w:hAnsi="Book Antiqua"/>
          <w:sz w:val="19"/>
          <w:szCs w:val="19"/>
        </w:rPr>
        <w:t>. As perguntas devem ser simples, pois algumas pessoas podem ter dificuldade em entender e respondê-las. Elas também podem ter um vocabulário limitado e encontrar dificuldade em explicar coisas de uma forma que os outros achem fácil de seguir.</w:t>
      </w:r>
    </w:p>
    <w:p w14:paraId="7A66E73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 Manter as perguntas abertas e não ameaçadoras</w:t>
      </w:r>
      <w:r w:rsidRPr="000B3A5C">
        <w:rPr>
          <w:rFonts w:ascii="Book Antiqua" w:hAnsi="Book Antiqua"/>
          <w:sz w:val="19"/>
          <w:szCs w:val="19"/>
        </w:rPr>
        <w:t>. As perguntas não devem ser ameaçadoras uma vez que as pessoas podem responder a uma inquirição áspera de forma excessivamente agressiva ou tentando agradar o interrogador. As questões também devem ser abertas já que algumas pessoas são propensas a repetir as informações fornecidas ou sugeridas pelo entrevistador.</w:t>
      </w:r>
    </w:p>
    <w:p w14:paraId="58C0EF3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 Priorizar a escuta.</w:t>
      </w:r>
      <w:r w:rsidRPr="000B3A5C">
        <w:rPr>
          <w:rFonts w:ascii="Book Antiqua" w:hAnsi="Book Antiqua"/>
          <w:sz w:val="19"/>
          <w:szCs w:val="19"/>
        </w:rPr>
        <w:t xml:space="preserve"> É comum a imprecisão ou mesmo confusão mental no relato de casos de tortura, assim, eventuais incoerências não indicam invalidade dos relatos. Em casos de difícil entendimento do relato, orienta-se que a pergunta seja refeita de forma diferente. É importante respeitar a decisão das vítimas de não querer comentar as violações sofridas.</w:t>
      </w:r>
    </w:p>
    <w:p w14:paraId="7CA4E5E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 Adotar uma postura respeitosa ao gênero da pessoa custodiada</w:t>
      </w:r>
      <w:r w:rsidRPr="000B3A5C">
        <w:rPr>
          <w:rFonts w:ascii="Book Antiqua" w:hAnsi="Book Antiqua"/>
          <w:sz w:val="19"/>
          <w:szCs w:val="19"/>
        </w:rPr>
        <w:t>. Mulheres e pessoas LGBT podem se sentir especialmente desencorajadas a prestar informações sobre violências sofridas, sobretudo assédios e violência sexual, na presença de homens. Homens também podem sentir constrangimento ao relatar abusos de natureza sexual que tenham sofrido. A adequação da linguagem e do tom do entrevistador, bem como a presença de mulheres, podem ser necessários nesse contexto.</w:t>
      </w:r>
    </w:p>
    <w:p w14:paraId="5D154E4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 Respeitar os limites da vítima de tortura</w:t>
      </w:r>
      <w:r w:rsidRPr="000B3A5C">
        <w:rPr>
          <w:rFonts w:ascii="Book Antiqua" w:hAnsi="Book Antiqua"/>
          <w:sz w:val="19"/>
          <w:szCs w:val="19"/>
        </w:rPr>
        <w:t xml:space="preserve">, já que a pessoa pode não se sentir </w:t>
      </w:r>
      <w:proofErr w:type="spellStart"/>
      <w:proofErr w:type="gramStart"/>
      <w:r w:rsidRPr="000B3A5C">
        <w:rPr>
          <w:rFonts w:ascii="Book Antiqua" w:hAnsi="Book Antiqua"/>
          <w:sz w:val="19"/>
          <w:szCs w:val="19"/>
        </w:rPr>
        <w:t>a</w:t>
      </w:r>
      <w:proofErr w:type="spellEnd"/>
      <w:proofErr w:type="gramEnd"/>
      <w:r w:rsidRPr="000B3A5C">
        <w:rPr>
          <w:rFonts w:ascii="Book Antiqua" w:hAnsi="Book Antiqua"/>
          <w:sz w:val="19"/>
          <w:szCs w:val="19"/>
        </w:rPr>
        <w:t xml:space="preserve"> vontade para comentar as violações sofridas por ela, assegurando, inclusive, o tempo necessário para os relatos.</w:t>
      </w:r>
    </w:p>
    <w:p w14:paraId="1568AE7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BF9FFAB"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5. QUESTIONÁRIO PARA AUXILIAR NA IDENTIFICAÇÃO E REGISTRO DA TORTURA DURANTE OITIVA DA VÍTIMA</w:t>
      </w:r>
    </w:p>
    <w:p w14:paraId="70D2274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Um breve questionário pode subsidiar a autoridade judicial quanto à identificação da prática de tortura, na ocasião das audiências de custódia, permitindo-lhe desencadear, caso identificada, os procedimentos de investigação do suposto crime de tortura.</w:t>
      </w:r>
    </w:p>
    <w:p w14:paraId="493A894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65B0DCE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Qual foi o tratamento recebido desde a sua detenção?</w:t>
      </w:r>
    </w:p>
    <w:p w14:paraId="4D16822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Pretende-se com esta questão que o custodiado relate o histórico, desde a abordagem policial até o momento da audiência, da relação ocorrida entre ele e os agentes públicos encarregados de sua custódia.</w:t>
      </w:r>
    </w:p>
    <w:p w14:paraId="738BC08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366A56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O que aconteceu?</w:t>
      </w:r>
    </w:p>
    <w:p w14:paraId="23E46C0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Havendo o custodiado relatado a prática de ato violento por parte de agente público responsável pela abordagem e custódia, é necessário que seja pormenorizado o relato sobre a conduta dos agentes, para identificação de suposta desmedida do uso da força, ou violência que se possa configurar como a prática de tortura.</w:t>
      </w:r>
    </w:p>
    <w:p w14:paraId="0D1071C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4AE9AC1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Onde aconteceu?</w:t>
      </w:r>
    </w:p>
    <w:p w14:paraId="017BF58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O relato sobre o local onde ocorreu a violência relatada pode ajudar a monitorar a possibilidade de retaliação por parte do agente que praticou a violência relatada, e pode fornecer à autoridade judicial informações sobre a frequência de atos com pessoas custodiadas em delegacias, batalhões, entre outros.</w:t>
      </w:r>
    </w:p>
    <w:p w14:paraId="0B87099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5687E5FC"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Qual a data e hora aproximada da ocorrência da atitude violenta por parte do agente público, incluindo a mais recente?</w:t>
      </w:r>
    </w:p>
    <w:p w14:paraId="368ECAC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A informação sobre horário e data é importante para identificar possíveis contradições entre informações constantes no boletim de ocorrência, autorizando alcançar informações úteis sobre as reais circunstâncias da prisão do custodiado.</w:t>
      </w:r>
    </w:p>
    <w:p w14:paraId="1F0513F3"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20DB0FD8"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Qual o conteúdo de quaisquer conversas mantidas com a pessoa (torturadora)? O que lhe foi dito ou perguntado?</w:t>
      </w:r>
    </w:p>
    <w:p w14:paraId="0EFB9EA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Esta pergunta visa identificar qualquer ameaça realizada pelo agente público, assim como métodos ilegais para se obter a delação de outrem. Todas as formas ilegais de extrair informação do preso são necessariamente possibilitadas pela prática da tortura.</w:t>
      </w:r>
    </w:p>
    <w:p w14:paraId="6601FD3A"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755C796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Houve a comunicação do ocorrido para mais alguém? Quem? O que foi dito em resposta a esse relato?</w:t>
      </w:r>
    </w:p>
    <w:p w14:paraId="77A959D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Comentário: Esta pergunta visa averiguar possíveis pessoas que possam ter sofrido ameaças de agentes públicos, autorizando, caso a autoridade judicial assim decida, a indicação de pessoas ameaçadas para participação em programas de proteção de vítimas.</w:t>
      </w:r>
    </w:p>
    <w:p w14:paraId="36E9C5E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lastRenderedPageBreak/>
        <w:t> </w:t>
      </w:r>
    </w:p>
    <w:p w14:paraId="415A45E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6. PROVIDÊNCIAS EM CASO DE APURAÇÃO DE INDÍCIOS DE TORTURA E OUTROS TRATAMENTOS CRUÉIS, DESUMANOS OU DEGRADANTES</w:t>
      </w:r>
    </w:p>
    <w:p w14:paraId="3F38629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Constada a existência de indícios de tortura e outros tratamentos cruéis, desumanos ou degradantes, o Juiz deverá adotar as providências cabíveis para garantia da segurança da pessoa custodiada, tomando as medidas necessárias para que ela não seja exposta aos agentes supostamente responsáveis pelas práticas de tortura.</w:t>
      </w:r>
    </w:p>
    <w:p w14:paraId="712C2DF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Abaixo estão listadas possíveis medidas a serem adotadas pela autoridade judicial que se deparar com a situação, conforme as circunstâncias e particularidades de cada caso, sem prejuízo de outras que o Juiz reputar necessárias para a imediata interrupção das práticas de tortura ou tratamentos cruéis, desumanos ou degradantes, para a garantia da saúde e segurança da pessoa custodiada e para subsidiar futura apuração de responsabilidade dos agentes:</w:t>
      </w:r>
    </w:p>
    <w:p w14:paraId="46EC9CD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w:t>
      </w:r>
      <w:r w:rsidRPr="000B3A5C">
        <w:rPr>
          <w:rFonts w:ascii="Book Antiqua" w:hAnsi="Book Antiqua"/>
          <w:sz w:val="19"/>
          <w:szCs w:val="19"/>
        </w:rPr>
        <w:t>. Registrar o depoimento detalhado da pessoa custodiada em relação às práticas de tortura e outros tratamentos cruéis, desumanos ou degradantes a que alega ter sido submetida, com descrição minuciosa da situação e dos envolvidos;</w:t>
      </w:r>
    </w:p>
    <w:p w14:paraId="7E4A002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w:t>
      </w:r>
      <w:r w:rsidRPr="000B3A5C">
        <w:rPr>
          <w:rFonts w:ascii="Book Antiqua" w:hAnsi="Book Antiqua"/>
          <w:sz w:val="19"/>
          <w:szCs w:val="19"/>
        </w:rPr>
        <w:t xml:space="preserve"> Questionar se as práticas foram relatadas quando da lavratura do auto de prisão em flagrante, verificando se houve o devido registro documental;</w:t>
      </w:r>
    </w:p>
    <w:p w14:paraId="77F5CC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III.</w:t>
      </w:r>
      <w:r w:rsidRPr="000B3A5C">
        <w:rPr>
          <w:rFonts w:ascii="Book Antiqua" w:hAnsi="Book Antiqua"/>
          <w:sz w:val="19"/>
          <w:szCs w:val="19"/>
        </w:rPr>
        <w:t xml:space="preserve"> Realizar registro fotográfico e/ou audiovisual sempre que a pessoa custodiada apresentar relatos ou sinais de tortura ou tratamentos cruéis, desumanos ou degradantes, considerando se tratar de prova, muitas vezes, irrepetível;</w:t>
      </w:r>
    </w:p>
    <w:p w14:paraId="2BAA016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IV.</w:t>
      </w:r>
      <w:r w:rsidRPr="000B3A5C">
        <w:rPr>
          <w:rFonts w:ascii="Book Antiqua" w:hAnsi="Book Antiqua"/>
          <w:sz w:val="19"/>
          <w:szCs w:val="19"/>
        </w:rPr>
        <w:t xml:space="preserve"> Aplicar, de ofício, medidas protetivas para a garantia da segurança e integridade da pessoa custodiada, de seus familiares e de eventuais testemunhas, entre elas a transferência imediata da custódia, com substituição de sua responsabilidade para outro órgão ou para outros agentes; a imposição de liberdade provisória, </w:t>
      </w:r>
      <w:proofErr w:type="spellStart"/>
      <w:r w:rsidRPr="000B3A5C">
        <w:rPr>
          <w:rFonts w:ascii="Book Antiqua" w:hAnsi="Book Antiqua"/>
          <w:sz w:val="19"/>
          <w:szCs w:val="19"/>
        </w:rPr>
        <w:t>independente</w:t>
      </w:r>
      <w:proofErr w:type="spellEnd"/>
      <w:r w:rsidRPr="000B3A5C">
        <w:rPr>
          <w:rFonts w:ascii="Book Antiqua" w:hAnsi="Book Antiqua"/>
          <w:sz w:val="19"/>
          <w:szCs w:val="19"/>
        </w:rPr>
        <w:t xml:space="preserve"> da existência dos requisitos que autorizem a conversão em prisão preventiva, sempre que não for possível garantir a segurança e a integridade da pessoa custodiada; e outras medidas necessárias à garantia da segurança e integridade da pessoa custodiada.</w:t>
      </w:r>
    </w:p>
    <w:p w14:paraId="3403B46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w:t>
      </w:r>
      <w:r w:rsidRPr="000B3A5C">
        <w:rPr>
          <w:rFonts w:ascii="Book Antiqua" w:hAnsi="Book Antiqua"/>
          <w:sz w:val="19"/>
          <w:szCs w:val="19"/>
        </w:rPr>
        <w:t>. Determinar a realização de exame corpo de delito:</w:t>
      </w:r>
    </w:p>
    <w:p w14:paraId="0D2C25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(i)quando não houver sido realizado;</w:t>
      </w:r>
    </w:p>
    <w:p w14:paraId="719899A1"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ii</w:t>
      </w:r>
      <w:proofErr w:type="spellEnd"/>
      <w:r w:rsidRPr="000B3A5C">
        <w:rPr>
          <w:rFonts w:ascii="Book Antiqua" w:hAnsi="Book Antiqua"/>
          <w:sz w:val="19"/>
          <w:szCs w:val="19"/>
        </w:rPr>
        <w:t>)quando os registros se mostrarem insuficientes,</w:t>
      </w:r>
    </w:p>
    <w:p w14:paraId="064ABC5D"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iii</w:t>
      </w:r>
      <w:proofErr w:type="spellEnd"/>
      <w:r w:rsidRPr="000B3A5C">
        <w:rPr>
          <w:rFonts w:ascii="Book Antiqua" w:hAnsi="Book Antiqua"/>
          <w:sz w:val="19"/>
          <w:szCs w:val="19"/>
        </w:rPr>
        <w:t>)quando a possível prática de tortura e outros tratamentos cruéis, desumanos ou degradantes tiver sido realizada em momento posterior à realização do exame realizado;</w:t>
      </w:r>
    </w:p>
    <w:p w14:paraId="7C28ED76"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w:t>
      </w:r>
      <w:proofErr w:type="spellStart"/>
      <w:r w:rsidRPr="000B3A5C">
        <w:rPr>
          <w:rFonts w:ascii="Book Antiqua" w:hAnsi="Book Antiqua"/>
          <w:sz w:val="19"/>
          <w:szCs w:val="19"/>
        </w:rPr>
        <w:t>iv</w:t>
      </w:r>
      <w:proofErr w:type="spellEnd"/>
      <w:r w:rsidRPr="000B3A5C">
        <w:rPr>
          <w:rFonts w:ascii="Book Antiqua" w:hAnsi="Book Antiqua"/>
          <w:sz w:val="19"/>
          <w:szCs w:val="19"/>
        </w:rPr>
        <w:t>)quando o exame tiver sido realizado na presença de agente de segurança.</w:t>
      </w:r>
    </w:p>
    <w:p w14:paraId="492AB21E"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w:t>
      </w:r>
      <w:r w:rsidRPr="000B3A5C">
        <w:rPr>
          <w:rFonts w:ascii="Book Antiqua" w:hAnsi="Book Antiqua"/>
          <w:sz w:val="19"/>
          <w:szCs w:val="19"/>
        </w:rPr>
        <w:t xml:space="preserve"> Ainda sobre o exame de corpo de delito, observar: a) as medidas protetivas aplicadas durante a condução da pessoa custodiada para a garantia de sua segurança e integridade, b) a Recomendação nº 49/2014 do Conselho Nacional de Justiça quanto à formulação de quesitos ao perito em casos de identificação de práticas de tortura e outros tratamentos cruéis, desumanos ou degradantes, c) a presença de advogado ou defensor público durante a realização do exame.</w:t>
      </w:r>
    </w:p>
    <w:p w14:paraId="05FFF24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w:t>
      </w:r>
      <w:r w:rsidRPr="000B3A5C">
        <w:rPr>
          <w:rFonts w:ascii="Book Antiqua" w:hAnsi="Book Antiqua"/>
          <w:sz w:val="19"/>
          <w:szCs w:val="19"/>
        </w:rPr>
        <w:t xml:space="preserve"> Assegurar o necessário e imediato atendimento de saúde integral da pessoa vítima de tortura e outros tratamentos cruéis, desumanos ou degradantes, visando reduzir os danos e o sofrimento físico e mental e a possibilidade de elaborar e </w:t>
      </w:r>
      <w:proofErr w:type="spellStart"/>
      <w:r w:rsidRPr="000B3A5C">
        <w:rPr>
          <w:rFonts w:ascii="Book Antiqua" w:hAnsi="Book Antiqua"/>
          <w:sz w:val="19"/>
          <w:szCs w:val="19"/>
        </w:rPr>
        <w:t>resignificar</w:t>
      </w:r>
      <w:proofErr w:type="spellEnd"/>
      <w:r w:rsidRPr="000B3A5C">
        <w:rPr>
          <w:rFonts w:ascii="Book Antiqua" w:hAnsi="Book Antiqua"/>
          <w:sz w:val="19"/>
          <w:szCs w:val="19"/>
        </w:rPr>
        <w:t xml:space="preserve"> a experiência vivida;</w:t>
      </w:r>
    </w:p>
    <w:p w14:paraId="46FD7AC9"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VIII.</w:t>
      </w:r>
      <w:r w:rsidRPr="000B3A5C">
        <w:rPr>
          <w:rFonts w:ascii="Book Antiqua" w:hAnsi="Book Antiqua"/>
          <w:sz w:val="19"/>
          <w:szCs w:val="19"/>
        </w:rPr>
        <w:t xml:space="preserve"> Enviar cópia do depoimento e demais documentos pertinentes para órgãos responsáveis pela apuração de responsabilidades, especialmente Ministério Público e Corregedoria e/ou Ouvidoria do órgão a que o agente responsável pela prática de tortura ou tratamentos cruéis, desumanos ou degradantes esteja vinculado;</w:t>
      </w:r>
    </w:p>
    <w:p w14:paraId="055C3C54"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lastRenderedPageBreak/>
        <w:t>IX.</w:t>
      </w:r>
      <w:r w:rsidRPr="000B3A5C">
        <w:rPr>
          <w:rFonts w:ascii="Book Antiqua" w:hAnsi="Book Antiqua"/>
          <w:sz w:val="19"/>
          <w:szCs w:val="19"/>
        </w:rPr>
        <w:t xml:space="preserve"> Notificar o juiz de conhecimento do processo penal sobre os encaminhamentos dados pela autoridade judicial e as informações advindas desse procedimento.</w:t>
      </w:r>
    </w:p>
    <w:p w14:paraId="3E8304AF"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b/>
          <w:bCs/>
          <w:sz w:val="19"/>
          <w:szCs w:val="19"/>
        </w:rPr>
        <w:t>X.</w:t>
      </w:r>
      <w:r w:rsidRPr="000B3A5C">
        <w:rPr>
          <w:rFonts w:ascii="Book Antiqua" w:hAnsi="Book Antiqua"/>
          <w:sz w:val="19"/>
          <w:szCs w:val="19"/>
        </w:rPr>
        <w:t xml:space="preserve"> Recomendar ao Ministério Público a inclusão da pessoa em programas de proteção a vítimas ou testemunha, bem como familiares ou testemunhas, quando aplicável o encaminhamento.</w:t>
      </w:r>
    </w:p>
    <w:p w14:paraId="435780D2"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w:t>
      </w:r>
    </w:p>
    <w:p w14:paraId="0EF5CA90" w14:textId="77777777" w:rsidR="0002008A" w:rsidRPr="000B3A5C" w:rsidRDefault="0002008A" w:rsidP="00C42E23">
      <w:pPr>
        <w:spacing w:before="100" w:beforeAutospacing="1" w:after="100" w:afterAutospacing="1" w:line="240" w:lineRule="auto"/>
        <w:jc w:val="both"/>
        <w:rPr>
          <w:rFonts w:ascii="Book Antiqua" w:hAnsi="Book Antiqua"/>
          <w:sz w:val="19"/>
          <w:szCs w:val="19"/>
        </w:rPr>
      </w:pPr>
      <w:r w:rsidRPr="000B3A5C">
        <w:rPr>
          <w:rFonts w:ascii="Book Antiqua" w:hAnsi="Book Antiqua"/>
          <w:sz w:val="19"/>
          <w:szCs w:val="19"/>
        </w:rPr>
        <w:t xml:space="preserve">                 [1] Na elaboração do protocolo foram consideradas orientações presentes em manuais e guias sobre prevenção e combate à tortura, especialmente o "Protocolo de Istambul - Manual para a investigação e documentação eficazes da tortura e outras penas ou tratamentos cruéis, desumanos ou degradantes, "The torture </w:t>
      </w:r>
      <w:proofErr w:type="spellStart"/>
      <w:r w:rsidRPr="000B3A5C">
        <w:rPr>
          <w:rFonts w:ascii="Book Antiqua" w:hAnsi="Book Antiqua"/>
          <w:sz w:val="19"/>
          <w:szCs w:val="19"/>
        </w:rPr>
        <w:t>reporting</w:t>
      </w:r>
      <w:proofErr w:type="spellEnd"/>
      <w:r w:rsidRPr="000B3A5C">
        <w:rPr>
          <w:rFonts w:ascii="Book Antiqua" w:hAnsi="Book Antiqua"/>
          <w:sz w:val="19"/>
          <w:szCs w:val="19"/>
        </w:rPr>
        <w:t xml:space="preserve"> handbook" (1ª edição de Camille Giffard - 2000, e 2ª edição de Polona </w:t>
      </w:r>
      <w:proofErr w:type="spellStart"/>
      <w:r w:rsidRPr="000B3A5C">
        <w:rPr>
          <w:rFonts w:ascii="Book Antiqua" w:hAnsi="Book Antiqua"/>
          <w:sz w:val="19"/>
          <w:szCs w:val="19"/>
        </w:rPr>
        <w:t>Tepina</w:t>
      </w:r>
      <w:proofErr w:type="spellEnd"/>
      <w:r w:rsidRPr="000B3A5C">
        <w:rPr>
          <w:rFonts w:ascii="Book Antiqua" w:hAnsi="Book Antiqua"/>
          <w:sz w:val="19"/>
          <w:szCs w:val="19"/>
        </w:rPr>
        <w:t xml:space="preserve"> - 2015), e "Protegendo os brasileiros conta a tortura: Um Manual para Juízes, Promotores, Defensores Públicos e Advogados" (Conor Foley, 2013), além da experiência acumulada com as práticas de audiências de custódia e do desenvolvimento de ações de prevenção à tortura no país.</w:t>
      </w:r>
    </w:p>
    <w:p w14:paraId="0E5756C5" w14:textId="77777777" w:rsidR="007F265A" w:rsidRPr="000B3A5C" w:rsidRDefault="007F265A" w:rsidP="00C42E23">
      <w:pPr>
        <w:spacing w:before="100" w:beforeAutospacing="1" w:after="100" w:afterAutospacing="1" w:line="240" w:lineRule="auto"/>
        <w:jc w:val="both"/>
        <w:rPr>
          <w:rFonts w:ascii="Book Antiqua" w:hAnsi="Book Antiqua"/>
          <w:sz w:val="19"/>
          <w:szCs w:val="19"/>
        </w:rPr>
      </w:pPr>
    </w:p>
    <w:sectPr w:rsidR="007F265A" w:rsidRPr="000B3A5C" w:rsidSect="0036459C">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F001A" w14:textId="77777777" w:rsidR="00086787" w:rsidRDefault="00086787" w:rsidP="0002008A">
      <w:pPr>
        <w:spacing w:after="0" w:line="240" w:lineRule="auto"/>
      </w:pPr>
      <w:r>
        <w:separator/>
      </w:r>
    </w:p>
  </w:endnote>
  <w:endnote w:type="continuationSeparator" w:id="0">
    <w:p w14:paraId="1E7570C7" w14:textId="77777777" w:rsidR="00086787" w:rsidRDefault="00086787" w:rsidP="00020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6EB9" w14:textId="77777777" w:rsidR="00086787" w:rsidRDefault="00086787" w:rsidP="0002008A">
      <w:pPr>
        <w:spacing w:after="0" w:line="240" w:lineRule="auto"/>
      </w:pPr>
      <w:r>
        <w:separator/>
      </w:r>
    </w:p>
  </w:footnote>
  <w:footnote w:type="continuationSeparator" w:id="0">
    <w:p w14:paraId="7BBD6B6B" w14:textId="77777777" w:rsidR="00086787" w:rsidRDefault="00086787" w:rsidP="000200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8084830">
    <w:abstractNumId w:val="2"/>
  </w:num>
  <w:num w:numId="2" w16cid:durableId="410348199">
    <w:abstractNumId w:val="1"/>
  </w:num>
  <w:num w:numId="3" w16cid:durableId="182007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6C"/>
    <w:rsid w:val="00000C31"/>
    <w:rsid w:val="0002008A"/>
    <w:rsid w:val="000259EC"/>
    <w:rsid w:val="00086787"/>
    <w:rsid w:val="000B3A5C"/>
    <w:rsid w:val="00111674"/>
    <w:rsid w:val="00126E47"/>
    <w:rsid w:val="001F2064"/>
    <w:rsid w:val="002221E1"/>
    <w:rsid w:val="002518CE"/>
    <w:rsid w:val="002C0CCC"/>
    <w:rsid w:val="002C71B7"/>
    <w:rsid w:val="002F1190"/>
    <w:rsid w:val="003073E0"/>
    <w:rsid w:val="00324B73"/>
    <w:rsid w:val="0032549E"/>
    <w:rsid w:val="0036459C"/>
    <w:rsid w:val="003F4A3F"/>
    <w:rsid w:val="00487927"/>
    <w:rsid w:val="00494367"/>
    <w:rsid w:val="00521958"/>
    <w:rsid w:val="00536AD5"/>
    <w:rsid w:val="00581008"/>
    <w:rsid w:val="005D4780"/>
    <w:rsid w:val="006035CD"/>
    <w:rsid w:val="006274F1"/>
    <w:rsid w:val="006B2424"/>
    <w:rsid w:val="007051A3"/>
    <w:rsid w:val="00756654"/>
    <w:rsid w:val="00775899"/>
    <w:rsid w:val="007D7E90"/>
    <w:rsid w:val="007F265A"/>
    <w:rsid w:val="008758D8"/>
    <w:rsid w:val="008A2523"/>
    <w:rsid w:val="008B6050"/>
    <w:rsid w:val="009137AA"/>
    <w:rsid w:val="009A0DBF"/>
    <w:rsid w:val="00A7286C"/>
    <w:rsid w:val="00AA2E96"/>
    <w:rsid w:val="00B60514"/>
    <w:rsid w:val="00BA4B3E"/>
    <w:rsid w:val="00BE29C9"/>
    <w:rsid w:val="00C213EC"/>
    <w:rsid w:val="00C2449F"/>
    <w:rsid w:val="00C42E23"/>
    <w:rsid w:val="00C62674"/>
    <w:rsid w:val="00CB1966"/>
    <w:rsid w:val="00CB5A74"/>
    <w:rsid w:val="00CC027B"/>
    <w:rsid w:val="00CE1C53"/>
    <w:rsid w:val="00D00479"/>
    <w:rsid w:val="00D21FB8"/>
    <w:rsid w:val="00D37C9D"/>
    <w:rsid w:val="00E1703B"/>
    <w:rsid w:val="00E56F6B"/>
    <w:rsid w:val="00ED6D96"/>
    <w:rsid w:val="00EF2B0F"/>
    <w:rsid w:val="00F14C73"/>
    <w:rsid w:val="00FC59FB"/>
    <w:rsid w:val="00FF03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D4EDF9"/>
  <w15:chartTrackingRefBased/>
  <w15:docId w15:val="{A4696F37-1ECC-44BE-9825-9C0A1A7A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2008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008A"/>
  </w:style>
  <w:style w:type="paragraph" w:styleId="Rodap">
    <w:name w:val="footer"/>
    <w:basedOn w:val="Normal"/>
    <w:link w:val="RodapChar"/>
    <w:uiPriority w:val="99"/>
    <w:unhideWhenUsed/>
    <w:rsid w:val="0002008A"/>
    <w:pPr>
      <w:tabs>
        <w:tab w:val="center" w:pos="4252"/>
        <w:tab w:val="right" w:pos="8504"/>
      </w:tabs>
      <w:spacing w:after="0" w:line="240" w:lineRule="auto"/>
    </w:pPr>
  </w:style>
  <w:style w:type="character" w:customStyle="1" w:styleId="RodapChar">
    <w:name w:val="Rodapé Char"/>
    <w:basedOn w:val="Fontepargpadro"/>
    <w:link w:val="Rodap"/>
    <w:uiPriority w:val="99"/>
    <w:rsid w:val="0002008A"/>
  </w:style>
  <w:style w:type="table" w:styleId="Tabelacomgrade">
    <w:name w:val="Table Grid"/>
    <w:basedOn w:val="Tabelanormal"/>
    <w:uiPriority w:val="39"/>
    <w:rsid w:val="00C42E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004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469637">
      <w:bodyDiv w:val="1"/>
      <w:marLeft w:val="0"/>
      <w:marRight w:val="0"/>
      <w:marTop w:val="0"/>
      <w:marBottom w:val="0"/>
      <w:divBdr>
        <w:top w:val="none" w:sz="0" w:space="0" w:color="auto"/>
        <w:left w:val="none" w:sz="0" w:space="0" w:color="auto"/>
        <w:bottom w:val="none" w:sz="0" w:space="0" w:color="auto"/>
        <w:right w:val="none" w:sz="0" w:space="0" w:color="auto"/>
      </w:divBdr>
      <w:divsChild>
        <w:div w:id="592978093">
          <w:marLeft w:val="0"/>
          <w:marRight w:val="0"/>
          <w:marTop w:val="0"/>
          <w:marBottom w:val="0"/>
          <w:divBdr>
            <w:top w:val="none" w:sz="0" w:space="0" w:color="auto"/>
            <w:left w:val="none" w:sz="0" w:space="0" w:color="auto"/>
            <w:bottom w:val="none" w:sz="0" w:space="0" w:color="auto"/>
            <w:right w:val="none" w:sz="0" w:space="0" w:color="auto"/>
          </w:divBdr>
          <w:divsChild>
            <w:div w:id="1677808630">
              <w:marLeft w:val="0"/>
              <w:marRight w:val="0"/>
              <w:marTop w:val="0"/>
              <w:marBottom w:val="0"/>
              <w:divBdr>
                <w:top w:val="none" w:sz="0" w:space="0" w:color="auto"/>
                <w:left w:val="none" w:sz="0" w:space="0" w:color="auto"/>
                <w:bottom w:val="none" w:sz="0" w:space="0" w:color="auto"/>
                <w:right w:val="none" w:sz="0" w:space="0" w:color="auto"/>
              </w:divBdr>
              <w:divsChild>
                <w:div w:id="1020473026">
                  <w:marLeft w:val="-225"/>
                  <w:marRight w:val="-225"/>
                  <w:marTop w:val="0"/>
                  <w:marBottom w:val="0"/>
                  <w:divBdr>
                    <w:top w:val="none" w:sz="0" w:space="0" w:color="auto"/>
                    <w:left w:val="none" w:sz="0" w:space="0" w:color="auto"/>
                    <w:bottom w:val="none" w:sz="0" w:space="0" w:color="auto"/>
                    <w:right w:val="none" w:sz="0" w:space="0" w:color="auto"/>
                  </w:divBdr>
                  <w:divsChild>
                    <w:div w:id="284624394">
                      <w:marLeft w:val="0"/>
                      <w:marRight w:val="0"/>
                      <w:marTop w:val="0"/>
                      <w:marBottom w:val="0"/>
                      <w:divBdr>
                        <w:top w:val="none" w:sz="0" w:space="0" w:color="auto"/>
                        <w:left w:val="none" w:sz="0" w:space="0" w:color="auto"/>
                        <w:bottom w:val="none" w:sz="0" w:space="0" w:color="auto"/>
                        <w:right w:val="none" w:sz="0" w:space="0" w:color="auto"/>
                      </w:divBdr>
                      <w:divsChild>
                        <w:div w:id="91124016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855518">
      <w:bodyDiv w:val="1"/>
      <w:marLeft w:val="0"/>
      <w:marRight w:val="0"/>
      <w:marTop w:val="0"/>
      <w:marBottom w:val="0"/>
      <w:divBdr>
        <w:top w:val="none" w:sz="0" w:space="0" w:color="auto"/>
        <w:left w:val="none" w:sz="0" w:space="0" w:color="auto"/>
        <w:bottom w:val="none" w:sz="0" w:space="0" w:color="auto"/>
        <w:right w:val="none" w:sz="0" w:space="0" w:color="auto"/>
      </w:divBdr>
      <w:divsChild>
        <w:div w:id="1659190535">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24</Pages>
  <Words>12998</Words>
  <Characters>70191</Characters>
  <Application>Microsoft Office Word</Application>
  <DocSecurity>0</DocSecurity>
  <Lines>584</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37</cp:revision>
  <dcterms:created xsi:type="dcterms:W3CDTF">2018-08-13T20:22:00Z</dcterms:created>
  <dcterms:modified xsi:type="dcterms:W3CDTF">2025-08-06T19:25:00Z</dcterms:modified>
</cp:coreProperties>
</file>